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裕民县青少年校外活动中心2024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C1E54DA">
      <w:r>
        <w:br w:type="page"/>
      </w:r>
    </w:p>
    <w:p w14:paraId="5945E231">
      <w:pPr>
        <w:spacing w:line="640" w:lineRule="exact"/>
        <w:jc w:val="center"/>
        <w:outlineLvl w:val="1"/>
      </w:pPr>
      <w:r>
        <w:rPr>
          <w:rFonts w:ascii="黑体" w:hAnsi="黑体" w:eastAsia="黑体"/>
          <w:sz w:val="32"/>
        </w:rPr>
        <w:t>第一部分 单位概况</w:t>
      </w:r>
    </w:p>
    <w:p w14:paraId="6697B413">
      <w:pPr>
        <w:spacing w:line="640" w:lineRule="exact"/>
        <w:ind w:firstLine="640"/>
        <w:jc w:val="both"/>
        <w:outlineLvl w:val="2"/>
      </w:pPr>
      <w:r>
        <w:rPr>
          <w:rFonts w:ascii="黑体" w:hAnsi="黑体" w:eastAsia="黑体"/>
          <w:sz w:val="32"/>
        </w:rPr>
        <w:t>一、主要职能</w:t>
      </w:r>
    </w:p>
    <w:p w14:paraId="7341D1BA">
      <w:pPr>
        <w:spacing w:line="580" w:lineRule="exact"/>
        <w:ind w:firstLine="640"/>
        <w:jc w:val="both"/>
      </w:pPr>
      <w:r>
        <w:rPr>
          <w:rFonts w:ascii="仿宋_GB2312" w:hAnsi="仿宋_GB2312" w:eastAsia="仿宋_GB2312"/>
          <w:sz w:val="32"/>
        </w:rPr>
        <w:t>裕民县青少年校外活动中心属于全额事业拨款单位，隶属裕民县教科局统一负责管理，在教科局的领导下，教书育人，全面贯彻落实科学发展观，促进教育事业的蓬勃发展。实施校外培训教育，促进教育发展。</w:t>
      </w:r>
    </w:p>
    <w:p w14:paraId="529DEB4B">
      <w:pPr>
        <w:spacing w:line="640" w:lineRule="exact"/>
        <w:ind w:firstLine="640"/>
        <w:jc w:val="both"/>
        <w:outlineLvl w:val="2"/>
      </w:pPr>
      <w:r>
        <w:rPr>
          <w:rFonts w:ascii="黑体" w:hAnsi="黑体" w:eastAsia="黑体"/>
          <w:sz w:val="32"/>
        </w:rPr>
        <w:t>二、机构设置及人员情况</w:t>
      </w:r>
    </w:p>
    <w:p w14:paraId="06258BB2">
      <w:pPr>
        <w:spacing w:line="580" w:lineRule="exact"/>
        <w:ind w:firstLine="640"/>
        <w:jc w:val="both"/>
      </w:pPr>
      <w:r>
        <w:rPr>
          <w:rFonts w:ascii="仿宋_GB2312" w:hAnsi="仿宋_GB2312" w:eastAsia="仿宋_GB2312"/>
          <w:sz w:val="32"/>
        </w:rPr>
        <w:t>裕民县青少年校外活动中心2024年度，实有人数7人，其中：在职人员6人，增加2人；离休人员0人，增加0人；退休人员1人,增加0人。</w:t>
      </w:r>
    </w:p>
    <w:p w14:paraId="2EF418FE">
      <w:pPr>
        <w:spacing w:line="580" w:lineRule="exact"/>
        <w:ind w:firstLine="640"/>
        <w:jc w:val="both"/>
      </w:pPr>
      <w:r>
        <w:rPr>
          <w:rFonts w:ascii="仿宋_GB2312" w:hAnsi="仿宋_GB2312" w:eastAsia="仿宋_GB2312"/>
          <w:sz w:val="32"/>
        </w:rPr>
        <w:t>裕民县青少年校外活动中心无下属预算单位，下设4个科室，分别是：办公室、财务室、舞蹈室、乐器室。</w:t>
      </w:r>
    </w:p>
    <w:p w14:paraId="15D93F20">
      <w:r>
        <w:br w:type="page"/>
      </w:r>
    </w:p>
    <w:p w14:paraId="5F87F311">
      <w:pPr>
        <w:spacing w:line="240" w:lineRule="auto"/>
        <w:jc w:val="center"/>
        <w:outlineLvl w:val="1"/>
      </w:pPr>
      <w:r>
        <w:rPr>
          <w:rFonts w:ascii="黑体" w:hAnsi="黑体" w:eastAsia="黑体"/>
          <w:sz w:val="32"/>
        </w:rPr>
        <w:t>第二部分 部门决算情况说明</w:t>
      </w:r>
    </w:p>
    <w:p w14:paraId="4F25B844">
      <w:pPr>
        <w:spacing w:line="640" w:lineRule="exact"/>
        <w:ind w:firstLine="640"/>
        <w:jc w:val="both"/>
        <w:outlineLvl w:val="2"/>
      </w:pPr>
      <w:r>
        <w:rPr>
          <w:rFonts w:ascii="黑体" w:hAnsi="黑体" w:eastAsia="黑体"/>
          <w:sz w:val="32"/>
        </w:rPr>
        <w:t>一、收入支出决算总体情况说明</w:t>
      </w:r>
    </w:p>
    <w:p w14:paraId="3BD195E6">
      <w:pPr>
        <w:spacing w:line="580" w:lineRule="exact"/>
        <w:ind w:firstLine="640"/>
        <w:jc w:val="both"/>
      </w:pPr>
      <w:r>
        <w:rPr>
          <w:rFonts w:ascii="仿宋_GB2312" w:hAnsi="仿宋_GB2312" w:eastAsia="仿宋_GB2312"/>
          <w:b/>
          <w:sz w:val="32"/>
        </w:rPr>
        <w:t>2024年度收入总计223.85万元，</w:t>
      </w:r>
      <w:r>
        <w:rPr>
          <w:rFonts w:ascii="仿宋_GB2312" w:hAnsi="仿宋_GB2312" w:eastAsia="仿宋_GB2312"/>
          <w:b w:val="0"/>
          <w:sz w:val="32"/>
        </w:rPr>
        <w:t>其中：本年收入合计223.85万元，使用非财政拨款结余（含专用结余）0.00万元，年初结转和结余0.00万元。</w:t>
      </w:r>
    </w:p>
    <w:p w14:paraId="2BA6AB73">
      <w:pPr>
        <w:spacing w:line="580" w:lineRule="exact"/>
        <w:ind w:firstLine="640"/>
        <w:jc w:val="both"/>
      </w:pPr>
      <w:r>
        <w:rPr>
          <w:rFonts w:ascii="仿宋_GB2312" w:hAnsi="仿宋_GB2312" w:eastAsia="仿宋_GB2312"/>
          <w:b/>
          <w:sz w:val="32"/>
        </w:rPr>
        <w:t>2024年度支出总计223.85万元，</w:t>
      </w:r>
      <w:r>
        <w:rPr>
          <w:rFonts w:ascii="仿宋_GB2312" w:hAnsi="仿宋_GB2312" w:eastAsia="仿宋_GB2312"/>
          <w:b w:val="0"/>
          <w:sz w:val="32"/>
        </w:rPr>
        <w:t>其中：本年支出合计223.85万元，结余分配0.00万元，年末结转和结余0.00万元。</w:t>
      </w:r>
    </w:p>
    <w:p w14:paraId="10F3E3FD">
      <w:pPr>
        <w:spacing w:line="580" w:lineRule="exact"/>
        <w:ind w:firstLine="640"/>
        <w:jc w:val="both"/>
      </w:pPr>
      <w:r>
        <w:rPr>
          <w:rFonts w:ascii="仿宋_GB2312" w:hAnsi="仿宋_GB2312" w:eastAsia="仿宋_GB2312"/>
          <w:b w:val="0"/>
          <w:sz w:val="32"/>
        </w:rPr>
        <w:t>收入支出总体与上年相比，增加20.11万元，增长9.87%，主要原因是：2024年8月新考入2人，在职人员工资调增、社保、公积金基数调增，人员经费增加。</w:t>
      </w:r>
    </w:p>
    <w:p w14:paraId="6AF6DE5A">
      <w:pPr>
        <w:spacing w:line="640" w:lineRule="exact"/>
        <w:ind w:firstLine="640"/>
        <w:jc w:val="both"/>
        <w:outlineLvl w:val="2"/>
      </w:pPr>
      <w:r>
        <w:rPr>
          <w:rFonts w:ascii="黑体" w:hAnsi="黑体" w:eastAsia="黑体"/>
          <w:sz w:val="32"/>
        </w:rPr>
        <w:t>二、收入决算情况说明</w:t>
      </w:r>
    </w:p>
    <w:p w14:paraId="607E9FC3">
      <w:pPr>
        <w:spacing w:line="580" w:lineRule="exact"/>
        <w:ind w:firstLine="640"/>
        <w:jc w:val="both"/>
      </w:pPr>
      <w:r>
        <w:rPr>
          <w:rFonts w:ascii="仿宋_GB2312" w:hAnsi="仿宋_GB2312" w:eastAsia="仿宋_GB2312"/>
          <w:b/>
          <w:sz w:val="32"/>
        </w:rPr>
        <w:t>本年收入223.85万元，</w:t>
      </w:r>
      <w:r>
        <w:rPr>
          <w:rFonts w:ascii="仿宋_GB2312" w:hAnsi="仿宋_GB2312" w:eastAsia="仿宋_GB2312"/>
          <w:b w:val="0"/>
          <w:sz w:val="32"/>
        </w:rPr>
        <w:t>其中：财政拨款收入71.00万元，占31.72%；上级补助收入0.00万元，占0.00%；事业收入0.00万元，占0.00%；经营收入0.00万元，占0.00%；附属单位上缴收入0.00万元，占0.00%；其他收入152.85万元，占68.28%。</w:t>
      </w:r>
    </w:p>
    <w:p w14:paraId="43B21B92">
      <w:pPr>
        <w:spacing w:line="640" w:lineRule="exact"/>
        <w:ind w:firstLine="640"/>
        <w:jc w:val="both"/>
        <w:outlineLvl w:val="2"/>
      </w:pPr>
      <w:r>
        <w:rPr>
          <w:rFonts w:ascii="黑体" w:hAnsi="黑体" w:eastAsia="黑体"/>
          <w:sz w:val="32"/>
        </w:rPr>
        <w:t>三、支出决算情况说明</w:t>
      </w:r>
    </w:p>
    <w:p w14:paraId="49BD1477">
      <w:pPr>
        <w:spacing w:line="580" w:lineRule="exact"/>
        <w:ind w:firstLine="640"/>
        <w:jc w:val="both"/>
      </w:pPr>
      <w:r>
        <w:rPr>
          <w:rFonts w:ascii="仿宋_GB2312" w:hAnsi="仿宋_GB2312" w:eastAsia="仿宋_GB2312"/>
          <w:b/>
          <w:sz w:val="32"/>
        </w:rPr>
        <w:t>本年支出223.85万元，</w:t>
      </w:r>
      <w:r>
        <w:rPr>
          <w:rFonts w:ascii="仿宋_GB2312" w:hAnsi="仿宋_GB2312" w:eastAsia="仿宋_GB2312"/>
          <w:b w:val="0"/>
          <w:sz w:val="32"/>
        </w:rPr>
        <w:t>其中：基本支出223.85万元，占100.00%；项目支出0.00万元，占0.00%；上缴上级支出0.00万元，占0.00%；经营支出0.00万元，占0.00%；对附属单位补助支出0.00万元，占0.00%。</w:t>
      </w:r>
    </w:p>
    <w:p w14:paraId="1FD9AB8C">
      <w:pPr>
        <w:spacing w:line="640" w:lineRule="exact"/>
        <w:ind w:firstLine="640"/>
        <w:jc w:val="both"/>
        <w:outlineLvl w:val="2"/>
      </w:pPr>
      <w:r>
        <w:rPr>
          <w:rFonts w:ascii="黑体" w:hAnsi="黑体" w:eastAsia="黑体"/>
          <w:sz w:val="32"/>
        </w:rPr>
        <w:t>四、财政拨款收入支出决算总体情况说明</w:t>
      </w:r>
    </w:p>
    <w:p w14:paraId="35C54951">
      <w:pPr>
        <w:spacing w:line="580" w:lineRule="exact"/>
        <w:ind w:firstLine="640"/>
        <w:jc w:val="both"/>
      </w:pPr>
      <w:r>
        <w:rPr>
          <w:rFonts w:ascii="仿宋_GB2312" w:hAnsi="仿宋_GB2312" w:eastAsia="仿宋_GB2312"/>
          <w:b/>
          <w:sz w:val="32"/>
        </w:rPr>
        <w:t>2024年度财政拨款收入总计71.00万元，</w:t>
      </w:r>
      <w:r>
        <w:rPr>
          <w:rFonts w:ascii="仿宋_GB2312" w:hAnsi="仿宋_GB2312" w:eastAsia="仿宋_GB2312"/>
          <w:b w:val="0"/>
          <w:sz w:val="32"/>
        </w:rPr>
        <w:t>其中：年初财政拨款结转和结余0.00万元，本年财政拨款收入71.00万元。</w:t>
      </w:r>
      <w:r>
        <w:rPr>
          <w:rFonts w:ascii="仿宋_GB2312" w:hAnsi="仿宋_GB2312" w:eastAsia="仿宋_GB2312"/>
          <w:b/>
          <w:sz w:val="32"/>
        </w:rPr>
        <w:t>财政拨款支出总计71.00万元，</w:t>
      </w:r>
      <w:r>
        <w:rPr>
          <w:rFonts w:ascii="仿宋_GB2312" w:hAnsi="仿宋_GB2312" w:eastAsia="仿宋_GB2312"/>
          <w:b w:val="0"/>
          <w:sz w:val="32"/>
        </w:rPr>
        <w:t>其中：年末财政拨款结转和结余0.00万元，本年财政拨款支出71.00万元。</w:t>
      </w:r>
    </w:p>
    <w:p w14:paraId="2884273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增加20.28万元，增长39.98%，主要原因是：2024年8月新考入2人，在职人员工资调增、社保、公积金基数调增，人员经费增加。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年初预算数68.52万元，决算数71.00万元，预决算差异率3.62%，主要原因是：本年2024年8月新考入2人，年中追加人员经费及人员工资、社保、公积金基数调增部分资金，导致预决算存在差异。</w:t>
      </w:r>
    </w:p>
    <w:p w14:paraId="3B92514F">
      <w:pPr>
        <w:spacing w:line="640" w:lineRule="exact"/>
        <w:ind w:firstLine="640"/>
        <w:jc w:val="both"/>
        <w:outlineLvl w:val="2"/>
      </w:pPr>
      <w:r>
        <w:rPr>
          <w:rFonts w:ascii="黑体" w:hAnsi="黑体" w:eastAsia="黑体"/>
          <w:sz w:val="32"/>
        </w:rPr>
        <w:t>五、一般公共预算财政拨款支出决算情况说明</w:t>
      </w:r>
    </w:p>
    <w:p w14:paraId="3DD7B522">
      <w:pPr>
        <w:spacing w:line="640" w:lineRule="exact"/>
        <w:ind w:firstLine="640"/>
        <w:jc w:val="both"/>
        <w:outlineLvl w:val="3"/>
      </w:pPr>
      <w:r>
        <w:rPr>
          <w:rFonts w:ascii="楷体_GB2312" w:hAnsi="楷体_GB2312" w:eastAsia="楷体_GB2312"/>
          <w:b/>
          <w:sz w:val="32"/>
        </w:rPr>
        <w:t>（一）一般公共预算财政拨款支出决算总体情况</w:t>
      </w:r>
    </w:p>
    <w:p w14:paraId="37B40238">
      <w:pPr>
        <w:spacing w:line="580" w:lineRule="exact"/>
        <w:ind w:firstLine="640"/>
        <w:jc w:val="both"/>
        <w:rPr>
          <w:spacing w:val="-6"/>
          <w:sz w:val="32"/>
        </w:rPr>
      </w:pPr>
      <w:r>
        <w:rPr>
          <w:rFonts w:ascii="仿宋_GB2312" w:hAnsi="仿宋_GB2312" w:eastAsia="仿宋_GB2312"/>
          <w:b/>
          <w:spacing w:val="-6"/>
          <w:sz w:val="32"/>
        </w:rPr>
        <w:t>2024年度一般公共预算财政拨款支出71.00万元，</w:t>
      </w:r>
      <w:r>
        <w:rPr>
          <w:rFonts w:ascii="仿宋_GB2312" w:hAnsi="仿宋_GB2312" w:eastAsia="仿宋_GB2312"/>
          <w:b w:val="0"/>
          <w:spacing w:val="-6"/>
          <w:sz w:val="32"/>
        </w:rPr>
        <w:t>占本年支出合计的31.72%。</w:t>
      </w:r>
      <w:r>
        <w:rPr>
          <w:rFonts w:ascii="仿宋_GB2312" w:hAnsi="仿宋_GB2312" w:eastAsia="仿宋_GB2312"/>
          <w:b/>
          <w:spacing w:val="-6"/>
          <w:sz w:val="32"/>
        </w:rPr>
        <w:t>与上年相比，</w:t>
      </w:r>
      <w:r>
        <w:rPr>
          <w:rFonts w:ascii="仿宋_GB2312" w:hAnsi="仿宋_GB2312" w:eastAsia="仿宋_GB2312"/>
          <w:b w:val="0"/>
          <w:spacing w:val="-6"/>
          <w:sz w:val="32"/>
        </w:rPr>
        <w:t>增加20.28万元，增长39.98%，主要原因是：2024年8月新考入2人，在职人员工资调增、社保、公积金基数调增，人员经费增加。</w:t>
      </w:r>
      <w:r>
        <w:rPr>
          <w:rFonts w:ascii="仿宋_GB2312" w:hAnsi="仿宋_GB2312" w:eastAsia="仿宋_GB2312"/>
          <w:b/>
          <w:spacing w:val="-6"/>
          <w:sz w:val="32"/>
        </w:rPr>
        <w:t>与年初预算相比,</w:t>
      </w:r>
      <w:r>
        <w:rPr>
          <w:rFonts w:ascii="仿宋_GB2312" w:hAnsi="仿宋_GB2312" w:eastAsia="仿宋_GB2312"/>
          <w:b w:val="0"/>
          <w:spacing w:val="-6"/>
          <w:sz w:val="32"/>
        </w:rPr>
        <w:t>年初预算数68.52万元，决算数71.00万元，预决算差异率3.62%，主要原因是：本年2024年8月新考入2人，年中追加人员经费及人员工资、社保、公积金基数调增部分资金，导致预决算存在差异。</w:t>
      </w:r>
    </w:p>
    <w:p w14:paraId="7C8CDFDB">
      <w:pPr>
        <w:spacing w:line="640" w:lineRule="exact"/>
        <w:ind w:firstLine="640"/>
        <w:jc w:val="both"/>
        <w:outlineLvl w:val="3"/>
      </w:pPr>
      <w:r>
        <w:rPr>
          <w:rFonts w:ascii="楷体_GB2312" w:hAnsi="楷体_GB2312" w:eastAsia="楷体_GB2312"/>
          <w:b/>
          <w:sz w:val="32"/>
        </w:rPr>
        <w:t>（二）一般公共预算财政拨款支出决算结构情况</w:t>
      </w:r>
    </w:p>
    <w:p w14:paraId="59A9CB54">
      <w:pPr>
        <w:spacing w:line="580" w:lineRule="exact"/>
        <w:ind w:firstLine="640"/>
        <w:jc w:val="both"/>
      </w:pPr>
      <w:r>
        <w:rPr>
          <w:rFonts w:ascii="仿宋_GB2312" w:hAnsi="仿宋_GB2312" w:eastAsia="仿宋_GB2312"/>
          <w:b w:val="0"/>
          <w:sz w:val="32"/>
        </w:rPr>
        <w:t>1.教育支出(类)52.25万元,占73.59%。</w:t>
      </w:r>
    </w:p>
    <w:p w14:paraId="787F3E66">
      <w:pPr>
        <w:spacing w:line="580" w:lineRule="exact"/>
        <w:ind w:firstLine="640"/>
        <w:jc w:val="both"/>
      </w:pPr>
      <w:r>
        <w:rPr>
          <w:rFonts w:ascii="仿宋_GB2312" w:hAnsi="仿宋_GB2312" w:eastAsia="仿宋_GB2312"/>
          <w:b w:val="0"/>
          <w:sz w:val="32"/>
        </w:rPr>
        <w:t>2.社会保障和就业支出(类)9.00万元,占12.68%。</w:t>
      </w:r>
    </w:p>
    <w:p w14:paraId="2F3ECF7F">
      <w:pPr>
        <w:spacing w:line="580" w:lineRule="exact"/>
        <w:ind w:firstLine="640"/>
        <w:jc w:val="both"/>
      </w:pPr>
      <w:r>
        <w:rPr>
          <w:rFonts w:ascii="仿宋_GB2312" w:hAnsi="仿宋_GB2312" w:eastAsia="仿宋_GB2312"/>
          <w:b w:val="0"/>
          <w:sz w:val="32"/>
        </w:rPr>
        <w:t>3.卫生健康支出(类)3.47万元,占4.89%。</w:t>
      </w:r>
    </w:p>
    <w:p w14:paraId="59525E99">
      <w:pPr>
        <w:spacing w:line="580" w:lineRule="exact"/>
        <w:ind w:firstLine="640"/>
        <w:jc w:val="both"/>
      </w:pPr>
      <w:r>
        <w:rPr>
          <w:rFonts w:ascii="仿宋_GB2312" w:hAnsi="仿宋_GB2312" w:eastAsia="仿宋_GB2312"/>
          <w:b w:val="0"/>
          <w:sz w:val="32"/>
        </w:rPr>
        <w:t>4.住房保障支出(类)6.27万元,占8.83%。</w:t>
      </w:r>
    </w:p>
    <w:p w14:paraId="50892A6A">
      <w:pPr>
        <w:spacing w:line="640" w:lineRule="exact"/>
        <w:ind w:firstLine="640"/>
        <w:jc w:val="both"/>
        <w:outlineLvl w:val="3"/>
      </w:pPr>
      <w:r>
        <w:rPr>
          <w:rFonts w:ascii="楷体_GB2312" w:hAnsi="楷体_GB2312" w:eastAsia="楷体_GB2312"/>
          <w:b/>
          <w:sz w:val="32"/>
        </w:rPr>
        <w:t>（三）一般公共预算财政拨款支出决算具体情况</w:t>
      </w:r>
    </w:p>
    <w:p w14:paraId="41B557E7">
      <w:pPr>
        <w:spacing w:line="580" w:lineRule="exact"/>
        <w:ind w:firstLine="640"/>
        <w:jc w:val="both"/>
      </w:pPr>
      <w:r>
        <w:rPr>
          <w:rFonts w:ascii="仿宋_GB2312" w:hAnsi="仿宋_GB2312" w:eastAsia="仿宋_GB2312"/>
          <w:b w:val="0"/>
          <w:sz w:val="32"/>
        </w:rPr>
        <w:t>1.教育支出(类)普通教育(款)其他普通教育支出(项):支出决算数为52.25万元，比上年决算增加13.75万元，增长35.71%,主要原因是：</w:t>
      </w:r>
      <w:r>
        <w:rPr>
          <w:rFonts w:hint="eastAsia" w:ascii="仿宋_GB2312" w:hAnsi="仿宋_GB2312" w:eastAsia="仿宋_GB2312"/>
          <w:b w:val="0"/>
          <w:sz w:val="32"/>
          <w:lang w:val="en-US" w:eastAsia="zh-CN"/>
        </w:rPr>
        <w:t>本年在职人员增加</w:t>
      </w:r>
      <w:r>
        <w:rPr>
          <w:rFonts w:ascii="仿宋_GB2312" w:hAnsi="仿宋_GB2312" w:eastAsia="仿宋_GB2312"/>
          <w:b w:val="0"/>
          <w:sz w:val="32"/>
        </w:rPr>
        <w:t>，在职人员工资调增，人员经费增加。</w:t>
      </w:r>
    </w:p>
    <w:p w14:paraId="38DCA957">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2.社会保障和就业支出(类)行政事业单位养老支出(款)事业单位离退休(项):支出决算数为0.81万元，比上年决算增加0.19万元，增长30.65%,主要原因是：本年增加退休人员基础绩效奖，退休费支出增加。</w:t>
      </w:r>
    </w:p>
    <w:p w14:paraId="369E41C8">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3.社会保障和就业支出(类)行政事业单位养老支出(款)机关事业单位基本养老保险缴费支出(项):支出决算数为8.19万元，比上年决算增加2.99万元，增长57.50%,主要原因是：</w:t>
      </w:r>
      <w:r>
        <w:rPr>
          <w:rFonts w:hint="eastAsia" w:ascii="仿宋_GB2312" w:hAnsi="仿宋_GB2312" w:eastAsia="仿宋_GB2312"/>
          <w:b w:val="0"/>
          <w:sz w:val="32"/>
          <w:lang w:val="en-US" w:eastAsia="zh-CN"/>
        </w:rPr>
        <w:t>本年在职人员增加</w:t>
      </w:r>
      <w:r>
        <w:rPr>
          <w:rFonts w:ascii="仿宋_GB2312" w:hAnsi="仿宋_GB2312" w:eastAsia="仿宋_GB2312"/>
          <w:b w:val="0"/>
          <w:sz w:val="32"/>
        </w:rPr>
        <w:t>，养老保险缴费较上年增加。</w:t>
      </w:r>
    </w:p>
    <w:p w14:paraId="443560DE">
      <w:pPr>
        <w:spacing w:line="580" w:lineRule="exact"/>
        <w:ind w:firstLine="640"/>
        <w:jc w:val="both"/>
      </w:pPr>
      <w:r>
        <w:rPr>
          <w:rFonts w:ascii="仿宋_GB2312" w:hAnsi="仿宋_GB2312" w:eastAsia="仿宋_GB2312"/>
          <w:b w:val="0"/>
          <w:sz w:val="32"/>
        </w:rPr>
        <w:t>4.卫生健康支出(类)行政事业单位医疗(款)事业单位医疗(项):支出决算数为3.47万元，比上年决算增加1.15万元，增长49.57%,主要原因是：</w:t>
      </w:r>
      <w:r>
        <w:rPr>
          <w:rFonts w:hint="eastAsia" w:ascii="仿宋_GB2312" w:hAnsi="仿宋_GB2312" w:eastAsia="仿宋_GB2312"/>
          <w:b w:val="0"/>
          <w:sz w:val="32"/>
          <w:lang w:val="en-US" w:eastAsia="zh-CN"/>
        </w:rPr>
        <w:t>本年在职人员增加</w:t>
      </w:r>
      <w:r>
        <w:rPr>
          <w:rFonts w:ascii="仿宋_GB2312" w:hAnsi="仿宋_GB2312" w:eastAsia="仿宋_GB2312"/>
          <w:b w:val="0"/>
          <w:sz w:val="32"/>
        </w:rPr>
        <w:t>，事业单位医疗支出较上年增加。</w:t>
      </w:r>
    </w:p>
    <w:p w14:paraId="6AEFCF56">
      <w:pPr>
        <w:spacing w:line="580" w:lineRule="exact"/>
        <w:ind w:firstLine="640"/>
        <w:jc w:val="both"/>
      </w:pPr>
      <w:r>
        <w:rPr>
          <w:rFonts w:ascii="仿宋_GB2312" w:hAnsi="仿宋_GB2312" w:eastAsia="仿宋_GB2312"/>
          <w:b w:val="0"/>
          <w:sz w:val="32"/>
        </w:rPr>
        <w:t>5.住房保障支出(类)住房改革支出(款)住房公积金(项):支出决算数为6.27万元，比上年决算增加2.19万元，增长53.68%,主要原因是：</w:t>
      </w:r>
      <w:r>
        <w:rPr>
          <w:rFonts w:hint="eastAsia" w:ascii="仿宋_GB2312" w:hAnsi="仿宋_GB2312" w:eastAsia="仿宋_GB2312"/>
          <w:b w:val="0"/>
          <w:sz w:val="32"/>
          <w:lang w:val="en-US" w:eastAsia="zh-CN"/>
        </w:rPr>
        <w:t>本年在职人员增加</w:t>
      </w:r>
      <w:r>
        <w:rPr>
          <w:rFonts w:ascii="仿宋_GB2312" w:hAnsi="仿宋_GB2312" w:eastAsia="仿宋_GB2312"/>
          <w:b w:val="0"/>
          <w:sz w:val="32"/>
        </w:rPr>
        <w:t>，住房公积金支出较上年增加。</w:t>
      </w:r>
    </w:p>
    <w:p w14:paraId="0152E015">
      <w:pPr>
        <w:spacing w:line="640" w:lineRule="exact"/>
        <w:ind w:firstLine="640"/>
        <w:jc w:val="both"/>
        <w:outlineLvl w:val="2"/>
      </w:pPr>
      <w:r>
        <w:rPr>
          <w:rFonts w:ascii="黑体" w:hAnsi="黑体" w:eastAsia="黑体"/>
          <w:sz w:val="32"/>
        </w:rPr>
        <w:t>六、一般公共预算财政拨款基本支出决算情况说明</w:t>
      </w:r>
    </w:p>
    <w:p w14:paraId="132A4FF2">
      <w:pPr>
        <w:spacing w:line="580" w:lineRule="exact"/>
        <w:ind w:firstLine="640"/>
        <w:jc w:val="both"/>
      </w:pPr>
      <w:r>
        <w:rPr>
          <w:rFonts w:ascii="仿宋_GB2312" w:hAnsi="仿宋_GB2312" w:eastAsia="仿宋_GB2312"/>
          <w:b w:val="0"/>
          <w:sz w:val="32"/>
        </w:rPr>
        <w:t>2024年度一般公共预算财政拨款基本支出71.00万元，其中：</w:t>
      </w:r>
      <w:r>
        <w:rPr>
          <w:rFonts w:ascii="仿宋_GB2312" w:hAnsi="仿宋_GB2312" w:eastAsia="仿宋_GB2312"/>
          <w:b/>
          <w:sz w:val="32"/>
        </w:rPr>
        <w:t>人员经费70.27万元，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包括：基本工资、津贴补贴、奖金、绩效工资、机关事业单位基本养老保险缴费、职工基本医疗保险缴费、其他社会保障缴费、住房公积金、退休费、奖励金。</w:t>
      </w:r>
    </w:p>
    <w:p w14:paraId="30297BAA">
      <w:pPr>
        <w:spacing w:line="580" w:lineRule="exact"/>
        <w:ind w:firstLine="640"/>
        <w:jc w:val="both"/>
      </w:pPr>
      <w:r>
        <w:rPr>
          <w:rFonts w:ascii="仿宋_GB2312" w:hAnsi="仿宋_GB2312" w:eastAsia="仿宋_GB2312"/>
          <w:b/>
          <w:sz w:val="32"/>
        </w:rPr>
        <w:t>公用经费0.73万元，</w:t>
      </w:r>
      <w:r>
        <w:rPr>
          <w:rFonts w:ascii="仿宋_GB2312" w:hAnsi="仿宋_GB2312" w:eastAsia="仿宋_GB2312"/>
          <w:b w:val="0"/>
          <w:sz w:val="32"/>
        </w:rPr>
        <w:t>包括：工会经费、福利费。</w:t>
      </w:r>
    </w:p>
    <w:p w14:paraId="6D2B0788">
      <w:pPr>
        <w:spacing w:line="640" w:lineRule="exact"/>
        <w:ind w:firstLine="640"/>
        <w:jc w:val="both"/>
        <w:outlineLvl w:val="2"/>
      </w:pPr>
      <w:r>
        <w:rPr>
          <w:rFonts w:ascii="黑体" w:hAnsi="黑体" w:eastAsia="黑体"/>
          <w:sz w:val="32"/>
        </w:rPr>
        <w:t>七、政府性基金预算财政拨款收入支出决算情况说明</w:t>
      </w:r>
    </w:p>
    <w:p w14:paraId="77B8E39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B4D7090">
      <w:pPr>
        <w:spacing w:line="640" w:lineRule="exact"/>
        <w:ind w:firstLine="640"/>
        <w:jc w:val="both"/>
        <w:outlineLvl w:val="2"/>
      </w:pPr>
      <w:r>
        <w:rPr>
          <w:rFonts w:ascii="黑体" w:hAnsi="黑体" w:eastAsia="黑体"/>
          <w:sz w:val="32"/>
        </w:rPr>
        <w:t>八、国有资本经营预算财政拨款收入支出决算情况说明</w:t>
      </w:r>
    </w:p>
    <w:p w14:paraId="42E945F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CC38730">
      <w:pPr>
        <w:spacing w:line="640" w:lineRule="exact"/>
        <w:ind w:firstLine="640"/>
        <w:jc w:val="both"/>
        <w:outlineLvl w:val="2"/>
      </w:pPr>
      <w:r>
        <w:rPr>
          <w:rFonts w:ascii="黑体" w:hAnsi="黑体" w:eastAsia="黑体"/>
          <w:sz w:val="32"/>
        </w:rPr>
        <w:t>九、财政拨款“三公”经费支出决算情况说明</w:t>
      </w:r>
    </w:p>
    <w:p w14:paraId="784D14F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0584164">
      <w:pPr>
        <w:spacing w:line="580" w:lineRule="exact"/>
        <w:ind w:firstLine="640"/>
        <w:jc w:val="both"/>
      </w:pPr>
      <w:r>
        <w:rPr>
          <w:rFonts w:ascii="仿宋_GB2312" w:hAnsi="仿宋_GB2312" w:eastAsia="仿宋_GB2312"/>
          <w:b/>
          <w:sz w:val="32"/>
        </w:rPr>
        <w:t>具体情况如下：</w:t>
      </w:r>
    </w:p>
    <w:p w14:paraId="365E564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C43F66D">
      <w:pPr>
        <w:spacing w:line="580" w:lineRule="exact"/>
        <w:ind w:firstLine="640"/>
        <w:jc w:val="both"/>
        <w:rPr>
          <w:spacing w:val="-6"/>
          <w:sz w:val="32"/>
        </w:rPr>
      </w:pPr>
      <w:r>
        <w:rPr>
          <w:rFonts w:ascii="仿宋_GB2312" w:hAnsi="仿宋_GB2312" w:eastAsia="仿宋_GB2312"/>
          <w:b w:val="0"/>
          <w:spacing w:val="-6"/>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991E4D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05BEF7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7BD86FC">
      <w:pPr>
        <w:spacing w:line="640" w:lineRule="exact"/>
        <w:ind w:firstLine="640"/>
        <w:jc w:val="both"/>
        <w:outlineLvl w:val="2"/>
      </w:pPr>
      <w:r>
        <w:rPr>
          <w:rFonts w:ascii="黑体" w:hAnsi="黑体" w:eastAsia="黑体"/>
          <w:sz w:val="32"/>
        </w:rPr>
        <w:t>十、其他重要事项的情况说明</w:t>
      </w:r>
    </w:p>
    <w:p w14:paraId="619C9551">
      <w:pPr>
        <w:spacing w:line="640" w:lineRule="exact"/>
        <w:ind w:firstLine="640"/>
        <w:jc w:val="both"/>
        <w:outlineLvl w:val="3"/>
      </w:pPr>
      <w:r>
        <w:rPr>
          <w:rFonts w:ascii="楷体_GB2312" w:hAnsi="楷体_GB2312" w:eastAsia="楷体_GB2312"/>
          <w:b/>
          <w:sz w:val="32"/>
        </w:rPr>
        <w:t>（一）机关运行经费及公用经费支出情况</w:t>
      </w:r>
    </w:p>
    <w:p w14:paraId="7F1A3A92">
      <w:pPr>
        <w:spacing w:line="580" w:lineRule="exact"/>
        <w:ind w:firstLine="640"/>
        <w:jc w:val="both"/>
      </w:pPr>
      <w:r>
        <w:rPr>
          <w:rFonts w:ascii="仿宋_GB2312" w:hAnsi="仿宋_GB2312" w:eastAsia="仿宋_GB2312"/>
          <w:b w:val="0"/>
          <w:sz w:val="32"/>
        </w:rPr>
        <w:t>2024年度裕民县青少年校外活动中心（事业单位）公用经费支出0.73万元，比上年增加0.21万元，增长40.38%，主要原因是：本年单位工会经费增加，导致公用经费增加。</w:t>
      </w:r>
    </w:p>
    <w:p w14:paraId="181D2762">
      <w:pPr>
        <w:spacing w:line="640" w:lineRule="exact"/>
        <w:ind w:firstLine="640"/>
        <w:jc w:val="both"/>
        <w:outlineLvl w:val="3"/>
      </w:pPr>
      <w:r>
        <w:rPr>
          <w:rFonts w:ascii="楷体_GB2312" w:hAnsi="楷体_GB2312" w:eastAsia="楷体_GB2312"/>
          <w:b/>
          <w:sz w:val="32"/>
        </w:rPr>
        <w:t>（二）政府采购情况</w:t>
      </w:r>
    </w:p>
    <w:p w14:paraId="5F17E478">
      <w:pPr>
        <w:spacing w:line="580" w:lineRule="exact"/>
        <w:ind w:firstLine="640"/>
        <w:jc w:val="both"/>
      </w:pPr>
      <w:r>
        <w:rPr>
          <w:rFonts w:ascii="仿宋_GB2312" w:hAnsi="仿宋_GB2312" w:eastAsia="仿宋_GB2312"/>
          <w:b w:val="0"/>
          <w:sz w:val="32"/>
        </w:rPr>
        <w:t>2024年度政府采购支出总额28.41万元，其中：政府采购货物支出16.93万元、政府采购工程支出2.40万元、政府采购服务支出9.09万元。</w:t>
      </w:r>
    </w:p>
    <w:p w14:paraId="61B14059">
      <w:pPr>
        <w:spacing w:line="580" w:lineRule="exact"/>
        <w:ind w:firstLine="640"/>
        <w:jc w:val="both"/>
      </w:pPr>
      <w:r>
        <w:rPr>
          <w:rFonts w:ascii="仿宋_GB2312" w:hAnsi="仿宋_GB2312" w:eastAsia="仿宋_GB2312"/>
          <w:b w:val="0"/>
          <w:sz w:val="32"/>
        </w:rPr>
        <w:t>授予中小企业合同金额28.41万元，占政府采购支出总额的100.00%，其中：授予小微企业合同金额28.41万元，占政府采购支出总额的100.00%。</w:t>
      </w:r>
    </w:p>
    <w:p w14:paraId="7ABF534A">
      <w:pPr>
        <w:spacing w:line="640" w:lineRule="exact"/>
        <w:ind w:firstLine="640"/>
        <w:jc w:val="both"/>
        <w:outlineLvl w:val="3"/>
      </w:pPr>
      <w:r>
        <w:rPr>
          <w:rFonts w:ascii="楷体_GB2312" w:hAnsi="楷体_GB2312" w:eastAsia="楷体_GB2312"/>
          <w:b/>
          <w:sz w:val="32"/>
        </w:rPr>
        <w:t>（三）国有资产占用情况说明</w:t>
      </w:r>
    </w:p>
    <w:p w14:paraId="5D57782F">
      <w:pPr>
        <w:spacing w:line="580" w:lineRule="exact"/>
        <w:ind w:firstLine="640"/>
        <w:jc w:val="both"/>
      </w:pPr>
      <w:r>
        <w:rPr>
          <w:rFonts w:ascii="仿宋_GB2312" w:hAnsi="仿宋_GB2312" w:eastAsia="仿宋_GB2312"/>
          <w:b w:val="0"/>
          <w:sz w:val="32"/>
        </w:rPr>
        <w:t>截至2024年12月31日，房屋3,426.00平方米，价值673.40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CA58C0B">
      <w:pPr>
        <w:spacing w:line="640" w:lineRule="exact"/>
        <w:ind w:firstLine="640"/>
        <w:jc w:val="both"/>
        <w:outlineLvl w:val="2"/>
      </w:pPr>
      <w:r>
        <w:rPr>
          <w:rFonts w:ascii="黑体" w:hAnsi="黑体" w:eastAsia="黑体"/>
          <w:sz w:val="32"/>
        </w:rPr>
        <w:t>十一、预算绩效的情况说明</w:t>
      </w:r>
    </w:p>
    <w:p w14:paraId="1DB289D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223.85万元，实际执行总额223.85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14:paraId="3E64286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0EB75BD">
        <w:tblPrEx>
          <w:tblCellMar>
            <w:top w:w="0" w:type="dxa"/>
            <w:left w:w="108" w:type="dxa"/>
            <w:bottom w:w="0" w:type="dxa"/>
            <w:right w:w="108" w:type="dxa"/>
          </w:tblCellMar>
        </w:tblPrEx>
        <w:tc>
          <w:tcPr>
            <w:tcW w:w="8840" w:type="dxa"/>
            <w:gridSpan w:val="8"/>
            <w:vAlign w:val="center"/>
          </w:tcPr>
          <w:p w14:paraId="7B6531C5">
            <w:pPr>
              <w:jc w:val="center"/>
            </w:pPr>
            <w:r>
              <w:rPr>
                <w:rFonts w:ascii="宋体" w:hAnsi="宋体" w:eastAsia="宋体"/>
                <w:sz w:val="24"/>
              </w:rPr>
              <w:t>单位整体支出绩效自评表</w:t>
            </w:r>
          </w:p>
        </w:tc>
      </w:tr>
      <w:tr w14:paraId="33606699">
        <w:tblPrEx>
          <w:tblCellMar>
            <w:top w:w="0" w:type="dxa"/>
            <w:left w:w="108" w:type="dxa"/>
            <w:bottom w:w="0" w:type="dxa"/>
            <w:right w:w="108" w:type="dxa"/>
          </w:tblCellMar>
        </w:tblPrEx>
        <w:tc>
          <w:tcPr>
            <w:tcW w:w="8840" w:type="dxa"/>
            <w:gridSpan w:val="8"/>
            <w:vAlign w:val="center"/>
          </w:tcPr>
          <w:p w14:paraId="1CA72856">
            <w:pPr>
              <w:jc w:val="center"/>
            </w:pPr>
            <w:r>
              <w:rPr>
                <w:rFonts w:ascii="宋体" w:hAnsi="宋体" w:eastAsia="宋体"/>
                <w:sz w:val="24"/>
              </w:rPr>
              <w:t>（2024年度）</w:t>
            </w:r>
          </w:p>
        </w:tc>
      </w:tr>
      <w:tr w14:paraId="617152F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08CEA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40357C">
            <w:pPr>
              <w:jc w:val="center"/>
            </w:pPr>
            <w:r>
              <w:rPr>
                <w:rFonts w:ascii="宋体" w:hAnsi="宋体" w:eastAsia="宋体"/>
                <w:sz w:val="16"/>
              </w:rPr>
              <w:t>裕民县青少年校外活动中心</w:t>
            </w:r>
          </w:p>
        </w:tc>
      </w:tr>
      <w:tr w14:paraId="118D607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584059">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DB9D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161B1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2335A9">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D57B3C">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E37E2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50EC1B">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23E150">
            <w:pPr>
              <w:jc w:val="center"/>
            </w:pPr>
            <w:r>
              <w:rPr>
                <w:rFonts w:ascii="宋体" w:hAnsi="宋体" w:eastAsia="宋体"/>
                <w:sz w:val="16"/>
              </w:rPr>
              <w:t>得分</w:t>
            </w:r>
          </w:p>
        </w:tc>
      </w:tr>
      <w:tr w14:paraId="4E6993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776B4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4628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8A306">
            <w:pPr>
              <w:jc w:val="center"/>
            </w:pPr>
            <w:r>
              <w:rPr>
                <w:rFonts w:ascii="宋体" w:hAnsi="宋体" w:eastAsia="宋体"/>
                <w:sz w:val="16"/>
              </w:rPr>
              <w:t>323.46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FEC970">
            <w:pPr>
              <w:jc w:val="center"/>
            </w:pPr>
            <w:r>
              <w:rPr>
                <w:rFonts w:ascii="宋体" w:hAnsi="宋体" w:eastAsia="宋体"/>
                <w:sz w:val="16"/>
              </w:rPr>
              <w:t>223.85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EC3810">
            <w:pPr>
              <w:jc w:val="center"/>
            </w:pPr>
            <w:r>
              <w:rPr>
                <w:rFonts w:ascii="宋体" w:hAnsi="宋体" w:eastAsia="宋体"/>
                <w:sz w:val="16"/>
              </w:rPr>
              <w:t>223.85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39F7B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DA01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C7C46">
            <w:pPr>
              <w:jc w:val="center"/>
            </w:pPr>
            <w:r>
              <w:rPr>
                <w:rFonts w:ascii="宋体" w:hAnsi="宋体" w:eastAsia="宋体"/>
                <w:sz w:val="16"/>
              </w:rPr>
              <w:t>10</w:t>
            </w:r>
          </w:p>
        </w:tc>
      </w:tr>
      <w:tr w14:paraId="1E8B78E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D0F89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AFA84">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FA139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EDFB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4D453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7811B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0FC25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22D987">
            <w:pPr>
              <w:jc w:val="center"/>
            </w:pPr>
            <w:r>
              <w:rPr>
                <w:rFonts w:ascii="宋体" w:hAnsi="宋体" w:eastAsia="宋体"/>
                <w:sz w:val="16"/>
              </w:rPr>
              <w:t>-</w:t>
            </w:r>
          </w:p>
        </w:tc>
      </w:tr>
      <w:tr w14:paraId="6951A86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AD0E1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185F0">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FD220">
            <w:pPr>
              <w:jc w:val="center"/>
            </w:pPr>
            <w:r>
              <w:rPr>
                <w:rFonts w:ascii="宋体" w:hAnsi="宋体" w:eastAsia="宋体"/>
                <w:sz w:val="16"/>
              </w:rPr>
              <w:t>68.51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ECB838">
            <w:pPr>
              <w:jc w:val="center"/>
            </w:pPr>
            <w:r>
              <w:rPr>
                <w:rFonts w:ascii="宋体" w:hAnsi="宋体" w:eastAsia="宋体"/>
                <w:sz w:val="16"/>
              </w:rPr>
              <w:t>71.27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FC3163">
            <w:pPr>
              <w:jc w:val="center"/>
            </w:pPr>
            <w:r>
              <w:rPr>
                <w:rFonts w:ascii="宋体" w:hAnsi="宋体" w:eastAsia="宋体"/>
                <w:sz w:val="16"/>
              </w:rPr>
              <w:t>71.27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20090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B8244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78F5E6">
            <w:pPr>
              <w:jc w:val="center"/>
            </w:pPr>
            <w:r>
              <w:rPr>
                <w:rFonts w:ascii="宋体" w:hAnsi="宋体" w:eastAsia="宋体"/>
                <w:sz w:val="16"/>
              </w:rPr>
              <w:t>-</w:t>
            </w:r>
          </w:p>
        </w:tc>
      </w:tr>
      <w:tr w14:paraId="65EE25E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82D2A0">
            <w:bookmarkStart w:id="0" w:name="_GoBack" w:colFirst="5" w:colLast="7"/>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5618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DF3BB8">
            <w:pPr>
              <w:jc w:val="center"/>
            </w:pPr>
            <w:r>
              <w:rPr>
                <w:rFonts w:ascii="宋体" w:hAnsi="宋体" w:eastAsia="宋体"/>
                <w:sz w:val="16"/>
              </w:rPr>
              <w:t>254.95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E7C7C">
            <w:pPr>
              <w:jc w:val="center"/>
            </w:pPr>
            <w:r>
              <w:rPr>
                <w:rFonts w:ascii="宋体" w:hAnsi="宋体" w:eastAsia="宋体"/>
                <w:sz w:val="16"/>
              </w:rPr>
              <w:t>152.58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862CE3">
            <w:pPr>
              <w:jc w:val="center"/>
            </w:pPr>
            <w:r>
              <w:rPr>
                <w:rFonts w:ascii="宋体" w:hAnsi="宋体" w:eastAsia="宋体"/>
                <w:sz w:val="16"/>
              </w:rPr>
              <w:t>152.58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4471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60890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D12B9">
            <w:pPr>
              <w:jc w:val="center"/>
            </w:pPr>
            <w:r>
              <w:rPr>
                <w:rFonts w:ascii="宋体" w:hAnsi="宋体" w:eastAsia="宋体"/>
                <w:sz w:val="16"/>
              </w:rPr>
              <w:t>-</w:t>
            </w:r>
          </w:p>
        </w:tc>
      </w:tr>
      <w:bookmarkEnd w:id="0"/>
      <w:tr w14:paraId="0F67B66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F4C24C">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C2D34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743573">
            <w:pPr>
              <w:jc w:val="center"/>
            </w:pPr>
            <w:r>
              <w:rPr>
                <w:rFonts w:ascii="宋体" w:hAnsi="宋体" w:eastAsia="宋体"/>
                <w:sz w:val="16"/>
              </w:rPr>
              <w:t>实际完成情况</w:t>
            </w:r>
          </w:p>
        </w:tc>
      </w:tr>
      <w:tr w14:paraId="4F8D092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C6AB6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0D9093">
            <w:pPr>
              <w:jc w:val="both"/>
            </w:pPr>
            <w:r>
              <w:rPr>
                <w:rFonts w:ascii="宋体" w:hAnsi="宋体" w:eastAsia="宋体"/>
                <w:sz w:val="16"/>
              </w:rPr>
              <w:t>负责做好全县青少年学生校外活动和社会实践活动的总体规划、组织落实和管理工作。通过举办各类培训班，培养青少年的文化艺术体育特长、劳动技能和科技创新能力。负责参与或具体承办县教育局组织的中小学生文化、体育、艺术竞赛及大型文体活动和科技活动。协助抓好共青团和少先队组织的教育培训工作。对全区各少先队组织进行业务指导，策划、开展少先队主题活动。面向全县青少年学生组织开展夏、冬令营活动。与全国各地同行单位和相关机构建立信息交流网络，为青少年及时提供各类培训学习、文化交流、比赛展览等方面的信息。及承办县教育局交办的其他事项。</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838055">
            <w:pPr>
              <w:jc w:val="both"/>
            </w:pPr>
            <w:r>
              <w:rPr>
                <w:rFonts w:ascii="宋体" w:hAnsi="宋体" w:eastAsia="宋体"/>
                <w:sz w:val="16"/>
              </w:rPr>
              <w:t>2024年裕民县青少年校外活动中心全年履职尽责，根据确定的工作目标，本单位做好在职、退休、遗属人员工资、社保、住房公积金、遗属补助的发放和缴纳工作。紧紧围绕学习宣传贯彻党的二十大精神，积极完整准确贯彻新时代党的治疆方略，负责做好全县青少年学生校外活动和社会实践活动的总体规划、组织落实和管理工作。通过举办各类培训班，培养青少年的文化艺术体育特长、劳动技能和科技创新能力。负责参与或具体承办县教育局组织的中小学生文化、体育、艺术竞赛及大型文体活动和科技活动。协助抓好共青团和少先队组织的教育培训工作。对全区各少先队组织进行业务指导，策划、开展少先队主题活动。面向全县青少年学生组织开展夏、冬令营活动。与全国各地同行单位和相关机构建立信息交流网络，为青少年及时提供各类培训学习、文化交流、比赛展览等方面的信息。及承办县教育局交办的其他事项。</w:t>
            </w:r>
          </w:p>
        </w:tc>
      </w:tr>
      <w:tr w14:paraId="0F9DB5E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BC797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09D0B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1A7BB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A05AB3">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4674A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4B3E9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6C3A8C">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4ABBE">
            <w:pPr>
              <w:jc w:val="center"/>
            </w:pPr>
            <w:r>
              <w:rPr>
                <w:rFonts w:ascii="宋体" w:hAnsi="宋体" w:eastAsia="宋体"/>
                <w:sz w:val="16"/>
              </w:rPr>
              <w:t>得分</w:t>
            </w:r>
          </w:p>
        </w:tc>
      </w:tr>
      <w:tr w14:paraId="34262D6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228C9F">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3231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01F4B">
            <w:pPr>
              <w:jc w:val="center"/>
            </w:pPr>
            <w:r>
              <w:rPr>
                <w:rFonts w:ascii="宋体" w:hAnsi="宋体" w:eastAsia="宋体"/>
                <w:sz w:val="16"/>
              </w:rPr>
              <w:t>在职职工人数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29D723">
            <w:pPr>
              <w:jc w:val="center"/>
            </w:pPr>
            <w:r>
              <w:rPr>
                <w:rFonts w:ascii="宋体" w:hAnsi="宋体" w:eastAsia="宋体"/>
                <w:sz w:val="16"/>
              </w:rPr>
              <w:t>&gt;=4人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20ABE">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A8AEE4">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7ACE58">
            <w:pPr>
              <w:jc w:val="center"/>
            </w:pPr>
            <w:r>
              <w:rPr>
                <w:rFonts w:ascii="宋体" w:hAnsi="宋体" w:eastAsia="宋体"/>
                <w:sz w:val="16"/>
              </w:rPr>
              <w: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E4FCAF">
            <w:pPr>
              <w:jc w:val="center"/>
            </w:pPr>
            <w:r>
              <w:rPr>
                <w:rFonts w:ascii="宋体" w:hAnsi="宋体" w:eastAsia="宋体"/>
                <w:sz w:val="16"/>
              </w:rPr>
              <w:t>12</w:t>
            </w:r>
          </w:p>
        </w:tc>
      </w:tr>
      <w:tr w14:paraId="037BB50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E7ACF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2854D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09902E">
            <w:pPr>
              <w:jc w:val="center"/>
            </w:pPr>
            <w:r>
              <w:rPr>
                <w:rFonts w:ascii="宋体" w:hAnsi="宋体" w:eastAsia="宋体"/>
                <w:sz w:val="16"/>
              </w:rPr>
              <w:t>退休人数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DD1E6">
            <w:pPr>
              <w:jc w:val="center"/>
            </w:pPr>
            <w:r>
              <w:rPr>
                <w:rFonts w:ascii="宋体" w:hAnsi="宋体" w:eastAsia="宋体"/>
                <w:sz w:val="16"/>
              </w:rPr>
              <w:t>&gt;=1人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023F7D">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5BF229">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351C0D">
            <w:pPr>
              <w:jc w:val="center"/>
            </w:pPr>
            <w:r>
              <w:rPr>
                <w:rFonts w:ascii="宋体" w:hAnsi="宋体" w:eastAsia="宋体"/>
                <w:sz w:val="16"/>
              </w:rPr>
              <w: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F6842E">
            <w:pPr>
              <w:jc w:val="center"/>
            </w:pPr>
            <w:r>
              <w:rPr>
                <w:rFonts w:ascii="宋体" w:hAnsi="宋体" w:eastAsia="宋体"/>
                <w:sz w:val="16"/>
              </w:rPr>
              <w:t>12</w:t>
            </w:r>
          </w:p>
        </w:tc>
      </w:tr>
      <w:tr w14:paraId="079CEA8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FB04C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FAE91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B7B8C">
            <w:pPr>
              <w:jc w:val="center"/>
            </w:pPr>
            <w:r>
              <w:rPr>
                <w:rFonts w:ascii="宋体" w:hAnsi="宋体" w:eastAsia="宋体"/>
                <w:sz w:val="16"/>
              </w:rPr>
              <w:t>开展主题活动场次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705A3">
            <w:pPr>
              <w:jc w:val="center"/>
            </w:pPr>
            <w:r>
              <w:rPr>
                <w:rFonts w:ascii="宋体" w:hAnsi="宋体" w:eastAsia="宋体"/>
                <w:sz w:val="16"/>
              </w:rPr>
              <w:t>&gt;=20场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130EB">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B3D73">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C0F0D6">
            <w:pPr>
              <w:jc w:val="center"/>
            </w:pPr>
            <w:r>
              <w:rPr>
                <w:rFonts w:ascii="宋体" w:hAnsi="宋体" w:eastAsia="宋体"/>
                <w:sz w:val="16"/>
              </w:rPr>
              <w:t>20场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26642D">
            <w:pPr>
              <w:jc w:val="center"/>
            </w:pPr>
            <w:r>
              <w:rPr>
                <w:rFonts w:ascii="宋体" w:hAnsi="宋体" w:eastAsia="宋体"/>
                <w:sz w:val="16"/>
              </w:rPr>
              <w:t>12</w:t>
            </w:r>
          </w:p>
        </w:tc>
      </w:tr>
      <w:tr w14:paraId="03D22C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42476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B3605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05429">
            <w:pPr>
              <w:jc w:val="center"/>
            </w:pPr>
            <w:r>
              <w:rPr>
                <w:rFonts w:ascii="宋体" w:hAnsi="宋体" w:eastAsia="宋体"/>
                <w:sz w:val="16"/>
              </w:rPr>
              <w:t>开展夏、冬令营活动次数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D50729">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F21AE">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3794D">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383655">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B63EB">
            <w:pPr>
              <w:jc w:val="center"/>
            </w:pPr>
            <w:r>
              <w:rPr>
                <w:rFonts w:ascii="宋体" w:hAnsi="宋体" w:eastAsia="宋体"/>
                <w:sz w:val="16"/>
              </w:rPr>
              <w:t>12</w:t>
            </w:r>
          </w:p>
        </w:tc>
      </w:tr>
      <w:tr w14:paraId="5D56D6C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BA7EC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3AE3D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5C413E">
            <w:pPr>
              <w:jc w:val="center"/>
            </w:pPr>
            <w:r>
              <w:rPr>
                <w:rFonts w:ascii="宋体" w:hAnsi="宋体" w:eastAsia="宋体"/>
                <w:sz w:val="16"/>
              </w:rPr>
              <w:t>提供各类培训学习、文化交流次数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E16E9">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857EF3">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95F9FE">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BCA160">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68B05">
            <w:pPr>
              <w:jc w:val="center"/>
            </w:pPr>
            <w:r>
              <w:rPr>
                <w:rFonts w:ascii="宋体" w:hAnsi="宋体" w:eastAsia="宋体"/>
                <w:sz w:val="16"/>
              </w:rPr>
              <w:t>12</w:t>
            </w:r>
          </w:p>
        </w:tc>
      </w:tr>
      <w:tr w14:paraId="0A21D5D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C2FE63"/>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37C26">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02DF6">
            <w:pPr>
              <w:jc w:val="center"/>
            </w:pPr>
            <w:r>
              <w:rPr>
                <w:rFonts w:ascii="宋体" w:hAnsi="宋体" w:eastAsia="宋体"/>
                <w:sz w:val="16"/>
              </w:rPr>
              <w:t>开展主题活动达标率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D66B4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79EB2">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6015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E0A93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F18D0">
            <w:pPr>
              <w:jc w:val="center"/>
            </w:pPr>
            <w:r>
              <w:rPr>
                <w:rFonts w:ascii="宋体" w:hAnsi="宋体" w:eastAsia="宋体"/>
                <w:sz w:val="16"/>
              </w:rPr>
              <w:t>15</w:t>
            </w:r>
          </w:p>
        </w:tc>
      </w:tr>
      <w:tr w14:paraId="3A9FB8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17225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15FD7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18B7C">
            <w:pPr>
              <w:jc w:val="center"/>
            </w:pPr>
            <w:r>
              <w:rPr>
                <w:rFonts w:ascii="宋体" w:hAnsi="宋体" w:eastAsia="宋体"/>
                <w:sz w:val="16"/>
              </w:rPr>
              <w:t>开展夏、冬令营活动覆盖率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7EFB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2A39F8">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32883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5AFB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0A2124">
            <w:pPr>
              <w:jc w:val="center"/>
            </w:pPr>
            <w:r>
              <w:rPr>
                <w:rFonts w:ascii="宋体" w:hAnsi="宋体" w:eastAsia="宋体"/>
                <w:sz w:val="16"/>
              </w:rPr>
              <w:t>15</w:t>
            </w:r>
          </w:p>
        </w:tc>
      </w:tr>
    </w:tbl>
    <w:p w14:paraId="7AB8222C">
      <w:r>
        <w:br w:type="page"/>
      </w:r>
    </w:p>
    <w:p w14:paraId="21A13D0C">
      <w:pPr>
        <w:spacing w:line="640" w:lineRule="exact"/>
        <w:ind w:firstLine="640"/>
        <w:jc w:val="both"/>
        <w:outlineLvl w:val="2"/>
      </w:pPr>
      <w:r>
        <w:rPr>
          <w:rFonts w:ascii="黑体" w:hAnsi="黑体" w:eastAsia="黑体"/>
          <w:sz w:val="32"/>
        </w:rPr>
        <w:t>十二、其他需说明的事项</w:t>
      </w:r>
    </w:p>
    <w:p w14:paraId="3CC67A45">
      <w:pPr>
        <w:spacing w:line="580" w:lineRule="exact"/>
        <w:ind w:firstLine="640"/>
        <w:jc w:val="both"/>
      </w:pPr>
      <w:r>
        <w:rPr>
          <w:rFonts w:ascii="仿宋_GB2312" w:hAnsi="仿宋_GB2312" w:eastAsia="仿宋_GB2312"/>
          <w:b w:val="0"/>
          <w:sz w:val="32"/>
        </w:rPr>
        <w:t>本单位无其他需说明的事项。</w:t>
      </w:r>
    </w:p>
    <w:p w14:paraId="2DD4A937">
      <w:r>
        <w:br w:type="page"/>
      </w:r>
    </w:p>
    <w:p w14:paraId="5B6D4FBB">
      <w:pPr>
        <w:spacing w:line="240" w:lineRule="auto"/>
        <w:jc w:val="center"/>
        <w:outlineLvl w:val="1"/>
      </w:pPr>
      <w:r>
        <w:rPr>
          <w:rFonts w:ascii="黑体" w:hAnsi="黑体" w:eastAsia="黑体"/>
          <w:sz w:val="32"/>
        </w:rPr>
        <w:t>第三部分 专业名词解释</w:t>
      </w:r>
    </w:p>
    <w:p w14:paraId="01128FA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30F4AC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074B05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404FA2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51B476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E56C1C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7A7C25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791DA8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2BC80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398436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AA1E5B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230DD5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E327EA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5C607C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D6AEFFA">
      <w:r>
        <w:br w:type="page"/>
      </w:r>
    </w:p>
    <w:p w14:paraId="6874D3E2">
      <w:pPr>
        <w:spacing w:line="240" w:lineRule="auto"/>
        <w:jc w:val="center"/>
        <w:outlineLvl w:val="1"/>
      </w:pPr>
      <w:r>
        <w:rPr>
          <w:rFonts w:ascii="黑体" w:hAnsi="黑体" w:eastAsia="黑体"/>
          <w:sz w:val="32"/>
        </w:rPr>
        <w:t>第四部分 部门决算报表（见附表）</w:t>
      </w:r>
    </w:p>
    <w:p w14:paraId="10680840">
      <w:pPr>
        <w:spacing w:line="240" w:lineRule="auto"/>
        <w:ind w:firstLine="640"/>
        <w:jc w:val="both"/>
      </w:pPr>
      <w:r>
        <w:rPr>
          <w:rFonts w:ascii="仿宋_GB2312" w:hAnsi="仿宋_GB2312" w:eastAsia="仿宋_GB2312"/>
          <w:b w:val="0"/>
          <w:sz w:val="32"/>
        </w:rPr>
        <w:t>一、《收入支出决算总表》</w:t>
      </w:r>
    </w:p>
    <w:p w14:paraId="4409130E">
      <w:pPr>
        <w:spacing w:line="240" w:lineRule="auto"/>
        <w:ind w:firstLine="640"/>
        <w:jc w:val="both"/>
      </w:pPr>
      <w:r>
        <w:rPr>
          <w:rFonts w:ascii="仿宋_GB2312" w:hAnsi="仿宋_GB2312" w:eastAsia="仿宋_GB2312"/>
          <w:b w:val="0"/>
          <w:sz w:val="32"/>
        </w:rPr>
        <w:t>二、《收入决算表》</w:t>
      </w:r>
    </w:p>
    <w:p w14:paraId="5F530637">
      <w:pPr>
        <w:spacing w:line="240" w:lineRule="auto"/>
        <w:ind w:firstLine="640"/>
        <w:jc w:val="both"/>
      </w:pPr>
      <w:r>
        <w:rPr>
          <w:rFonts w:ascii="仿宋_GB2312" w:hAnsi="仿宋_GB2312" w:eastAsia="仿宋_GB2312"/>
          <w:b w:val="0"/>
          <w:sz w:val="32"/>
        </w:rPr>
        <w:t>三、《支出决算表》</w:t>
      </w:r>
    </w:p>
    <w:p w14:paraId="2AFD6C56">
      <w:pPr>
        <w:spacing w:line="240" w:lineRule="auto"/>
        <w:ind w:firstLine="640"/>
        <w:jc w:val="both"/>
      </w:pPr>
      <w:r>
        <w:rPr>
          <w:rFonts w:ascii="仿宋_GB2312" w:hAnsi="仿宋_GB2312" w:eastAsia="仿宋_GB2312"/>
          <w:b w:val="0"/>
          <w:sz w:val="32"/>
        </w:rPr>
        <w:t>四、《财政拨款收入支出决算总表》</w:t>
      </w:r>
    </w:p>
    <w:p w14:paraId="53544383">
      <w:pPr>
        <w:spacing w:line="240" w:lineRule="auto"/>
        <w:ind w:firstLine="640"/>
        <w:jc w:val="both"/>
      </w:pPr>
      <w:r>
        <w:rPr>
          <w:rFonts w:ascii="仿宋_GB2312" w:hAnsi="仿宋_GB2312" w:eastAsia="仿宋_GB2312"/>
          <w:b w:val="0"/>
          <w:sz w:val="32"/>
        </w:rPr>
        <w:t>五、《一般公共预算财政拨款支出决算表》</w:t>
      </w:r>
    </w:p>
    <w:p w14:paraId="577E0C98">
      <w:pPr>
        <w:spacing w:line="240" w:lineRule="auto"/>
        <w:ind w:firstLine="640"/>
        <w:jc w:val="both"/>
      </w:pPr>
      <w:r>
        <w:rPr>
          <w:rFonts w:ascii="仿宋_GB2312" w:hAnsi="仿宋_GB2312" w:eastAsia="仿宋_GB2312"/>
          <w:b w:val="0"/>
          <w:sz w:val="32"/>
        </w:rPr>
        <w:t>六、《一般公共预算财政拨款基本支出决算表》</w:t>
      </w:r>
    </w:p>
    <w:p w14:paraId="727A6FE8">
      <w:pPr>
        <w:spacing w:line="240" w:lineRule="auto"/>
        <w:ind w:firstLine="640"/>
        <w:jc w:val="both"/>
      </w:pPr>
      <w:r>
        <w:rPr>
          <w:rFonts w:ascii="仿宋_GB2312" w:hAnsi="仿宋_GB2312" w:eastAsia="仿宋_GB2312"/>
          <w:b w:val="0"/>
          <w:sz w:val="32"/>
        </w:rPr>
        <w:t>七、《政府性基金预算财政拨款收入支出决算表》</w:t>
      </w:r>
    </w:p>
    <w:p w14:paraId="5BF0BCAF">
      <w:pPr>
        <w:spacing w:line="240" w:lineRule="auto"/>
        <w:ind w:firstLine="640"/>
        <w:jc w:val="both"/>
      </w:pPr>
      <w:r>
        <w:rPr>
          <w:rFonts w:ascii="仿宋_GB2312" w:hAnsi="仿宋_GB2312" w:eastAsia="仿宋_GB2312"/>
          <w:b w:val="0"/>
          <w:sz w:val="32"/>
        </w:rPr>
        <w:t>八、《国有资本经营预算财政拨款收入支出决算表》</w:t>
      </w:r>
    </w:p>
    <w:p w14:paraId="7E99D743">
      <w:pPr>
        <w:spacing w:line="240" w:lineRule="auto"/>
        <w:ind w:firstLine="640"/>
        <w:jc w:val="both"/>
      </w:pPr>
      <w:r>
        <w:rPr>
          <w:rFonts w:ascii="仿宋_GB2312" w:hAnsi="仿宋_GB2312" w:eastAsia="仿宋_GB2312"/>
          <w:b w:val="0"/>
          <w:sz w:val="32"/>
        </w:rPr>
        <w:t>九、《财政拨款“三公”经费支出决算表》</w:t>
      </w:r>
    </w:p>
    <w:p w14:paraId="16148746">
      <w:pPr>
        <w:spacing w:line="240" w:lineRule="auto"/>
        <w:ind w:firstLine="640"/>
        <w:jc w:val="both"/>
      </w:pPr>
    </w:p>
    <w:p w14:paraId="0DC5A735">
      <w:pPr>
        <w:spacing w:line="240" w:lineRule="auto"/>
        <w:ind w:firstLine="640"/>
        <w:jc w:val="both"/>
      </w:pPr>
    </w:p>
    <w:p w14:paraId="7F649904">
      <w:pPr>
        <w:spacing w:line="240" w:lineRule="auto"/>
        <w:ind w:firstLine="640"/>
        <w:jc w:val="both"/>
      </w:pPr>
    </w:p>
    <w:p w14:paraId="19E65097">
      <w:pPr>
        <w:spacing w:line="240" w:lineRule="auto"/>
        <w:ind w:firstLine="640"/>
        <w:jc w:val="both"/>
      </w:pPr>
    </w:p>
    <w:p w14:paraId="7D09000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78CD64B-A7BB-408D-92F8-917E377FAC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4B5B967-D842-4D2C-8357-610647219854}"/>
  </w:font>
  <w:font w:name="仿宋_GB2312">
    <w:altName w:val="仿宋"/>
    <w:panose1 w:val="02010609030101010101"/>
    <w:charset w:val="86"/>
    <w:family w:val="modern"/>
    <w:pitch w:val="default"/>
    <w:sig w:usb0="00000000" w:usb1="00000000" w:usb2="00000000" w:usb3="00000000" w:csb0="00040000" w:csb1="00000000"/>
    <w:embedRegular r:id="rId3" w:fontKey="{B84A317F-DB38-42B9-B56E-9B51ABE9A482}"/>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E00CC610-01E2-40D0-B780-F13E7737AC18}"/>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00030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165BA7"/>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dc68339f-6fcc-40d0-9919-ee6276339b8e</errorID>
      <errorWord>2月31日</errorWord>
      <group>L1_Sensitive</group>
      <groupName>敏感问题</groupName>
      <ability>L2_UserSensitive</ability>
      <abilityName>自定义敏感词</abilityName>
      <candidateList/>
      <explain>来自自定义敏感词库。</explain>
      <paraID>5D57782F</paraID>
      <start>8</start>
      <end>13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ef94e8-b839-4ffe-a42d-d5811441ae1d}">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1611</Words>
  <Characters>1853</Characters>
  <Lines>0</Lines>
  <Paragraphs>0</Paragraphs>
  <TotalTime>1</TotalTime>
  <ScaleCrop>false</ScaleCrop>
  <LinksUpToDate>false</LinksUpToDate>
  <CharactersWithSpaces>1861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2025-11-07T07:05:37Z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