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B7D4E">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4AB9A72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0440FE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94A382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5BD8B4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DEB03A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裕民县野生动物救护站2024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72A84D5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6712AF9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40C8C32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13B811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21BDE47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424C84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2F219E5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97675F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6708ACD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63022DF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C7AA60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6BFFC24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180837A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ACF5F1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681649B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061F7B5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38AF3CD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61B3385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D31FFB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E7DC50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58A42FC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4CBBEE1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01B48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2EE5981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1BBB019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4AA7CAB8">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5B92552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243DD89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6B89154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436BB2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6C5A69D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265164D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5E72577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3F69EF3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55C266E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221B293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221213E">
      <w:r>
        <w:br w:type="page"/>
      </w:r>
    </w:p>
    <w:p w14:paraId="17024B8B">
      <w:pPr>
        <w:spacing w:line="640" w:lineRule="exact"/>
        <w:jc w:val="center"/>
        <w:outlineLvl w:val="1"/>
      </w:pPr>
      <w:r>
        <w:rPr>
          <w:rFonts w:ascii="黑体" w:hAnsi="黑体" w:eastAsia="黑体"/>
          <w:sz w:val="32"/>
        </w:rPr>
        <w:t>第一部分 单位概况</w:t>
      </w:r>
    </w:p>
    <w:p w14:paraId="73DF89F1">
      <w:pPr>
        <w:spacing w:line="640" w:lineRule="exact"/>
        <w:ind w:firstLine="640"/>
        <w:jc w:val="both"/>
        <w:outlineLvl w:val="2"/>
      </w:pPr>
      <w:r>
        <w:rPr>
          <w:rFonts w:ascii="黑体" w:hAnsi="黑体" w:eastAsia="黑体"/>
          <w:sz w:val="32"/>
        </w:rPr>
        <w:t>一、主要职能</w:t>
      </w:r>
    </w:p>
    <w:p w14:paraId="3D523300">
      <w:pPr>
        <w:spacing w:line="580" w:lineRule="exact"/>
        <w:ind w:firstLine="640"/>
        <w:jc w:val="both"/>
      </w:pPr>
      <w:r>
        <w:rPr>
          <w:rFonts w:ascii="仿宋_GB2312" w:hAnsi="仿宋_GB2312" w:eastAsia="仿宋_GB2312"/>
          <w:sz w:val="32"/>
        </w:rPr>
        <w:t>（一）拯救我县珍贵濒危野生动植物。</w:t>
      </w:r>
    </w:p>
    <w:p w14:paraId="36252C55">
      <w:pPr>
        <w:spacing w:line="580" w:lineRule="exact"/>
        <w:ind w:firstLine="640"/>
        <w:jc w:val="both"/>
      </w:pPr>
      <w:r>
        <w:rPr>
          <w:rFonts w:ascii="仿宋_GB2312" w:hAnsi="仿宋_GB2312" w:eastAsia="仿宋_GB2312"/>
          <w:sz w:val="32"/>
        </w:rPr>
        <w:t>（二）加强对野生动植物资源的管理。</w:t>
      </w:r>
    </w:p>
    <w:p w14:paraId="18A239DC">
      <w:pPr>
        <w:spacing w:line="580" w:lineRule="exact"/>
        <w:ind w:firstLine="640"/>
        <w:jc w:val="both"/>
      </w:pPr>
      <w:r>
        <w:rPr>
          <w:rFonts w:ascii="仿宋_GB2312" w:hAnsi="仿宋_GB2312" w:eastAsia="仿宋_GB2312"/>
          <w:sz w:val="32"/>
        </w:rPr>
        <w:t>（三）加强我县野生动植物的宣传与保护。</w:t>
      </w:r>
    </w:p>
    <w:p w14:paraId="208E4BC8">
      <w:pPr>
        <w:spacing w:line="580" w:lineRule="exact"/>
        <w:ind w:firstLine="640"/>
        <w:jc w:val="both"/>
      </w:pPr>
      <w:r>
        <w:rPr>
          <w:rFonts w:ascii="仿宋_GB2312" w:hAnsi="仿宋_GB2312" w:eastAsia="仿宋_GB2312"/>
          <w:sz w:val="32"/>
        </w:rPr>
        <w:t>（四）保护、制定发展和合理利用我县野生动植物资源的规范和措施。</w:t>
      </w:r>
    </w:p>
    <w:p w14:paraId="053B129C">
      <w:pPr>
        <w:spacing w:line="580" w:lineRule="exact"/>
        <w:ind w:firstLine="640"/>
        <w:jc w:val="both"/>
      </w:pPr>
      <w:r>
        <w:rPr>
          <w:rFonts w:ascii="仿宋_GB2312" w:hAnsi="仿宋_GB2312" w:eastAsia="仿宋_GB2312"/>
          <w:sz w:val="32"/>
        </w:rPr>
        <w:t>（五）承办主管部门交办的其他事项。</w:t>
      </w:r>
    </w:p>
    <w:p w14:paraId="51BDB0FC">
      <w:pPr>
        <w:spacing w:line="640" w:lineRule="exact"/>
        <w:ind w:firstLine="640"/>
        <w:jc w:val="both"/>
        <w:outlineLvl w:val="2"/>
      </w:pPr>
      <w:r>
        <w:rPr>
          <w:rFonts w:ascii="黑体" w:hAnsi="黑体" w:eastAsia="黑体"/>
          <w:sz w:val="32"/>
        </w:rPr>
        <w:t>二、机构设置及人员情况</w:t>
      </w:r>
    </w:p>
    <w:p w14:paraId="689EB1A1">
      <w:pPr>
        <w:spacing w:line="580" w:lineRule="exact"/>
        <w:ind w:firstLine="640"/>
        <w:jc w:val="both"/>
      </w:pPr>
      <w:r>
        <w:rPr>
          <w:rFonts w:ascii="仿宋_GB2312" w:hAnsi="仿宋_GB2312" w:eastAsia="仿宋_GB2312"/>
          <w:sz w:val="32"/>
        </w:rPr>
        <w:t>裕民县野生动物救护站2024年度，实有人数8人，其中：在职人员8人，增加0人；离休人员0人，增加0人；退休人员0人,增加0人。</w:t>
      </w:r>
    </w:p>
    <w:p w14:paraId="386F8711">
      <w:pPr>
        <w:spacing w:line="580" w:lineRule="exact"/>
        <w:ind w:firstLine="640"/>
        <w:jc w:val="both"/>
      </w:pPr>
      <w:r>
        <w:rPr>
          <w:rFonts w:ascii="仿宋_GB2312" w:hAnsi="仿宋_GB2312" w:eastAsia="仿宋_GB2312"/>
          <w:sz w:val="32"/>
        </w:rPr>
        <w:t>裕民县野生动物救护站无下属预算单位，下设2个科室，分别是：办公室、财务室。</w:t>
      </w:r>
    </w:p>
    <w:p w14:paraId="451B7CAF">
      <w:r>
        <w:br w:type="page"/>
      </w:r>
    </w:p>
    <w:p w14:paraId="1C39CCE4">
      <w:pPr>
        <w:spacing w:line="240" w:lineRule="auto"/>
        <w:jc w:val="center"/>
        <w:outlineLvl w:val="1"/>
      </w:pPr>
      <w:r>
        <w:rPr>
          <w:rFonts w:ascii="黑体" w:hAnsi="黑体" w:eastAsia="黑体"/>
          <w:sz w:val="32"/>
        </w:rPr>
        <w:t>第二部分 部门决算情况说明</w:t>
      </w:r>
    </w:p>
    <w:p w14:paraId="47527E05">
      <w:pPr>
        <w:spacing w:line="640" w:lineRule="exact"/>
        <w:ind w:firstLine="640"/>
        <w:jc w:val="both"/>
        <w:outlineLvl w:val="2"/>
      </w:pPr>
      <w:r>
        <w:rPr>
          <w:rFonts w:ascii="黑体" w:hAnsi="黑体" w:eastAsia="黑体"/>
          <w:sz w:val="32"/>
        </w:rPr>
        <w:t>一、收入支出决算总体情况说明</w:t>
      </w:r>
    </w:p>
    <w:p w14:paraId="5E0F921E">
      <w:pPr>
        <w:spacing w:line="580" w:lineRule="exact"/>
        <w:ind w:firstLine="640"/>
        <w:jc w:val="both"/>
      </w:pPr>
      <w:r>
        <w:rPr>
          <w:rFonts w:ascii="仿宋_GB2312" w:hAnsi="仿宋_GB2312" w:eastAsia="仿宋_GB2312"/>
          <w:b/>
          <w:sz w:val="32"/>
        </w:rPr>
        <w:t>2024年度收入总计124.89万元，</w:t>
      </w:r>
      <w:r>
        <w:rPr>
          <w:rFonts w:ascii="仿宋_GB2312" w:hAnsi="仿宋_GB2312" w:eastAsia="仿宋_GB2312"/>
          <w:b w:val="0"/>
          <w:sz w:val="32"/>
        </w:rPr>
        <w:t>其中：本年收入合计124.89万元，使用非财政拨款结余（含专用结余）0.00万元，年初结转和结余0.00万元。</w:t>
      </w:r>
    </w:p>
    <w:p w14:paraId="5E2496FA">
      <w:pPr>
        <w:spacing w:line="580" w:lineRule="exact"/>
        <w:ind w:firstLine="640"/>
        <w:jc w:val="both"/>
      </w:pPr>
      <w:r>
        <w:rPr>
          <w:rFonts w:ascii="仿宋_GB2312" w:hAnsi="仿宋_GB2312" w:eastAsia="仿宋_GB2312"/>
          <w:b/>
          <w:sz w:val="32"/>
        </w:rPr>
        <w:t>2024年度支出总计124.89万元，</w:t>
      </w:r>
      <w:r>
        <w:rPr>
          <w:rFonts w:ascii="仿宋_GB2312" w:hAnsi="仿宋_GB2312" w:eastAsia="仿宋_GB2312"/>
          <w:b w:val="0"/>
          <w:sz w:val="32"/>
        </w:rPr>
        <w:t>其中：本年支出合计124.89万元，结余分配0.00万元，年末结转和结余0.00万元。</w:t>
      </w:r>
    </w:p>
    <w:p w14:paraId="27A2B361">
      <w:pPr>
        <w:spacing w:line="580" w:lineRule="exact"/>
        <w:ind w:firstLine="640"/>
        <w:jc w:val="both"/>
      </w:pPr>
      <w:r>
        <w:rPr>
          <w:rFonts w:ascii="仿宋_GB2312" w:hAnsi="仿宋_GB2312" w:eastAsia="仿宋_GB2312"/>
          <w:b w:val="0"/>
          <w:sz w:val="32"/>
        </w:rPr>
        <w:t>收入支出总体与上年相比，减少22.74万元，下降15.40%，主要原因是：本年较上年减少森林保护修复--生物多样性保护（野生动物收容救护及疫源疫病监测项目）。</w:t>
      </w:r>
    </w:p>
    <w:p w14:paraId="2FD2C58E">
      <w:pPr>
        <w:spacing w:line="640" w:lineRule="exact"/>
        <w:ind w:firstLine="640"/>
        <w:jc w:val="both"/>
        <w:outlineLvl w:val="2"/>
      </w:pPr>
      <w:r>
        <w:rPr>
          <w:rFonts w:ascii="黑体" w:hAnsi="黑体" w:eastAsia="黑体"/>
          <w:sz w:val="32"/>
        </w:rPr>
        <w:t>二、收入决算情况说明</w:t>
      </w:r>
    </w:p>
    <w:p w14:paraId="649A0A2B">
      <w:pPr>
        <w:spacing w:line="580" w:lineRule="exact"/>
        <w:ind w:firstLine="640"/>
        <w:jc w:val="both"/>
      </w:pPr>
      <w:r>
        <w:rPr>
          <w:rFonts w:ascii="仿宋_GB2312" w:hAnsi="仿宋_GB2312" w:eastAsia="仿宋_GB2312"/>
          <w:b/>
          <w:sz w:val="32"/>
        </w:rPr>
        <w:t>本年收入124.89万元，</w:t>
      </w:r>
      <w:r>
        <w:rPr>
          <w:rFonts w:ascii="仿宋_GB2312" w:hAnsi="仿宋_GB2312" w:eastAsia="仿宋_GB2312"/>
          <w:b w:val="0"/>
          <w:sz w:val="32"/>
        </w:rPr>
        <w:t>其中：财政拨款收入124.89万元，占100.00%；上级补助收入0.00万元，占0.00%；事业收入0.00万元，占0.00%；经营收入0.00万元，占0.00%；附属单位上缴收入0.00万元，占0.00%；其他收入0.00万元，占0.00%。</w:t>
      </w:r>
    </w:p>
    <w:p w14:paraId="17DC0A15">
      <w:pPr>
        <w:spacing w:line="640" w:lineRule="exact"/>
        <w:ind w:firstLine="640"/>
        <w:jc w:val="both"/>
        <w:outlineLvl w:val="2"/>
      </w:pPr>
      <w:r>
        <w:rPr>
          <w:rFonts w:ascii="黑体" w:hAnsi="黑体" w:eastAsia="黑体"/>
          <w:sz w:val="32"/>
        </w:rPr>
        <w:t>三、支出决算情况说明</w:t>
      </w:r>
    </w:p>
    <w:p w14:paraId="78FBA496">
      <w:pPr>
        <w:spacing w:line="580" w:lineRule="exact"/>
        <w:ind w:firstLine="640"/>
        <w:jc w:val="both"/>
      </w:pPr>
      <w:r>
        <w:rPr>
          <w:rFonts w:ascii="仿宋_GB2312" w:hAnsi="仿宋_GB2312" w:eastAsia="仿宋_GB2312"/>
          <w:b/>
          <w:sz w:val="32"/>
        </w:rPr>
        <w:t>本年支出124.89万元，</w:t>
      </w:r>
      <w:r>
        <w:rPr>
          <w:rFonts w:ascii="仿宋_GB2312" w:hAnsi="仿宋_GB2312" w:eastAsia="仿宋_GB2312"/>
          <w:b w:val="0"/>
          <w:sz w:val="32"/>
        </w:rPr>
        <w:t>其中：基本支出124.89万元，占100.00%；项目支出0.00万元，占0.00%；上缴上级支出0.00万元，占0.00%；经营支出0.00万元，占0.00%；对附属单位补助支出0.00万元，占0.00%。</w:t>
      </w:r>
    </w:p>
    <w:p w14:paraId="699DF5CB">
      <w:pPr>
        <w:spacing w:line="640" w:lineRule="exact"/>
        <w:ind w:firstLine="640"/>
        <w:jc w:val="both"/>
        <w:outlineLvl w:val="2"/>
      </w:pPr>
      <w:r>
        <w:rPr>
          <w:rFonts w:ascii="黑体" w:hAnsi="黑体" w:eastAsia="黑体"/>
          <w:sz w:val="32"/>
        </w:rPr>
        <w:t>四、财政拨款收入支出决算总体情况说明</w:t>
      </w:r>
    </w:p>
    <w:p w14:paraId="3B8CCB65">
      <w:pPr>
        <w:spacing w:line="580" w:lineRule="exact"/>
        <w:ind w:firstLine="640"/>
        <w:jc w:val="both"/>
      </w:pPr>
      <w:r>
        <w:rPr>
          <w:rFonts w:ascii="仿宋_GB2312" w:hAnsi="仿宋_GB2312" w:eastAsia="仿宋_GB2312"/>
          <w:b/>
          <w:sz w:val="32"/>
        </w:rPr>
        <w:t>2024年度财政拨款收入总计124.89万元，</w:t>
      </w:r>
      <w:r>
        <w:rPr>
          <w:rFonts w:ascii="仿宋_GB2312" w:hAnsi="仿宋_GB2312" w:eastAsia="仿宋_GB2312"/>
          <w:b w:val="0"/>
          <w:sz w:val="32"/>
        </w:rPr>
        <w:t>其中：年初财政拨款结转和结余0.00万元，本年财政拨款收入124.89万元。</w:t>
      </w:r>
      <w:r>
        <w:rPr>
          <w:rFonts w:ascii="仿宋_GB2312" w:hAnsi="仿宋_GB2312" w:eastAsia="仿宋_GB2312"/>
          <w:b/>
          <w:sz w:val="32"/>
        </w:rPr>
        <w:t>财政拨款支出总计124.89万元，</w:t>
      </w:r>
      <w:r>
        <w:rPr>
          <w:rFonts w:ascii="仿宋_GB2312" w:hAnsi="仿宋_GB2312" w:eastAsia="仿宋_GB2312"/>
          <w:b w:val="0"/>
          <w:sz w:val="32"/>
        </w:rPr>
        <w:t>其中：年末财政拨款结转和结余0.00万元，本年财政拨款支出124.89万元。</w:t>
      </w:r>
    </w:p>
    <w:p w14:paraId="35E5BBE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减少22.74万元，下降15.40%，主要原因是：本年较上年减少森林保护修复--生物多样性保护（野生动物收容救护及疫源疫病监测项目）。</w:t>
      </w:r>
      <w:r>
        <w:rPr>
          <w:rFonts w:ascii="仿宋_GB2312" w:hAnsi="仿宋_GB2312" w:eastAsia="仿宋_GB2312"/>
          <w:b/>
          <w:sz w:val="32"/>
        </w:rPr>
        <w:t>与年初预算相比，</w:t>
      </w:r>
      <w:r>
        <w:rPr>
          <w:rFonts w:ascii="仿宋_GB2312" w:hAnsi="仿宋_GB2312" w:eastAsia="仿宋_GB2312"/>
          <w:b w:val="0"/>
          <w:sz w:val="32"/>
        </w:rPr>
        <w:t>年初预算数128.89万元，决算数124.89万元，预决算差异率-3.10%，主要原因是：严格落实中央八项规定精神，厉行节约，减少不必要的开支。</w:t>
      </w:r>
    </w:p>
    <w:p w14:paraId="29EF29D3">
      <w:pPr>
        <w:spacing w:line="640" w:lineRule="exact"/>
        <w:ind w:firstLine="640"/>
        <w:jc w:val="both"/>
        <w:outlineLvl w:val="2"/>
      </w:pPr>
      <w:r>
        <w:rPr>
          <w:rFonts w:ascii="黑体" w:hAnsi="黑体" w:eastAsia="黑体"/>
          <w:sz w:val="32"/>
        </w:rPr>
        <w:t>五、一般公共预算财政拨款支出决算情况说明</w:t>
      </w:r>
    </w:p>
    <w:p w14:paraId="621AF851">
      <w:pPr>
        <w:spacing w:line="640" w:lineRule="exact"/>
        <w:ind w:firstLine="640"/>
        <w:jc w:val="both"/>
        <w:outlineLvl w:val="3"/>
      </w:pPr>
      <w:r>
        <w:rPr>
          <w:rFonts w:ascii="楷体_GB2312" w:hAnsi="楷体_GB2312" w:eastAsia="楷体_GB2312"/>
          <w:b/>
          <w:sz w:val="32"/>
        </w:rPr>
        <w:t>（一）一般公共预算财政拨款支出决算总体情况</w:t>
      </w:r>
    </w:p>
    <w:p w14:paraId="7C6DCC2F">
      <w:pPr>
        <w:spacing w:line="580" w:lineRule="exact"/>
        <w:ind w:firstLine="640"/>
        <w:jc w:val="both"/>
      </w:pPr>
      <w:r>
        <w:rPr>
          <w:rFonts w:ascii="仿宋_GB2312" w:hAnsi="仿宋_GB2312" w:eastAsia="仿宋_GB2312"/>
          <w:b/>
          <w:sz w:val="32"/>
        </w:rPr>
        <w:t>2024年度一般公共预算财政拨款支出124.89万元，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减少22.74万元，下降15.40%，主要原因是：本年较上年减少森林保护修复--生物多样性保护（野生动物收容救护及疫源疫病监测项目）。</w:t>
      </w:r>
      <w:r>
        <w:rPr>
          <w:rFonts w:ascii="仿宋_GB2312" w:hAnsi="仿宋_GB2312" w:eastAsia="仿宋_GB2312"/>
          <w:b/>
          <w:sz w:val="32"/>
        </w:rPr>
        <w:t>与年初预算相比,</w:t>
      </w:r>
      <w:r>
        <w:rPr>
          <w:rFonts w:ascii="仿宋_GB2312" w:hAnsi="仿宋_GB2312" w:eastAsia="仿宋_GB2312"/>
          <w:b w:val="0"/>
          <w:sz w:val="32"/>
        </w:rPr>
        <w:t>年初预算数128.89万元，决算数124.89万元，预决算差异率-3.10%，主要原因是：严格落实中央八项规定精神，厉行节约，减少不必要的开支。</w:t>
      </w:r>
    </w:p>
    <w:p w14:paraId="462A0EA9">
      <w:pPr>
        <w:spacing w:line="640" w:lineRule="exact"/>
        <w:ind w:firstLine="640"/>
        <w:jc w:val="both"/>
        <w:outlineLvl w:val="3"/>
      </w:pPr>
      <w:r>
        <w:rPr>
          <w:rFonts w:ascii="楷体_GB2312" w:hAnsi="楷体_GB2312" w:eastAsia="楷体_GB2312"/>
          <w:b/>
          <w:sz w:val="32"/>
        </w:rPr>
        <w:t>（二）一般公共预算财政拨款支出决算结构情况</w:t>
      </w:r>
    </w:p>
    <w:p w14:paraId="48DD9B6C">
      <w:pPr>
        <w:spacing w:line="580" w:lineRule="exact"/>
        <w:ind w:firstLine="640"/>
        <w:jc w:val="both"/>
      </w:pPr>
      <w:r>
        <w:rPr>
          <w:rFonts w:ascii="仿宋_GB2312" w:hAnsi="仿宋_GB2312" w:eastAsia="仿宋_GB2312"/>
          <w:b w:val="0"/>
          <w:sz w:val="32"/>
        </w:rPr>
        <w:t>1.社会保障和就业支出(类)12.49万元,占10.00%。</w:t>
      </w:r>
    </w:p>
    <w:p w14:paraId="4DA959B7">
      <w:pPr>
        <w:spacing w:line="580" w:lineRule="exact"/>
        <w:ind w:firstLine="640"/>
        <w:jc w:val="both"/>
      </w:pPr>
      <w:r>
        <w:rPr>
          <w:rFonts w:ascii="仿宋_GB2312" w:hAnsi="仿宋_GB2312" w:eastAsia="仿宋_GB2312"/>
          <w:b w:val="0"/>
          <w:sz w:val="32"/>
        </w:rPr>
        <w:t>2.卫生健康支出(类)5.26万元,占4.21%。</w:t>
      </w:r>
    </w:p>
    <w:p w14:paraId="1B28ABA0">
      <w:pPr>
        <w:spacing w:line="580" w:lineRule="exact"/>
        <w:ind w:firstLine="640"/>
        <w:jc w:val="both"/>
      </w:pPr>
      <w:r>
        <w:rPr>
          <w:rFonts w:ascii="仿宋_GB2312" w:hAnsi="仿宋_GB2312" w:eastAsia="仿宋_GB2312"/>
          <w:b w:val="0"/>
          <w:sz w:val="32"/>
        </w:rPr>
        <w:t>3.农林水支出(类)97.06万元,占77.72%。</w:t>
      </w:r>
    </w:p>
    <w:p w14:paraId="3B86F2E3">
      <w:pPr>
        <w:spacing w:line="580" w:lineRule="exact"/>
        <w:ind w:firstLine="640"/>
        <w:jc w:val="both"/>
      </w:pPr>
      <w:r>
        <w:rPr>
          <w:rFonts w:ascii="仿宋_GB2312" w:hAnsi="仿宋_GB2312" w:eastAsia="仿宋_GB2312"/>
          <w:b w:val="0"/>
          <w:sz w:val="32"/>
        </w:rPr>
        <w:t>4.住房保障支出(类)10.08万元,占8.07%。</w:t>
      </w:r>
    </w:p>
    <w:p w14:paraId="5DE7D5BF">
      <w:pPr>
        <w:spacing w:line="640" w:lineRule="exact"/>
        <w:ind w:firstLine="640"/>
        <w:jc w:val="both"/>
        <w:outlineLvl w:val="3"/>
      </w:pPr>
      <w:r>
        <w:rPr>
          <w:rFonts w:ascii="楷体_GB2312" w:hAnsi="楷体_GB2312" w:eastAsia="楷体_GB2312"/>
          <w:b/>
          <w:sz w:val="32"/>
        </w:rPr>
        <w:t>（三）一般公共预算财政拨款支出决算具体情况</w:t>
      </w:r>
    </w:p>
    <w:p w14:paraId="405CC3E1">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12.49万元，比上年决算增加1.13万元，增长9.95%,主要原因是：本年在职人员养老保险缴费基数增加，养老保险缴费增加，故决算数较上年增加。</w:t>
      </w:r>
    </w:p>
    <w:p w14:paraId="7B849716">
      <w:pPr>
        <w:spacing w:line="580" w:lineRule="exact"/>
        <w:ind w:firstLine="640"/>
        <w:jc w:val="both"/>
      </w:pPr>
      <w:r>
        <w:rPr>
          <w:rFonts w:ascii="仿宋_GB2312" w:hAnsi="仿宋_GB2312" w:eastAsia="仿宋_GB2312"/>
          <w:b w:val="0"/>
          <w:sz w:val="32"/>
        </w:rPr>
        <w:t>2.卫生健康支出(类)行政事业单位医疗(款)事业单位医疗(项):支出决算数为5.26万元，比上年决算增加0.28万元，增长5.62%,主要原因是：本年在职人员医疗缴费基数增加，医疗缴费增加，故决算数较上年增加。</w:t>
      </w:r>
    </w:p>
    <w:p w14:paraId="2448A81C">
      <w:pPr>
        <w:spacing w:line="580" w:lineRule="exact"/>
        <w:ind w:firstLine="640"/>
        <w:jc w:val="both"/>
      </w:pPr>
      <w:r>
        <w:rPr>
          <w:rFonts w:ascii="仿宋_GB2312" w:hAnsi="仿宋_GB2312" w:eastAsia="仿宋_GB2312"/>
          <w:b w:val="0"/>
          <w:sz w:val="32"/>
        </w:rPr>
        <w:t>3.节能环保支出(类)天然林保护(款)森林管护(项):支出决算数为0.00万元，比上年决算减少28.84万元，下降100.00%,主要原因是：本年较上年减少森林保护修复--生物多样性保护（野生动物收容救护及疫源疫病监测项目）。</w:t>
      </w:r>
    </w:p>
    <w:p w14:paraId="036C6475">
      <w:pPr>
        <w:spacing w:line="580" w:lineRule="exact"/>
        <w:ind w:firstLine="640"/>
        <w:jc w:val="both"/>
      </w:pPr>
      <w:r>
        <w:rPr>
          <w:rFonts w:ascii="仿宋_GB2312" w:hAnsi="仿宋_GB2312" w:eastAsia="仿宋_GB2312"/>
          <w:b w:val="0"/>
          <w:sz w:val="32"/>
        </w:rPr>
        <w:t>4.农林水支出(类)林业和草原(款)动植物保护(项):支出决算数为97.06万元，比上年决算增加3.52万元，增长3.76%,主要原因是：本年在职人员工资调增，人员经费增加。</w:t>
      </w:r>
    </w:p>
    <w:p w14:paraId="236378E0">
      <w:pPr>
        <w:spacing w:line="580" w:lineRule="exact"/>
        <w:ind w:firstLine="640"/>
        <w:jc w:val="both"/>
      </w:pPr>
      <w:r>
        <w:rPr>
          <w:rFonts w:ascii="仿宋_GB2312" w:hAnsi="仿宋_GB2312" w:eastAsia="仿宋_GB2312"/>
          <w:b w:val="0"/>
          <w:sz w:val="32"/>
        </w:rPr>
        <w:t>5.住房保障支出(类)住房改革支出(款)住房公积金(项):支出决算数为10.08万元，比上年决算增加1.18万元，增长13.26%,主要原因是：本年在职人员住房公积金基数增加，住房公积金缴费增加。</w:t>
      </w:r>
    </w:p>
    <w:p w14:paraId="27DCC4D4">
      <w:pPr>
        <w:spacing w:line="640" w:lineRule="exact"/>
        <w:ind w:firstLine="640"/>
        <w:jc w:val="both"/>
        <w:outlineLvl w:val="2"/>
      </w:pPr>
      <w:r>
        <w:rPr>
          <w:rFonts w:ascii="黑体" w:hAnsi="黑体" w:eastAsia="黑体"/>
          <w:sz w:val="32"/>
        </w:rPr>
        <w:t>六、一般公共预算财政拨款基本支出决算情况说明</w:t>
      </w:r>
    </w:p>
    <w:p w14:paraId="73AC7D71">
      <w:pPr>
        <w:spacing w:line="580" w:lineRule="exact"/>
        <w:ind w:firstLine="640"/>
        <w:jc w:val="both"/>
      </w:pPr>
      <w:r>
        <w:rPr>
          <w:rFonts w:ascii="仿宋_GB2312" w:hAnsi="仿宋_GB2312" w:eastAsia="仿宋_GB2312"/>
          <w:b w:val="0"/>
          <w:sz w:val="32"/>
        </w:rPr>
        <w:t>2024年度一般公共预算财政拨款基本支出124.89万元，其中：</w:t>
      </w:r>
      <w:r>
        <w:rPr>
          <w:rFonts w:ascii="仿宋_GB2312" w:hAnsi="仿宋_GB2312" w:eastAsia="仿宋_GB2312"/>
          <w:b/>
          <w:sz w:val="32"/>
        </w:rPr>
        <w:t>人员经费120.18万元，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619E2501">
      <w:pPr>
        <w:spacing w:line="580" w:lineRule="exact"/>
        <w:ind w:firstLine="640"/>
        <w:jc w:val="both"/>
      </w:pPr>
      <w:r>
        <w:rPr>
          <w:rFonts w:ascii="仿宋_GB2312" w:hAnsi="仿宋_GB2312" w:eastAsia="仿宋_GB2312"/>
          <w:b/>
          <w:sz w:val="32"/>
        </w:rPr>
        <w:t>公用经费4.71万元，</w:t>
      </w:r>
      <w:r>
        <w:rPr>
          <w:rFonts w:ascii="仿宋_GB2312" w:hAnsi="仿宋_GB2312" w:eastAsia="仿宋_GB2312"/>
          <w:b w:val="0"/>
          <w:sz w:val="32"/>
        </w:rPr>
        <w:t>包括：办公费、水费、取暖费、差旅费、工会经费、公务用车运行维护费。</w:t>
      </w:r>
    </w:p>
    <w:p w14:paraId="4F292BD0">
      <w:pPr>
        <w:spacing w:line="640" w:lineRule="exact"/>
        <w:ind w:firstLine="640"/>
        <w:jc w:val="both"/>
        <w:outlineLvl w:val="2"/>
      </w:pPr>
      <w:r>
        <w:rPr>
          <w:rFonts w:ascii="黑体" w:hAnsi="黑体" w:eastAsia="黑体"/>
          <w:sz w:val="32"/>
        </w:rPr>
        <w:t>七、政府性基金预算财政拨款收入支出决算情况说明</w:t>
      </w:r>
    </w:p>
    <w:p w14:paraId="157BB38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80A1A4B">
      <w:pPr>
        <w:spacing w:line="640" w:lineRule="exact"/>
        <w:ind w:firstLine="640"/>
        <w:jc w:val="both"/>
        <w:outlineLvl w:val="2"/>
      </w:pPr>
      <w:r>
        <w:rPr>
          <w:rFonts w:ascii="黑体" w:hAnsi="黑体" w:eastAsia="黑体"/>
          <w:sz w:val="32"/>
        </w:rPr>
        <w:t>八、国有资本经营预算财政拨款收入支出决算情况说明</w:t>
      </w:r>
    </w:p>
    <w:p w14:paraId="3E90821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5D64200">
      <w:pPr>
        <w:spacing w:line="640" w:lineRule="exact"/>
        <w:ind w:firstLine="640"/>
        <w:jc w:val="both"/>
        <w:outlineLvl w:val="2"/>
      </w:pPr>
      <w:r>
        <w:rPr>
          <w:rFonts w:ascii="黑体" w:hAnsi="黑体" w:eastAsia="黑体"/>
          <w:sz w:val="32"/>
        </w:rPr>
        <w:t>九、财政拨款“三公”经费支出决算情况说明</w:t>
      </w:r>
    </w:p>
    <w:p w14:paraId="4AE0B6E4">
      <w:pPr>
        <w:spacing w:line="580" w:lineRule="exact"/>
        <w:ind w:firstLine="640"/>
        <w:jc w:val="both"/>
      </w:pPr>
      <w:r>
        <w:rPr>
          <w:rFonts w:ascii="仿宋_GB2312" w:hAnsi="仿宋_GB2312" w:eastAsia="仿宋_GB2312"/>
          <w:b/>
          <w:sz w:val="32"/>
        </w:rPr>
        <w:t>2024年度财政拨款“三公”经费支出0.30万元，</w:t>
      </w:r>
      <w:r>
        <w:rPr>
          <w:rFonts w:ascii="仿宋_GB2312" w:hAnsi="仿宋_GB2312" w:eastAsia="仿宋_GB2312"/>
          <w:b w:val="0"/>
          <w:sz w:val="32"/>
        </w:rPr>
        <w:t>比上年减少0.90万元，下降75.00%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0.30万元，占100.00%，比上年减少0.90万元，下降75.00%，主要原因是：严格落实中央八项规定精神，厉行节约，减少公务用车运行维护费。公务接待费支出0.00万元，占0.00%，比上年增加0.00万元，增长0.00%，主要原因是：2023年与2024年均未安排公务接待费支出。</w:t>
      </w:r>
    </w:p>
    <w:p w14:paraId="6C8DAC3A">
      <w:pPr>
        <w:spacing w:line="580" w:lineRule="exact"/>
        <w:ind w:firstLine="640"/>
        <w:jc w:val="both"/>
      </w:pPr>
      <w:r>
        <w:rPr>
          <w:rFonts w:ascii="仿宋_GB2312" w:hAnsi="仿宋_GB2312" w:eastAsia="仿宋_GB2312"/>
          <w:b/>
          <w:sz w:val="32"/>
        </w:rPr>
        <w:t>具体情况如下：</w:t>
      </w:r>
    </w:p>
    <w:p w14:paraId="47515F5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09872BE">
      <w:pPr>
        <w:spacing w:line="580" w:lineRule="exact"/>
        <w:ind w:firstLine="640"/>
        <w:jc w:val="both"/>
      </w:pPr>
      <w:r>
        <w:rPr>
          <w:rFonts w:ascii="仿宋_GB2312" w:hAnsi="仿宋_GB2312" w:eastAsia="仿宋_GB2312"/>
          <w:b w:val="0"/>
          <w:sz w:val="32"/>
        </w:rPr>
        <w:t>公务用车购置及运行维护费0.30万元，其中：公务用车购置费0.00万元，公务用车运行维护费0.30万元。公务用车运行维护费开支内容包括车辆保险费。公务用车购置数0辆，公务用车保有量1辆。国有资产占用情况中固定资产车辆1辆，与公务用车保有量差异原因是：本单位固定资产车辆与公务用车保有量一致无差异。</w:t>
      </w:r>
    </w:p>
    <w:p w14:paraId="4FC5E96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06CFF1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0.30万元，决算数0.30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0.30万元，决算数0.30万元，预决算差异率0.00%，主要原因是：严格按照预算执行，预决算无差异。公务接待费全年预算数0.00万元，决算数0.00万元，预决算差异率0.00%，主要原因是：本单位无公务接待费。</w:t>
      </w:r>
    </w:p>
    <w:p w14:paraId="652659F1">
      <w:pPr>
        <w:spacing w:line="640" w:lineRule="exact"/>
        <w:ind w:firstLine="640"/>
        <w:jc w:val="both"/>
        <w:outlineLvl w:val="2"/>
      </w:pPr>
      <w:r>
        <w:rPr>
          <w:rFonts w:ascii="黑体" w:hAnsi="黑体" w:eastAsia="黑体"/>
          <w:sz w:val="32"/>
        </w:rPr>
        <w:t>十、其他重要事项的情况说明</w:t>
      </w:r>
    </w:p>
    <w:p w14:paraId="58E7291E">
      <w:pPr>
        <w:spacing w:line="640" w:lineRule="exact"/>
        <w:ind w:firstLine="640"/>
        <w:jc w:val="both"/>
        <w:outlineLvl w:val="3"/>
      </w:pPr>
      <w:r>
        <w:rPr>
          <w:rFonts w:ascii="楷体_GB2312" w:hAnsi="楷体_GB2312" w:eastAsia="楷体_GB2312"/>
          <w:b/>
          <w:sz w:val="32"/>
        </w:rPr>
        <w:t>（一）机关运行经费及公用经费支出情况</w:t>
      </w:r>
    </w:p>
    <w:p w14:paraId="046D35FB">
      <w:pPr>
        <w:spacing w:line="580" w:lineRule="exact"/>
        <w:ind w:firstLine="640"/>
        <w:jc w:val="both"/>
      </w:pPr>
      <w:r>
        <w:rPr>
          <w:rFonts w:ascii="仿宋_GB2312" w:hAnsi="仿宋_GB2312" w:eastAsia="仿宋_GB2312"/>
          <w:b w:val="0"/>
          <w:sz w:val="32"/>
        </w:rPr>
        <w:t>2024年度裕民县野生动物救护站（事业单位）公用经费支出4.71万元，比上年减少0.26万元，下降5.23%，主要原因是：严控经费支出，厉行节约，减少经费支出。</w:t>
      </w:r>
    </w:p>
    <w:p w14:paraId="12AF2AF0">
      <w:pPr>
        <w:spacing w:line="640" w:lineRule="exact"/>
        <w:ind w:firstLine="640"/>
        <w:jc w:val="both"/>
        <w:outlineLvl w:val="3"/>
      </w:pPr>
      <w:r>
        <w:rPr>
          <w:rFonts w:ascii="楷体_GB2312" w:hAnsi="楷体_GB2312" w:eastAsia="楷体_GB2312"/>
          <w:b/>
          <w:sz w:val="32"/>
        </w:rPr>
        <w:t>（二）政府采购情况</w:t>
      </w:r>
    </w:p>
    <w:p w14:paraId="65B372D9">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405FEF0">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4A517EFF">
      <w:pPr>
        <w:spacing w:line="640" w:lineRule="exact"/>
        <w:ind w:firstLine="640"/>
        <w:jc w:val="both"/>
        <w:outlineLvl w:val="3"/>
      </w:pPr>
      <w:r>
        <w:rPr>
          <w:rFonts w:ascii="楷体_GB2312" w:hAnsi="楷体_GB2312" w:eastAsia="楷体_GB2312"/>
          <w:b/>
          <w:sz w:val="32"/>
        </w:rPr>
        <w:t>（三）国有资产占用情况说明</w:t>
      </w:r>
    </w:p>
    <w:p w14:paraId="2326656F">
      <w:pPr>
        <w:spacing w:line="580" w:lineRule="exact"/>
        <w:ind w:firstLine="640"/>
        <w:jc w:val="both"/>
      </w:pPr>
      <w:r>
        <w:rPr>
          <w:rFonts w:ascii="仿宋_GB2312" w:hAnsi="仿宋_GB2312" w:eastAsia="仿宋_GB2312"/>
          <w:b w:val="0"/>
          <w:sz w:val="32"/>
        </w:rPr>
        <w:t>截至2024年12月31日，房屋0.00平方米，价值0.00万元。车辆1辆，价值18.91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w:t>
      </w:r>
    </w:p>
    <w:p w14:paraId="65C48C72">
      <w:pPr>
        <w:spacing w:line="640" w:lineRule="exact"/>
        <w:ind w:firstLine="640"/>
        <w:jc w:val="both"/>
        <w:outlineLvl w:val="2"/>
      </w:pPr>
      <w:r>
        <w:rPr>
          <w:rFonts w:ascii="黑体" w:hAnsi="黑体" w:eastAsia="黑体"/>
          <w:sz w:val="32"/>
        </w:rPr>
        <w:t>十一、预算绩效的情况说明</w:t>
      </w:r>
    </w:p>
    <w:p w14:paraId="429F615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124.89万元，实际执行总额124.89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14:paraId="1FE3903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306"/>
        <w:gridCol w:w="799"/>
        <w:gridCol w:w="311"/>
        <w:gridCol w:w="794"/>
        <w:gridCol w:w="576"/>
        <w:gridCol w:w="529"/>
        <w:gridCol w:w="361"/>
        <w:gridCol w:w="744"/>
        <w:gridCol w:w="276"/>
        <w:gridCol w:w="829"/>
      </w:tblGrid>
      <w:tr w14:paraId="630B3FAF">
        <w:tblPrEx>
          <w:tblCellMar>
            <w:top w:w="0" w:type="dxa"/>
            <w:left w:w="108" w:type="dxa"/>
            <w:bottom w:w="0" w:type="dxa"/>
            <w:right w:w="108" w:type="dxa"/>
          </w:tblCellMar>
        </w:tblPrEx>
        <w:tc>
          <w:tcPr>
            <w:tcW w:w="8840" w:type="dxa"/>
            <w:gridSpan w:val="13"/>
            <w:vAlign w:val="center"/>
          </w:tcPr>
          <w:p w14:paraId="50FB5C3D">
            <w:pPr>
              <w:jc w:val="center"/>
            </w:pPr>
            <w:r>
              <w:rPr>
                <w:rFonts w:ascii="宋体" w:hAnsi="宋体" w:eastAsia="宋体"/>
                <w:sz w:val="24"/>
              </w:rPr>
              <w:t>单位整体支出绩效自评表</w:t>
            </w:r>
          </w:p>
        </w:tc>
      </w:tr>
      <w:tr w14:paraId="0B15093D">
        <w:tblPrEx>
          <w:tblCellMar>
            <w:top w:w="0" w:type="dxa"/>
            <w:left w:w="108" w:type="dxa"/>
            <w:bottom w:w="0" w:type="dxa"/>
            <w:right w:w="108" w:type="dxa"/>
          </w:tblCellMar>
        </w:tblPrEx>
        <w:tc>
          <w:tcPr>
            <w:tcW w:w="8840" w:type="dxa"/>
            <w:gridSpan w:val="13"/>
            <w:vAlign w:val="center"/>
          </w:tcPr>
          <w:p w14:paraId="3324B7A1">
            <w:pPr>
              <w:jc w:val="center"/>
            </w:pPr>
            <w:r>
              <w:rPr>
                <w:rFonts w:ascii="宋体" w:hAnsi="宋体" w:eastAsia="宋体"/>
                <w:sz w:val="24"/>
              </w:rPr>
              <w:t>（2024年度）</w:t>
            </w:r>
          </w:p>
        </w:tc>
      </w:tr>
      <w:tr w14:paraId="563AB7C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64884">
            <w:pPr>
              <w:jc w:val="center"/>
            </w:pPr>
            <w:r>
              <w:rPr>
                <w:rFonts w:ascii="宋体" w:hAnsi="宋体" w:eastAsia="宋体"/>
                <w:sz w:val="16"/>
              </w:rPr>
              <w:t>单位名称</w:t>
            </w:r>
          </w:p>
        </w:tc>
        <w:tc>
          <w:tcPr>
            <w:tcW w:w="7735"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F86F995">
            <w:pPr>
              <w:jc w:val="center"/>
            </w:pPr>
            <w:r>
              <w:rPr>
                <w:rFonts w:ascii="宋体" w:hAnsi="宋体" w:eastAsia="宋体"/>
                <w:sz w:val="16"/>
              </w:rPr>
              <w:t>裕民县野生动物救护站</w:t>
            </w:r>
          </w:p>
        </w:tc>
      </w:tr>
      <w:tr w14:paraId="155C3AC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EC713">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F5E7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D69B7">
            <w:pPr>
              <w:jc w:val="center"/>
            </w:pPr>
            <w:r>
              <w:rPr>
                <w:rFonts w:ascii="宋体" w:hAnsi="宋体" w:eastAsia="宋体"/>
                <w:sz w:val="16"/>
              </w:rPr>
              <w:t>年初预算数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6B504">
            <w:pPr>
              <w:jc w:val="center"/>
            </w:pPr>
            <w:r>
              <w:rPr>
                <w:rFonts w:ascii="宋体" w:hAnsi="宋体" w:eastAsia="宋体"/>
                <w:sz w:val="16"/>
              </w:rPr>
              <w:t>全年预算数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138B5">
            <w:pPr>
              <w:jc w:val="center"/>
            </w:pPr>
            <w:r>
              <w:rPr>
                <w:rFonts w:ascii="宋体" w:hAnsi="宋体" w:eastAsia="宋体"/>
                <w:sz w:val="16"/>
              </w:rPr>
              <w:t>全年执行数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DABCB">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C99C7">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B1940">
            <w:pPr>
              <w:jc w:val="center"/>
            </w:pPr>
            <w:r>
              <w:rPr>
                <w:rFonts w:ascii="宋体" w:hAnsi="宋体" w:eastAsia="宋体"/>
                <w:sz w:val="16"/>
              </w:rPr>
              <w:t>得分</w:t>
            </w:r>
          </w:p>
        </w:tc>
      </w:tr>
      <w:tr w14:paraId="0D31D80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48D2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7716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098FD">
            <w:pPr>
              <w:jc w:val="center"/>
            </w:pPr>
            <w:r>
              <w:rPr>
                <w:rFonts w:ascii="宋体" w:hAnsi="宋体" w:eastAsia="宋体"/>
                <w:sz w:val="16"/>
              </w:rPr>
              <w:t>128.89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CFDF3">
            <w:pPr>
              <w:jc w:val="center"/>
            </w:pPr>
            <w:r>
              <w:rPr>
                <w:rFonts w:ascii="宋体" w:hAnsi="宋体" w:eastAsia="宋体"/>
                <w:sz w:val="16"/>
              </w:rPr>
              <w:t>124.89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85E27">
            <w:pPr>
              <w:jc w:val="center"/>
            </w:pPr>
            <w:r>
              <w:rPr>
                <w:rFonts w:ascii="宋体" w:hAnsi="宋体" w:eastAsia="宋体"/>
                <w:sz w:val="16"/>
              </w:rPr>
              <w:t>124.89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17798">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D53B1">
            <w:pPr>
              <w:jc w:val="center"/>
            </w:pPr>
            <w:r>
              <w:rPr>
                <w:rFonts w:ascii="宋体" w:hAnsi="宋体" w:eastAsia="宋体"/>
                <w:sz w:val="16"/>
              </w:rPr>
              <w:t>100%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A6F1A">
            <w:pPr>
              <w:jc w:val="center"/>
            </w:pPr>
            <w:r>
              <w:rPr>
                <w:rFonts w:ascii="宋体" w:hAnsi="宋体" w:eastAsia="宋体"/>
                <w:sz w:val="16"/>
              </w:rPr>
              <w:t>10</w:t>
            </w:r>
          </w:p>
        </w:tc>
      </w:tr>
      <w:tr w14:paraId="3F4753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6FDA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77070">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CAAF5">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19808">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1117B">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3BDA0">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CD46D">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6BE93">
            <w:pPr>
              <w:jc w:val="center"/>
            </w:pPr>
            <w:r>
              <w:rPr>
                <w:rFonts w:ascii="宋体" w:hAnsi="宋体" w:eastAsia="宋体"/>
                <w:sz w:val="16"/>
              </w:rPr>
              <w:t>-</w:t>
            </w:r>
          </w:p>
        </w:tc>
      </w:tr>
      <w:tr w14:paraId="04E154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33F2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E43C2">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37674">
            <w:pPr>
              <w:jc w:val="center"/>
            </w:pPr>
            <w:r>
              <w:rPr>
                <w:rFonts w:ascii="宋体" w:hAnsi="宋体" w:eastAsia="宋体"/>
                <w:sz w:val="16"/>
              </w:rPr>
              <w:t>128.89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0A66B">
            <w:pPr>
              <w:jc w:val="center"/>
            </w:pPr>
            <w:r>
              <w:rPr>
                <w:rFonts w:ascii="宋体" w:hAnsi="宋体" w:eastAsia="宋体"/>
                <w:sz w:val="16"/>
              </w:rPr>
              <w:t>124.89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49C22">
            <w:pPr>
              <w:jc w:val="center"/>
            </w:pPr>
            <w:r>
              <w:rPr>
                <w:rFonts w:ascii="宋体" w:hAnsi="宋体" w:eastAsia="宋体"/>
                <w:sz w:val="16"/>
              </w:rPr>
              <w:t>124.89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64576">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B7EC6">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6FF6D">
            <w:pPr>
              <w:jc w:val="center"/>
            </w:pPr>
            <w:r>
              <w:rPr>
                <w:rFonts w:ascii="宋体" w:hAnsi="宋体" w:eastAsia="宋体"/>
                <w:sz w:val="16"/>
              </w:rPr>
              <w:t>-</w:t>
            </w:r>
          </w:p>
        </w:tc>
      </w:tr>
      <w:tr w14:paraId="10010B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06007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BED9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B77CD">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3C915">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645D6">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B01BD">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89B4A">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E024A">
            <w:pPr>
              <w:jc w:val="center"/>
            </w:pPr>
            <w:r>
              <w:rPr>
                <w:rFonts w:ascii="宋体" w:hAnsi="宋体" w:eastAsia="宋体"/>
                <w:sz w:val="16"/>
              </w:rPr>
              <w:t>-</w:t>
            </w:r>
          </w:p>
        </w:tc>
      </w:tr>
      <w:tr w14:paraId="2A4B425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37D61">
            <w:pPr>
              <w:jc w:val="center"/>
            </w:pPr>
            <w:r>
              <w:rPr>
                <w:rFonts w:ascii="宋体" w:hAnsi="宋体" w:eastAsia="宋体"/>
                <w:sz w:val="16"/>
              </w:rPr>
              <w:t>年度总体目标</w:t>
            </w:r>
          </w:p>
        </w:tc>
        <w:tc>
          <w:tcPr>
            <w:tcW w:w="331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27DA84">
            <w:pPr>
              <w:jc w:val="center"/>
            </w:pPr>
            <w:r>
              <w:rPr>
                <w:rFonts w:ascii="宋体" w:hAnsi="宋体" w:eastAsia="宋体"/>
                <w:sz w:val="16"/>
              </w:rPr>
              <w:t>预期目标</w:t>
            </w:r>
          </w:p>
        </w:tc>
        <w:tc>
          <w:tcPr>
            <w:tcW w:w="442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200DE19">
            <w:pPr>
              <w:jc w:val="center"/>
            </w:pPr>
            <w:r>
              <w:rPr>
                <w:rFonts w:ascii="宋体" w:hAnsi="宋体" w:eastAsia="宋体"/>
                <w:sz w:val="16"/>
              </w:rPr>
              <w:t>实际完成情况</w:t>
            </w:r>
          </w:p>
        </w:tc>
      </w:tr>
      <w:tr w14:paraId="2647D0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8ACCDE"/>
        </w:tc>
        <w:tc>
          <w:tcPr>
            <w:tcW w:w="331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ECCDCD">
            <w:pPr>
              <w:jc w:val="both"/>
            </w:pPr>
            <w:r>
              <w:rPr>
                <w:rFonts w:ascii="宋体" w:hAnsi="宋体" w:eastAsia="宋体"/>
                <w:sz w:val="16"/>
              </w:rPr>
              <w:t>开展形式多样，效果明显的野生动植物保护宣传活动，提高广大干部群众保护野生动植物的意识，形成一种人人保护野生动植物的氛围；持续做好野生动物疫源疫病监测防控工作，对辖区范围的湿地、水库、林区及候鸟栖息地等重点领域开展日常监测巡护工作；做好受伤野生动物的救治以及放生工作；加大对涉及野生动植物违法犯罪的打击力度，坚决遏制非法捕猎、杀害、出售、收购、运输、经营利用等行为的发生。</w:t>
            </w:r>
          </w:p>
        </w:tc>
        <w:tc>
          <w:tcPr>
            <w:tcW w:w="442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5EC7E26">
            <w:pPr>
              <w:jc w:val="both"/>
            </w:pPr>
            <w:r>
              <w:rPr>
                <w:rFonts w:ascii="宋体" w:hAnsi="宋体" w:eastAsia="宋体"/>
                <w:sz w:val="16"/>
              </w:rPr>
              <w:t>开展形式多样，效果明显的野生动植物保护宣传活动，全年开展宣传3次，发放宣传单500份，提高广大干部群众保护野生动植物的意识，形成一种人人保护野生动植物的氛围；持续做好野生动物疫源疫病监测防控工作，对辖区范围的湿地、水库、林区及候鸟栖息地等重点领域开展日常监测巡护工作，完成监测8次；做好受伤野生动物的救治以及放生工作，完成野生动物投食次数4次，救护受伤野生动物6头（只）；加大对涉及野生动植物违法犯罪的打击力度，开展打击涉野生动植物犯罪的行动4次，坚决遏制非法捕猎、杀害、出售、收购、运输、经营利用等行为的发生。</w:t>
            </w:r>
          </w:p>
        </w:tc>
      </w:tr>
      <w:tr w14:paraId="4B61D50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42C9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518BE">
            <w:pPr>
              <w:jc w:val="center"/>
            </w:pPr>
            <w:r>
              <w:rPr>
                <w:rFonts w:ascii="宋体" w:hAnsi="宋体" w:eastAsia="宋体"/>
                <w:sz w:val="16"/>
              </w:rPr>
              <w:t>二级指标</w:t>
            </w:r>
          </w:p>
        </w:tc>
        <w:tc>
          <w:tcPr>
            <w:tcW w:w="14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558A2">
            <w:pPr>
              <w:jc w:val="center"/>
            </w:pPr>
            <w:r>
              <w:rPr>
                <w:rFonts w:ascii="宋体" w:hAnsi="宋体" w:eastAsia="宋体"/>
                <w:sz w:val="16"/>
              </w:rPr>
              <w:t>三级指标</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9175C">
            <w:pPr>
              <w:jc w:val="center"/>
            </w:pPr>
            <w:r>
              <w:rPr>
                <w:rFonts w:ascii="宋体" w:hAnsi="宋体" w:eastAsia="宋体"/>
                <w:sz w:val="16"/>
              </w:rPr>
              <w:t>预期指标值</w:t>
            </w:r>
          </w:p>
        </w:tc>
        <w:tc>
          <w:tcPr>
            <w:tcW w:w="13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790B2">
            <w:pPr>
              <w:jc w:val="center"/>
            </w:pPr>
            <w:r>
              <w:rPr>
                <w:rFonts w:ascii="宋体" w:hAnsi="宋体" w:eastAsia="宋体"/>
                <w:sz w:val="16"/>
              </w:rPr>
              <w:t>指标值设定依据</w:t>
            </w:r>
          </w:p>
        </w:tc>
        <w:tc>
          <w:tcPr>
            <w:tcW w:w="8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CF80E">
            <w:pPr>
              <w:jc w:val="center"/>
            </w:pPr>
            <w:r>
              <w:rPr>
                <w:rFonts w:ascii="宋体" w:hAnsi="宋体" w:eastAsia="宋体"/>
                <w:sz w:val="16"/>
              </w:rPr>
              <w:t>分值权重</w:t>
            </w:r>
          </w:p>
        </w:tc>
        <w:tc>
          <w:tcPr>
            <w:tcW w:w="10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D8827">
            <w:pPr>
              <w:jc w:val="center"/>
            </w:pPr>
            <w:r>
              <w:rPr>
                <w:rFonts w:ascii="宋体" w:hAnsi="宋体" w:eastAsia="宋体"/>
                <w:sz w:val="16"/>
              </w:rPr>
              <w:t>实际完成指标值</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6441054F">
            <w:pPr>
              <w:jc w:val="center"/>
            </w:pPr>
            <w:r>
              <w:rPr>
                <w:rFonts w:ascii="宋体" w:hAnsi="宋体" w:eastAsia="宋体"/>
                <w:sz w:val="16"/>
              </w:rPr>
              <w:t>得分</w:t>
            </w:r>
          </w:p>
        </w:tc>
      </w:tr>
      <w:tr w14:paraId="096A666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3A29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EC296">
            <w:pPr>
              <w:jc w:val="center"/>
            </w:pPr>
            <w:r>
              <w:rPr>
                <w:rFonts w:ascii="宋体" w:hAnsi="宋体" w:eastAsia="宋体"/>
                <w:sz w:val="16"/>
              </w:rPr>
              <w:t>数量指标</w:t>
            </w:r>
          </w:p>
        </w:tc>
        <w:tc>
          <w:tcPr>
            <w:tcW w:w="14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955A5">
            <w:pPr>
              <w:jc w:val="center"/>
            </w:pPr>
            <w:r>
              <w:rPr>
                <w:rFonts w:ascii="宋体" w:hAnsi="宋体" w:eastAsia="宋体"/>
                <w:sz w:val="16"/>
              </w:rPr>
              <w:t>野生动物投食次数</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4CA40">
            <w:pPr>
              <w:jc w:val="center"/>
            </w:pPr>
            <w:r>
              <w:rPr>
                <w:rFonts w:ascii="宋体" w:hAnsi="宋体" w:eastAsia="宋体"/>
                <w:sz w:val="16"/>
              </w:rPr>
              <w:t>&gt;=3次</w:t>
            </w:r>
          </w:p>
        </w:tc>
        <w:tc>
          <w:tcPr>
            <w:tcW w:w="13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15CA6">
            <w:pPr>
              <w:jc w:val="center"/>
            </w:pPr>
            <w:r>
              <w:rPr>
                <w:rFonts w:ascii="宋体" w:hAnsi="宋体" w:eastAsia="宋体"/>
                <w:sz w:val="16"/>
              </w:rPr>
              <w:t>2024年工作计划</w:t>
            </w:r>
          </w:p>
        </w:tc>
        <w:tc>
          <w:tcPr>
            <w:tcW w:w="8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017E9">
            <w:pPr>
              <w:jc w:val="center"/>
            </w:pPr>
            <w:r>
              <w:rPr>
                <w:rFonts w:ascii="宋体" w:hAnsi="宋体" w:eastAsia="宋体"/>
                <w:sz w:val="16"/>
              </w:rPr>
              <w:t>15</w:t>
            </w:r>
          </w:p>
        </w:tc>
        <w:tc>
          <w:tcPr>
            <w:tcW w:w="10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9B063">
            <w:pPr>
              <w:jc w:val="center"/>
            </w:pPr>
            <w:r>
              <w:rPr>
                <w:rFonts w:ascii="宋体" w:hAnsi="宋体" w:eastAsia="宋体"/>
                <w:sz w:val="16"/>
              </w:rPr>
              <w:t>4次</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183E23D4">
            <w:pPr>
              <w:jc w:val="center"/>
            </w:pPr>
            <w:r>
              <w:rPr>
                <w:rFonts w:ascii="宋体" w:hAnsi="宋体" w:eastAsia="宋体"/>
                <w:sz w:val="16"/>
              </w:rPr>
              <w:t>15</w:t>
            </w:r>
          </w:p>
        </w:tc>
      </w:tr>
      <w:tr w14:paraId="5969984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207B4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5B51F6"/>
        </w:tc>
        <w:tc>
          <w:tcPr>
            <w:tcW w:w="14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1A863">
            <w:pPr>
              <w:jc w:val="center"/>
            </w:pPr>
            <w:r>
              <w:rPr>
                <w:rFonts w:ascii="宋体" w:hAnsi="宋体" w:eastAsia="宋体"/>
                <w:sz w:val="16"/>
              </w:rPr>
              <w:t>开展野生动物保护宣传次数</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F4AB8">
            <w:pPr>
              <w:jc w:val="center"/>
            </w:pPr>
            <w:r>
              <w:rPr>
                <w:rFonts w:ascii="宋体" w:hAnsi="宋体" w:eastAsia="宋体"/>
                <w:sz w:val="16"/>
              </w:rPr>
              <w:t>&gt;=3次</w:t>
            </w:r>
          </w:p>
        </w:tc>
        <w:tc>
          <w:tcPr>
            <w:tcW w:w="13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C2A1E">
            <w:pPr>
              <w:jc w:val="center"/>
            </w:pPr>
            <w:r>
              <w:rPr>
                <w:rFonts w:ascii="宋体" w:hAnsi="宋体" w:eastAsia="宋体"/>
                <w:sz w:val="16"/>
              </w:rPr>
              <w:t>2024年工作计划</w:t>
            </w:r>
          </w:p>
        </w:tc>
        <w:tc>
          <w:tcPr>
            <w:tcW w:w="8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DD9C7">
            <w:pPr>
              <w:jc w:val="center"/>
            </w:pPr>
            <w:r>
              <w:rPr>
                <w:rFonts w:ascii="宋体" w:hAnsi="宋体" w:eastAsia="宋体"/>
                <w:sz w:val="16"/>
              </w:rPr>
              <w:t>15</w:t>
            </w:r>
          </w:p>
        </w:tc>
        <w:tc>
          <w:tcPr>
            <w:tcW w:w="10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A3322">
            <w:pPr>
              <w:jc w:val="center"/>
            </w:pPr>
            <w:r>
              <w:rPr>
                <w:rFonts w:ascii="宋体" w:hAnsi="宋体" w:eastAsia="宋体"/>
                <w:sz w:val="16"/>
              </w:rPr>
              <w:t>3次</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0451AF29">
            <w:pPr>
              <w:jc w:val="center"/>
            </w:pPr>
            <w:r>
              <w:rPr>
                <w:rFonts w:ascii="宋体" w:hAnsi="宋体" w:eastAsia="宋体"/>
                <w:sz w:val="16"/>
              </w:rPr>
              <w:t>15</w:t>
            </w:r>
          </w:p>
        </w:tc>
      </w:tr>
      <w:tr w14:paraId="30B647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234A9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B8A752"/>
        </w:tc>
        <w:tc>
          <w:tcPr>
            <w:tcW w:w="14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54405">
            <w:pPr>
              <w:jc w:val="center"/>
            </w:pPr>
            <w:r>
              <w:rPr>
                <w:rFonts w:ascii="宋体" w:hAnsi="宋体" w:eastAsia="宋体"/>
                <w:sz w:val="16"/>
              </w:rPr>
              <w:t>发放野生动物保护宣传单份数</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BB7CC">
            <w:pPr>
              <w:jc w:val="center"/>
            </w:pPr>
            <w:r>
              <w:rPr>
                <w:rFonts w:ascii="宋体" w:hAnsi="宋体" w:eastAsia="宋体"/>
                <w:sz w:val="16"/>
              </w:rPr>
              <w:t>&gt;=300份</w:t>
            </w:r>
          </w:p>
        </w:tc>
        <w:tc>
          <w:tcPr>
            <w:tcW w:w="13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C0D79">
            <w:pPr>
              <w:jc w:val="center"/>
            </w:pPr>
            <w:r>
              <w:rPr>
                <w:rFonts w:ascii="宋体" w:hAnsi="宋体" w:eastAsia="宋体"/>
                <w:sz w:val="16"/>
              </w:rPr>
              <w:t>2024年工作计划</w:t>
            </w:r>
          </w:p>
        </w:tc>
        <w:tc>
          <w:tcPr>
            <w:tcW w:w="8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0E78F">
            <w:pPr>
              <w:jc w:val="center"/>
            </w:pPr>
            <w:r>
              <w:rPr>
                <w:rFonts w:ascii="宋体" w:hAnsi="宋体" w:eastAsia="宋体"/>
                <w:sz w:val="16"/>
              </w:rPr>
              <w:t>15</w:t>
            </w:r>
          </w:p>
        </w:tc>
        <w:tc>
          <w:tcPr>
            <w:tcW w:w="10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0A353">
            <w:pPr>
              <w:jc w:val="center"/>
            </w:pPr>
            <w:r>
              <w:rPr>
                <w:rFonts w:ascii="宋体" w:hAnsi="宋体" w:eastAsia="宋体"/>
                <w:sz w:val="16"/>
              </w:rPr>
              <w:t>500份</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4DF70D23">
            <w:pPr>
              <w:jc w:val="center"/>
            </w:pPr>
            <w:r>
              <w:rPr>
                <w:rFonts w:ascii="宋体" w:hAnsi="宋体" w:eastAsia="宋体"/>
                <w:sz w:val="16"/>
              </w:rPr>
              <w:t>15</w:t>
            </w:r>
          </w:p>
        </w:tc>
      </w:tr>
      <w:tr w14:paraId="7357C8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0D89F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4B5D27"/>
        </w:tc>
        <w:tc>
          <w:tcPr>
            <w:tcW w:w="14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FED9F">
            <w:pPr>
              <w:jc w:val="center"/>
            </w:pPr>
            <w:r>
              <w:rPr>
                <w:rFonts w:ascii="宋体" w:hAnsi="宋体" w:eastAsia="宋体"/>
                <w:sz w:val="16"/>
              </w:rPr>
              <w:t>野生动物疫源疫病监测次数</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4012A">
            <w:pPr>
              <w:jc w:val="center"/>
            </w:pPr>
            <w:r>
              <w:rPr>
                <w:rFonts w:ascii="宋体" w:hAnsi="宋体" w:eastAsia="宋体"/>
                <w:sz w:val="16"/>
              </w:rPr>
              <w:t>&gt;=6次</w:t>
            </w:r>
          </w:p>
        </w:tc>
        <w:tc>
          <w:tcPr>
            <w:tcW w:w="13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60DFD">
            <w:pPr>
              <w:jc w:val="center"/>
            </w:pPr>
            <w:r>
              <w:rPr>
                <w:rFonts w:ascii="宋体" w:hAnsi="宋体" w:eastAsia="宋体"/>
                <w:sz w:val="16"/>
              </w:rPr>
              <w:t>2024年工作计划</w:t>
            </w:r>
          </w:p>
        </w:tc>
        <w:tc>
          <w:tcPr>
            <w:tcW w:w="8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33B63">
            <w:pPr>
              <w:jc w:val="center"/>
            </w:pPr>
            <w:r>
              <w:rPr>
                <w:rFonts w:ascii="宋体" w:hAnsi="宋体" w:eastAsia="宋体"/>
                <w:sz w:val="16"/>
              </w:rPr>
              <w:t>15</w:t>
            </w:r>
          </w:p>
        </w:tc>
        <w:tc>
          <w:tcPr>
            <w:tcW w:w="10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DFE47">
            <w:pPr>
              <w:jc w:val="center"/>
            </w:pPr>
            <w:r>
              <w:rPr>
                <w:rFonts w:ascii="宋体" w:hAnsi="宋体" w:eastAsia="宋体"/>
                <w:sz w:val="16"/>
              </w:rPr>
              <w:t>8次</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0B9F496F">
            <w:pPr>
              <w:jc w:val="center"/>
            </w:pPr>
            <w:r>
              <w:rPr>
                <w:rFonts w:ascii="宋体" w:hAnsi="宋体" w:eastAsia="宋体"/>
                <w:sz w:val="16"/>
              </w:rPr>
              <w:t>15</w:t>
            </w:r>
          </w:p>
        </w:tc>
      </w:tr>
      <w:tr w14:paraId="11681B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65CE2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8B13BB"/>
        </w:tc>
        <w:tc>
          <w:tcPr>
            <w:tcW w:w="14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3889D">
            <w:pPr>
              <w:jc w:val="center"/>
            </w:pPr>
            <w:r>
              <w:rPr>
                <w:rFonts w:ascii="宋体" w:hAnsi="宋体" w:eastAsia="宋体"/>
                <w:sz w:val="16"/>
              </w:rPr>
              <w:t>救护受伤野生动物数量</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E5A1F">
            <w:pPr>
              <w:jc w:val="center"/>
            </w:pPr>
            <w:r>
              <w:rPr>
                <w:rFonts w:ascii="宋体" w:hAnsi="宋体" w:eastAsia="宋体"/>
                <w:sz w:val="16"/>
              </w:rPr>
              <w:t>&gt;=5头（只）</w:t>
            </w:r>
          </w:p>
        </w:tc>
        <w:tc>
          <w:tcPr>
            <w:tcW w:w="13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D6228">
            <w:pPr>
              <w:jc w:val="center"/>
            </w:pPr>
            <w:r>
              <w:rPr>
                <w:rFonts w:ascii="宋体" w:hAnsi="宋体" w:eastAsia="宋体"/>
                <w:sz w:val="16"/>
              </w:rPr>
              <w:t>2024年工作计划</w:t>
            </w:r>
          </w:p>
        </w:tc>
        <w:tc>
          <w:tcPr>
            <w:tcW w:w="8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5B653">
            <w:pPr>
              <w:jc w:val="center"/>
            </w:pPr>
            <w:r>
              <w:rPr>
                <w:rFonts w:ascii="宋体" w:hAnsi="宋体" w:eastAsia="宋体"/>
                <w:sz w:val="16"/>
              </w:rPr>
              <w:t>15</w:t>
            </w:r>
          </w:p>
        </w:tc>
        <w:tc>
          <w:tcPr>
            <w:tcW w:w="10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F0A75">
            <w:pPr>
              <w:jc w:val="center"/>
            </w:pPr>
            <w:r>
              <w:rPr>
                <w:rFonts w:ascii="宋体" w:hAnsi="宋体" w:eastAsia="宋体"/>
                <w:sz w:val="16"/>
              </w:rPr>
              <w:t>12头（只）</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7581ABA8">
            <w:pPr>
              <w:jc w:val="center"/>
            </w:pPr>
            <w:r>
              <w:rPr>
                <w:rFonts w:ascii="宋体" w:hAnsi="宋体" w:eastAsia="宋体"/>
                <w:sz w:val="16"/>
              </w:rPr>
              <w:t>15</w:t>
            </w:r>
          </w:p>
        </w:tc>
      </w:tr>
      <w:tr w14:paraId="535927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8EEA7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F9B6A5"/>
        </w:tc>
        <w:tc>
          <w:tcPr>
            <w:tcW w:w="14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783E4">
            <w:pPr>
              <w:jc w:val="center"/>
            </w:pPr>
            <w:r>
              <w:rPr>
                <w:rFonts w:ascii="宋体" w:hAnsi="宋体" w:eastAsia="宋体"/>
                <w:sz w:val="16"/>
              </w:rPr>
              <w:t>开展打击涉野生动植物犯罪的行动次数</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5385C">
            <w:pPr>
              <w:jc w:val="center"/>
            </w:pPr>
            <w:r>
              <w:rPr>
                <w:rFonts w:ascii="宋体" w:hAnsi="宋体" w:eastAsia="宋体"/>
                <w:sz w:val="16"/>
              </w:rPr>
              <w:t>&gt;=4次</w:t>
            </w:r>
          </w:p>
        </w:tc>
        <w:tc>
          <w:tcPr>
            <w:tcW w:w="13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AB7CD">
            <w:pPr>
              <w:jc w:val="center"/>
            </w:pPr>
            <w:r>
              <w:rPr>
                <w:rFonts w:ascii="宋体" w:hAnsi="宋体" w:eastAsia="宋体"/>
                <w:sz w:val="16"/>
              </w:rPr>
              <w:t>2024年工作计划</w:t>
            </w:r>
          </w:p>
        </w:tc>
        <w:tc>
          <w:tcPr>
            <w:tcW w:w="8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D7F0A">
            <w:pPr>
              <w:jc w:val="center"/>
            </w:pPr>
            <w:r>
              <w:rPr>
                <w:rFonts w:ascii="宋体" w:hAnsi="宋体" w:eastAsia="宋体"/>
                <w:sz w:val="16"/>
              </w:rPr>
              <w:t>15</w:t>
            </w:r>
          </w:p>
        </w:tc>
        <w:tc>
          <w:tcPr>
            <w:tcW w:w="10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63949">
            <w:pPr>
              <w:jc w:val="center"/>
            </w:pPr>
            <w:r>
              <w:rPr>
                <w:rFonts w:ascii="宋体" w:hAnsi="宋体" w:eastAsia="宋体"/>
                <w:sz w:val="16"/>
              </w:rPr>
              <w:t>4次</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02C4E90E">
            <w:pPr>
              <w:jc w:val="center"/>
            </w:pPr>
            <w:r>
              <w:rPr>
                <w:rFonts w:ascii="宋体" w:hAnsi="宋体" w:eastAsia="宋体"/>
                <w:sz w:val="16"/>
              </w:rPr>
              <w:t>15</w:t>
            </w:r>
          </w:p>
        </w:tc>
      </w:tr>
    </w:tbl>
    <w:p w14:paraId="1F62A54D">
      <w:r>
        <w:br w:type="page"/>
      </w:r>
    </w:p>
    <w:p w14:paraId="2722FC75">
      <w:pPr>
        <w:spacing w:line="640" w:lineRule="exact"/>
        <w:ind w:firstLine="640"/>
        <w:jc w:val="both"/>
        <w:outlineLvl w:val="2"/>
      </w:pPr>
      <w:r>
        <w:rPr>
          <w:rFonts w:ascii="黑体" w:hAnsi="黑体" w:eastAsia="黑体"/>
          <w:sz w:val="32"/>
        </w:rPr>
        <w:t>十二、其他需说明的事项</w:t>
      </w:r>
    </w:p>
    <w:p w14:paraId="44C2CDB0">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506B00DF">
      <w:r>
        <w:br w:type="page"/>
      </w:r>
      <w:bookmarkStart w:id="0" w:name="_GoBack"/>
      <w:bookmarkEnd w:id="0"/>
    </w:p>
    <w:p w14:paraId="798A41D0">
      <w:pPr>
        <w:spacing w:line="240" w:lineRule="auto"/>
        <w:jc w:val="center"/>
        <w:outlineLvl w:val="1"/>
      </w:pPr>
      <w:r>
        <w:rPr>
          <w:rFonts w:ascii="黑体" w:hAnsi="黑体" w:eastAsia="黑体"/>
          <w:sz w:val="32"/>
        </w:rPr>
        <w:t>第三部分 专业名词解释</w:t>
      </w:r>
    </w:p>
    <w:p w14:paraId="7E51ACB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132BB8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F42544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D6E2CA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B8C921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72711E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410DCA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A7FB9B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EC534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96559C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BB1F92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41E5E4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4BE5D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F5A2D4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369558D">
      <w:r>
        <w:br w:type="page"/>
      </w:r>
    </w:p>
    <w:p w14:paraId="0D739F80">
      <w:pPr>
        <w:spacing w:line="240" w:lineRule="auto"/>
        <w:jc w:val="center"/>
        <w:outlineLvl w:val="1"/>
      </w:pPr>
      <w:r>
        <w:rPr>
          <w:rFonts w:ascii="黑体" w:hAnsi="黑体" w:eastAsia="黑体"/>
          <w:sz w:val="32"/>
        </w:rPr>
        <w:t>第四部分 部门决算报表（见附表）</w:t>
      </w:r>
    </w:p>
    <w:p w14:paraId="0CA31A6A">
      <w:pPr>
        <w:spacing w:line="240" w:lineRule="auto"/>
        <w:ind w:firstLine="640"/>
        <w:jc w:val="both"/>
      </w:pPr>
      <w:r>
        <w:rPr>
          <w:rFonts w:ascii="仿宋_GB2312" w:hAnsi="仿宋_GB2312" w:eastAsia="仿宋_GB2312"/>
          <w:b w:val="0"/>
          <w:sz w:val="32"/>
        </w:rPr>
        <w:t>一、《收入支出决算总表》</w:t>
      </w:r>
    </w:p>
    <w:p w14:paraId="315737A5">
      <w:pPr>
        <w:spacing w:line="240" w:lineRule="auto"/>
        <w:ind w:firstLine="640"/>
        <w:jc w:val="both"/>
      </w:pPr>
      <w:r>
        <w:rPr>
          <w:rFonts w:ascii="仿宋_GB2312" w:hAnsi="仿宋_GB2312" w:eastAsia="仿宋_GB2312"/>
          <w:b w:val="0"/>
          <w:sz w:val="32"/>
        </w:rPr>
        <w:t>二、《收入决算表》</w:t>
      </w:r>
    </w:p>
    <w:p w14:paraId="1456886A">
      <w:pPr>
        <w:spacing w:line="240" w:lineRule="auto"/>
        <w:ind w:firstLine="640"/>
        <w:jc w:val="both"/>
      </w:pPr>
      <w:r>
        <w:rPr>
          <w:rFonts w:ascii="仿宋_GB2312" w:hAnsi="仿宋_GB2312" w:eastAsia="仿宋_GB2312"/>
          <w:b w:val="0"/>
          <w:sz w:val="32"/>
        </w:rPr>
        <w:t>三、《支出决算表》</w:t>
      </w:r>
    </w:p>
    <w:p w14:paraId="71F0B04A">
      <w:pPr>
        <w:spacing w:line="240" w:lineRule="auto"/>
        <w:ind w:firstLine="640"/>
        <w:jc w:val="both"/>
      </w:pPr>
      <w:r>
        <w:rPr>
          <w:rFonts w:ascii="仿宋_GB2312" w:hAnsi="仿宋_GB2312" w:eastAsia="仿宋_GB2312"/>
          <w:b w:val="0"/>
          <w:sz w:val="32"/>
        </w:rPr>
        <w:t>四、《财政拨款收入支出决算总表》</w:t>
      </w:r>
    </w:p>
    <w:p w14:paraId="26CF0408">
      <w:pPr>
        <w:spacing w:line="240" w:lineRule="auto"/>
        <w:ind w:firstLine="640"/>
        <w:jc w:val="both"/>
      </w:pPr>
      <w:r>
        <w:rPr>
          <w:rFonts w:ascii="仿宋_GB2312" w:hAnsi="仿宋_GB2312" w:eastAsia="仿宋_GB2312"/>
          <w:b w:val="0"/>
          <w:sz w:val="32"/>
        </w:rPr>
        <w:t>五、《一般公共预算财政拨款支出决算表》</w:t>
      </w:r>
    </w:p>
    <w:p w14:paraId="2D83333F">
      <w:pPr>
        <w:spacing w:line="240" w:lineRule="auto"/>
        <w:ind w:firstLine="640"/>
        <w:jc w:val="both"/>
      </w:pPr>
      <w:r>
        <w:rPr>
          <w:rFonts w:ascii="仿宋_GB2312" w:hAnsi="仿宋_GB2312" w:eastAsia="仿宋_GB2312"/>
          <w:b w:val="0"/>
          <w:sz w:val="32"/>
        </w:rPr>
        <w:t>六、《一般公共预算财政拨款基本支出决算表》</w:t>
      </w:r>
    </w:p>
    <w:p w14:paraId="07774B66">
      <w:pPr>
        <w:spacing w:line="240" w:lineRule="auto"/>
        <w:ind w:firstLine="640"/>
        <w:jc w:val="both"/>
      </w:pPr>
      <w:r>
        <w:rPr>
          <w:rFonts w:ascii="仿宋_GB2312" w:hAnsi="仿宋_GB2312" w:eastAsia="仿宋_GB2312"/>
          <w:b w:val="0"/>
          <w:sz w:val="32"/>
        </w:rPr>
        <w:t>七、《政府性基金预算财政拨款收入支出决算表》</w:t>
      </w:r>
    </w:p>
    <w:p w14:paraId="66359C31">
      <w:pPr>
        <w:spacing w:line="240" w:lineRule="auto"/>
        <w:ind w:firstLine="640"/>
        <w:jc w:val="both"/>
      </w:pPr>
      <w:r>
        <w:rPr>
          <w:rFonts w:ascii="仿宋_GB2312" w:hAnsi="仿宋_GB2312" w:eastAsia="仿宋_GB2312"/>
          <w:b w:val="0"/>
          <w:sz w:val="32"/>
        </w:rPr>
        <w:t>八、《国有资本经营预算财政拨款收入支出决算表》</w:t>
      </w:r>
    </w:p>
    <w:p w14:paraId="766766BC">
      <w:pPr>
        <w:spacing w:line="240" w:lineRule="auto"/>
        <w:ind w:firstLine="640"/>
        <w:jc w:val="both"/>
      </w:pPr>
      <w:r>
        <w:rPr>
          <w:rFonts w:ascii="仿宋_GB2312" w:hAnsi="仿宋_GB2312" w:eastAsia="仿宋_GB2312"/>
          <w:b w:val="0"/>
          <w:sz w:val="32"/>
        </w:rPr>
        <w:t>九、《财政拨款“三公”经费支出决算表》</w:t>
      </w:r>
    </w:p>
    <w:p w14:paraId="1CB19705">
      <w:pPr>
        <w:spacing w:line="240" w:lineRule="auto"/>
        <w:ind w:firstLine="640"/>
        <w:jc w:val="both"/>
      </w:pPr>
    </w:p>
    <w:p w14:paraId="78587D60">
      <w:pPr>
        <w:spacing w:line="240" w:lineRule="auto"/>
        <w:ind w:firstLine="640"/>
        <w:jc w:val="both"/>
      </w:pPr>
    </w:p>
    <w:p w14:paraId="75DBAED5">
      <w:pPr>
        <w:spacing w:line="240" w:lineRule="auto"/>
        <w:ind w:firstLine="640"/>
        <w:jc w:val="both"/>
      </w:pPr>
    </w:p>
    <w:p w14:paraId="2D880806">
      <w:pPr>
        <w:spacing w:line="240" w:lineRule="auto"/>
        <w:ind w:firstLine="640"/>
        <w:jc w:val="both"/>
      </w:pPr>
    </w:p>
    <w:p w14:paraId="30CD78E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87C3B0-2791-4E6A-8C93-E515907401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6252D32-4EFD-426F-85E7-8537FC5E20EB}"/>
  </w:font>
  <w:font w:name="仿宋_GB2312">
    <w:altName w:val="仿宋"/>
    <w:panose1 w:val="02010609030101010101"/>
    <w:charset w:val="86"/>
    <w:family w:val="modern"/>
    <w:pitch w:val="default"/>
    <w:sig w:usb0="00000000" w:usb1="00000000" w:usb2="00000000" w:usb3="00000000" w:csb0="00040000" w:csb1="00000000"/>
    <w:embedRegular r:id="rId3" w:fontKey="{168D549D-3687-4763-B4E9-AC80D4936348}"/>
  </w:font>
  <w:font w:name="楷体_GB2312">
    <w:altName w:val="楷体"/>
    <w:panose1 w:val="02010609030101010101"/>
    <w:charset w:val="86"/>
    <w:family w:val="auto"/>
    <w:pitch w:val="default"/>
    <w:sig w:usb0="00000000" w:usb1="00000000" w:usb2="00000000" w:usb3="00000000" w:csb0="00040000" w:csb1="00000000"/>
    <w:embedRegular r:id="rId4" w:fontKey="{66C2711C-09FF-4326-829B-44B27178817D}"/>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4D90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B888C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4B888C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9DD2568"/>
    <w:rsid w:val="0A3A37B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EE35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4b3002-5d1d-42d7-a6da-e24572c469a4}">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3816</Words>
  <Characters>4405</Characters>
  <Lines>0</Lines>
  <Paragraphs>0</Paragraphs>
  <TotalTime>0</TotalTime>
  <ScaleCrop>false</ScaleCrop>
  <LinksUpToDate>false</LinksUpToDate>
  <CharactersWithSpaces>4413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2025-11-07T09:43:57Z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