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CE6F2">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208E4D2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78B551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5DB6ED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1936E7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2B68F5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裕民县纪律检查委员会2024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5039A7E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03E3C4AA">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3C25121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2190FD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29B69A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2144C218">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756DD0D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3CD2696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30C61A0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57DC9A4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528D298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754B75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2AFD110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1D559C7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49E08A8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7E0C95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6F02F0D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1697EEB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D6E49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70F982D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01500F1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3EF94A1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23C9AAE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A438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5269C88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F8BA6D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4111CEF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287F7E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7493F3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0CD0DAE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26A7F3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3507A85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5F89E39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49EAC1C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48195C2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22765A8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7471E1F">
      <w:r>
        <w:br w:type="page"/>
      </w:r>
    </w:p>
    <w:p w14:paraId="5C29E24E">
      <w:pPr>
        <w:spacing w:line="640" w:lineRule="exact"/>
        <w:jc w:val="center"/>
        <w:outlineLvl w:val="1"/>
      </w:pPr>
      <w:r>
        <w:rPr>
          <w:rFonts w:ascii="黑体" w:hAnsi="黑体" w:eastAsia="黑体"/>
          <w:sz w:val="32"/>
        </w:rPr>
        <w:t>第一部分 单位概况</w:t>
      </w:r>
    </w:p>
    <w:p w14:paraId="465062D3">
      <w:pPr>
        <w:spacing w:line="640" w:lineRule="exact"/>
        <w:ind w:firstLine="640"/>
        <w:jc w:val="both"/>
        <w:outlineLvl w:val="2"/>
      </w:pPr>
      <w:r>
        <w:rPr>
          <w:rFonts w:ascii="黑体" w:hAnsi="黑体" w:eastAsia="黑体"/>
          <w:sz w:val="32"/>
        </w:rPr>
        <w:t>一、主要职能</w:t>
      </w:r>
    </w:p>
    <w:p w14:paraId="6936327E">
      <w:pPr>
        <w:spacing w:line="580" w:lineRule="exact"/>
        <w:ind w:firstLine="640"/>
        <w:jc w:val="both"/>
      </w:pPr>
      <w:r>
        <w:rPr>
          <w:rFonts w:ascii="仿宋_GB2312" w:hAnsi="仿宋_GB2312" w:eastAsia="仿宋_GB2312"/>
          <w:sz w:val="32"/>
        </w:rPr>
        <w:t>（1）负责党的纪律检查工作。</w:t>
      </w:r>
    </w:p>
    <w:p w14:paraId="3E996C7A">
      <w:pPr>
        <w:spacing w:line="580" w:lineRule="exact"/>
        <w:ind w:firstLine="640"/>
        <w:jc w:val="both"/>
      </w:pPr>
      <w:r>
        <w:rPr>
          <w:rFonts w:ascii="仿宋_GB2312" w:hAnsi="仿宋_GB2312" w:eastAsia="仿宋_GB2312"/>
          <w:sz w:val="32"/>
        </w:rPr>
        <w:t>（2）依照党的章程和其他党内法规履行监督、执纪、问责职责。</w:t>
      </w:r>
    </w:p>
    <w:p w14:paraId="491CAB4A">
      <w:pPr>
        <w:spacing w:line="580" w:lineRule="exact"/>
        <w:ind w:firstLine="640"/>
        <w:jc w:val="both"/>
      </w:pPr>
      <w:r>
        <w:rPr>
          <w:rFonts w:ascii="仿宋_GB2312" w:hAnsi="仿宋_GB2312" w:eastAsia="仿宋_GB2312"/>
          <w:sz w:val="32"/>
        </w:rPr>
        <w:t>（</w:t>
      </w:r>
      <w:r>
        <w:rPr>
          <w:rFonts w:ascii="仿宋_GB2312" w:hAnsi="仿宋_GB2312" w:eastAsia="仿宋_GB2312"/>
          <w:spacing w:val="-6"/>
          <w:sz w:val="32"/>
        </w:rPr>
        <w:t>3）在县委领导下,配合县委巡察工作领导小组,对所管理的乡镇(场)、部门、企事业单位、村队(社区)党组织开展巡察工作。</w:t>
      </w:r>
    </w:p>
    <w:p w14:paraId="10E56861">
      <w:pPr>
        <w:spacing w:line="580" w:lineRule="exact"/>
        <w:ind w:firstLine="640"/>
        <w:jc w:val="both"/>
      </w:pPr>
      <w:r>
        <w:rPr>
          <w:rFonts w:ascii="仿宋_GB2312" w:hAnsi="仿宋_GB2312" w:eastAsia="仿宋_GB2312"/>
          <w:sz w:val="32"/>
        </w:rPr>
        <w:t>（4）负责全县监察工作。</w:t>
      </w:r>
    </w:p>
    <w:p w14:paraId="53B68638">
      <w:pPr>
        <w:spacing w:line="580" w:lineRule="exact"/>
        <w:ind w:firstLine="640"/>
        <w:jc w:val="both"/>
      </w:pPr>
      <w:r>
        <w:rPr>
          <w:rFonts w:ascii="仿宋_GB2312" w:hAnsi="仿宋_GB2312" w:eastAsia="仿宋_GB2312"/>
          <w:sz w:val="32"/>
        </w:rPr>
        <w:t>（5）依照法律规定履行监督、调查、处置职责。</w:t>
      </w:r>
    </w:p>
    <w:p w14:paraId="722216AC">
      <w:pPr>
        <w:spacing w:line="580" w:lineRule="exact"/>
        <w:ind w:firstLine="640"/>
        <w:jc w:val="both"/>
      </w:pPr>
      <w:r>
        <w:rPr>
          <w:rFonts w:ascii="仿宋_GB2312" w:hAnsi="仿宋_GB2312" w:eastAsia="仿宋_GB2312"/>
          <w:sz w:val="32"/>
        </w:rPr>
        <w:t>（6）负责组织协调全县党政履行主体责任,推进全面从严治党、党风廉政建设和反腐败宣传教育工作。</w:t>
      </w:r>
    </w:p>
    <w:p w14:paraId="40F74452">
      <w:pPr>
        <w:spacing w:line="580" w:lineRule="exact"/>
        <w:ind w:firstLine="640"/>
        <w:jc w:val="both"/>
      </w:pPr>
      <w:r>
        <w:rPr>
          <w:rFonts w:ascii="仿宋_GB2312" w:hAnsi="仿宋_GB2312" w:eastAsia="仿宋_GB2312"/>
          <w:sz w:val="32"/>
        </w:rPr>
        <w:t>（</w:t>
      </w:r>
      <w:r>
        <w:rPr>
          <w:rFonts w:ascii="仿宋_GB2312" w:hAnsi="仿宋_GB2312" w:eastAsia="仿宋_GB2312"/>
          <w:spacing w:val="-6"/>
          <w:sz w:val="32"/>
        </w:rPr>
        <w:t>7）负责综合分析全县全面从严治党、党风廉政建设和反腐败工作情况,对纪检监察工作重要理论及实践问题进行调查研究。</w:t>
      </w:r>
    </w:p>
    <w:p w14:paraId="7B538814">
      <w:pPr>
        <w:spacing w:line="580" w:lineRule="exact"/>
        <w:ind w:firstLine="640"/>
        <w:jc w:val="both"/>
      </w:pPr>
      <w:r>
        <w:rPr>
          <w:rFonts w:ascii="仿宋_GB2312" w:hAnsi="仿宋_GB2312" w:eastAsia="仿宋_GB2312"/>
          <w:sz w:val="32"/>
        </w:rPr>
        <w:t>（8）负责配合自治区纪委、自治区监委和地区纪委、地区监委做好与其他国家、地区、国际组织的反腐败国际交流、合作,加强对</w:t>
      </w:r>
      <w:r>
        <w:rPr>
          <w:rFonts w:hint="eastAsia" w:ascii="仿宋_GB2312" w:hAnsi="仿宋_GB2312" w:eastAsia="仿宋_GB2312"/>
          <w:sz w:val="32"/>
          <w:lang w:eastAsia="zh-CN"/>
        </w:rPr>
        <w:t>反腐败国际追逃追赃</w:t>
      </w:r>
      <w:r>
        <w:rPr>
          <w:rFonts w:ascii="仿宋_GB2312" w:hAnsi="仿宋_GB2312" w:eastAsia="仿宋_GB2312"/>
          <w:sz w:val="32"/>
        </w:rPr>
        <w:t>和防逃工作的组织协调,督促有关单位做好相关工作。</w:t>
      </w:r>
    </w:p>
    <w:p w14:paraId="0B21CC7E">
      <w:pPr>
        <w:spacing w:line="580" w:lineRule="exact"/>
        <w:ind w:firstLine="640"/>
        <w:jc w:val="both"/>
      </w:pPr>
      <w:r>
        <w:rPr>
          <w:rFonts w:ascii="仿宋_GB2312" w:hAnsi="仿宋_GB2312" w:eastAsia="仿宋_GB2312"/>
          <w:sz w:val="32"/>
        </w:rPr>
        <w:t>（9）根据干部管理权限,负责县纪检监察系统领导班子建设、干部队伍建设和组织建设的综合规划、政策研究、制度建设和业务指导。</w:t>
      </w:r>
    </w:p>
    <w:p w14:paraId="032CD3B4">
      <w:pPr>
        <w:spacing w:line="580" w:lineRule="exact"/>
        <w:ind w:firstLine="640"/>
        <w:jc w:val="both"/>
      </w:pPr>
      <w:r>
        <w:rPr>
          <w:rFonts w:ascii="仿宋_GB2312" w:hAnsi="仿宋_GB2312" w:eastAsia="仿宋_GB2312"/>
          <w:sz w:val="32"/>
        </w:rPr>
        <w:t>（10）完成地区纪委监委和县委交办的其他任务。</w:t>
      </w:r>
    </w:p>
    <w:p w14:paraId="068E149A">
      <w:pPr>
        <w:spacing w:line="640" w:lineRule="exact"/>
        <w:ind w:firstLine="640"/>
        <w:jc w:val="both"/>
        <w:outlineLvl w:val="2"/>
      </w:pPr>
      <w:r>
        <w:rPr>
          <w:rFonts w:ascii="黑体" w:hAnsi="黑体" w:eastAsia="黑体"/>
          <w:sz w:val="32"/>
        </w:rPr>
        <w:t>二、机构设置及人员情况</w:t>
      </w:r>
    </w:p>
    <w:p w14:paraId="33BB1A9F">
      <w:pPr>
        <w:spacing w:line="580" w:lineRule="exact"/>
        <w:ind w:firstLine="640"/>
        <w:jc w:val="both"/>
      </w:pPr>
      <w:r>
        <w:rPr>
          <w:rFonts w:ascii="仿宋_GB2312" w:hAnsi="仿宋_GB2312" w:eastAsia="仿宋_GB2312"/>
          <w:sz w:val="32"/>
        </w:rPr>
        <w:t>裕民县纪律检查委员会2024年度，实有人数133人，其中：在职人员101人，增加7人；离休人员0人，增加0人；退休人员32人,增加1人。</w:t>
      </w:r>
    </w:p>
    <w:p w14:paraId="622E9F49">
      <w:pPr>
        <w:spacing w:line="580" w:lineRule="exact"/>
        <w:ind w:firstLine="640"/>
        <w:jc w:val="both"/>
      </w:pPr>
      <w:r>
        <w:rPr>
          <w:rFonts w:ascii="仿宋_GB2312" w:hAnsi="仿宋_GB2312" w:eastAsia="仿宋_GB2312"/>
          <w:sz w:val="32"/>
        </w:rPr>
        <w:t>裕民县纪律检查委员会无下属预算单位，下设15个科室，分别是：办公室、组宣部、案件监督管理室、案件审理室、第一纪检监察室、第二纪检监察室、第三纪检监察室、第四纪检监察室、纪检监察干部监督室、纪检监察干部监督室、党风政风监督室、信访室、县委巡察办、派驻纪检监察组、派出纪检监察工委。</w:t>
      </w:r>
    </w:p>
    <w:p w14:paraId="0530144B">
      <w:r>
        <w:br w:type="page"/>
      </w:r>
    </w:p>
    <w:p w14:paraId="5EA83D8E">
      <w:pPr>
        <w:spacing w:line="240" w:lineRule="auto"/>
        <w:jc w:val="center"/>
        <w:outlineLvl w:val="1"/>
      </w:pPr>
      <w:r>
        <w:rPr>
          <w:rFonts w:ascii="黑体" w:hAnsi="黑体" w:eastAsia="黑体"/>
          <w:sz w:val="32"/>
        </w:rPr>
        <w:t>第二部分 部门决算情况说明</w:t>
      </w:r>
    </w:p>
    <w:p w14:paraId="7FB64273">
      <w:pPr>
        <w:spacing w:line="640" w:lineRule="exact"/>
        <w:ind w:firstLine="640"/>
        <w:jc w:val="both"/>
        <w:outlineLvl w:val="2"/>
      </w:pPr>
      <w:r>
        <w:rPr>
          <w:rFonts w:ascii="黑体" w:hAnsi="黑体" w:eastAsia="黑体"/>
          <w:sz w:val="32"/>
        </w:rPr>
        <w:t>一、收入支出决算总体情况说明</w:t>
      </w:r>
    </w:p>
    <w:p w14:paraId="39730C1B">
      <w:pPr>
        <w:spacing w:line="580" w:lineRule="exact"/>
        <w:ind w:firstLine="640"/>
        <w:jc w:val="both"/>
      </w:pPr>
      <w:r>
        <w:rPr>
          <w:rFonts w:ascii="仿宋_GB2312" w:hAnsi="仿宋_GB2312" w:eastAsia="仿宋_GB2312"/>
          <w:b/>
          <w:sz w:val="32"/>
        </w:rPr>
        <w:t>2024年度收入总计1,788.71万元，</w:t>
      </w:r>
      <w:r>
        <w:rPr>
          <w:rFonts w:ascii="仿宋_GB2312" w:hAnsi="仿宋_GB2312" w:eastAsia="仿宋_GB2312"/>
          <w:b w:val="0"/>
          <w:sz w:val="32"/>
        </w:rPr>
        <w:t>其中：本年收入合计1,787.82万元，使用非财政拨款结余（含专用结余）0.00万元，年初结转和结余0.89万元。</w:t>
      </w:r>
    </w:p>
    <w:p w14:paraId="309A6C4D">
      <w:pPr>
        <w:spacing w:line="580" w:lineRule="exact"/>
        <w:ind w:firstLine="640"/>
        <w:jc w:val="both"/>
        <w:rPr>
          <w:spacing w:val="-6"/>
          <w:sz w:val="32"/>
        </w:rPr>
      </w:pPr>
      <w:r>
        <w:rPr>
          <w:rFonts w:ascii="仿宋_GB2312" w:hAnsi="仿宋_GB2312" w:eastAsia="仿宋_GB2312"/>
          <w:b/>
          <w:spacing w:val="-6"/>
          <w:sz w:val="32"/>
        </w:rPr>
        <w:t>2024年度支出总计1,788.71万元，</w:t>
      </w:r>
      <w:r>
        <w:rPr>
          <w:rFonts w:ascii="仿宋_GB2312" w:hAnsi="仿宋_GB2312" w:eastAsia="仿宋_GB2312"/>
          <w:b w:val="0"/>
          <w:spacing w:val="-6"/>
          <w:sz w:val="32"/>
        </w:rPr>
        <w:t>其中：本年支出合计1,787.82万元，结余分配0.00万元，年末结转和结余0.89万元。</w:t>
      </w:r>
    </w:p>
    <w:p w14:paraId="77F5C269">
      <w:pPr>
        <w:spacing w:line="580" w:lineRule="exact"/>
        <w:ind w:firstLine="640"/>
        <w:jc w:val="both"/>
      </w:pPr>
      <w:r>
        <w:rPr>
          <w:rFonts w:ascii="仿宋_GB2312" w:hAnsi="仿宋_GB2312" w:eastAsia="仿宋_GB2312"/>
          <w:b w:val="0"/>
          <w:sz w:val="32"/>
        </w:rPr>
        <w:t>收入支出总体与上年相比，减少45.84万元，下降2.50%，主要原因是：本年度在职转退休人员较上年减少，本</w:t>
      </w:r>
      <w:r>
        <w:rPr>
          <w:rFonts w:hint="eastAsia" w:ascii="仿宋_GB2312" w:hAnsi="仿宋_GB2312" w:eastAsia="仿宋_GB2312"/>
          <w:b w:val="0"/>
          <w:sz w:val="32"/>
          <w:lang w:eastAsia="zh-CN"/>
        </w:rPr>
        <w:t>年度</w:t>
      </w:r>
      <w:r>
        <w:rPr>
          <w:rFonts w:ascii="仿宋_GB2312" w:hAnsi="仿宋_GB2312" w:eastAsia="仿宋_GB2312"/>
          <w:b w:val="0"/>
          <w:sz w:val="32"/>
        </w:rPr>
        <w:t>职业年金缴费支出减少。</w:t>
      </w:r>
    </w:p>
    <w:p w14:paraId="7DCE38AF">
      <w:pPr>
        <w:spacing w:line="640" w:lineRule="exact"/>
        <w:ind w:firstLine="640"/>
        <w:jc w:val="both"/>
        <w:outlineLvl w:val="2"/>
      </w:pPr>
      <w:r>
        <w:rPr>
          <w:rFonts w:ascii="黑体" w:hAnsi="黑体" w:eastAsia="黑体"/>
          <w:sz w:val="32"/>
        </w:rPr>
        <w:t>二、收入决算情况说明</w:t>
      </w:r>
    </w:p>
    <w:p w14:paraId="36869EFC">
      <w:pPr>
        <w:spacing w:line="580" w:lineRule="exact"/>
        <w:ind w:firstLine="640"/>
        <w:jc w:val="both"/>
      </w:pPr>
      <w:r>
        <w:rPr>
          <w:rFonts w:ascii="仿宋_GB2312" w:hAnsi="仿宋_GB2312" w:eastAsia="仿宋_GB2312"/>
          <w:b/>
          <w:sz w:val="32"/>
        </w:rPr>
        <w:t>本年收入1,787.82万元，</w:t>
      </w:r>
      <w:r>
        <w:rPr>
          <w:rFonts w:ascii="仿宋_GB2312" w:hAnsi="仿宋_GB2312" w:eastAsia="仿宋_GB2312"/>
          <w:b w:val="0"/>
          <w:sz w:val="32"/>
        </w:rPr>
        <w:t>其中：财政拨款收入1,787.82万元，占100.00%；上级补助收入0.00万元，占0.00%；事业收入0.00万元，占0.00%；经营收入0.00万元，占0.00%；附属单位上缴收入0.00万元，占0.00%；其他收入0.00万元，占0.00%。</w:t>
      </w:r>
    </w:p>
    <w:p w14:paraId="747F8735">
      <w:pPr>
        <w:spacing w:line="640" w:lineRule="exact"/>
        <w:ind w:firstLine="640"/>
        <w:jc w:val="both"/>
        <w:outlineLvl w:val="2"/>
      </w:pPr>
      <w:r>
        <w:rPr>
          <w:rFonts w:ascii="黑体" w:hAnsi="黑体" w:eastAsia="黑体"/>
          <w:sz w:val="32"/>
        </w:rPr>
        <w:t>三、支出决算情况说明</w:t>
      </w:r>
    </w:p>
    <w:p w14:paraId="53437F14">
      <w:pPr>
        <w:spacing w:line="580" w:lineRule="exact"/>
        <w:ind w:firstLine="640"/>
        <w:jc w:val="both"/>
      </w:pPr>
      <w:r>
        <w:rPr>
          <w:rFonts w:ascii="仿宋_GB2312" w:hAnsi="仿宋_GB2312" w:eastAsia="仿宋_GB2312"/>
          <w:b/>
          <w:sz w:val="32"/>
        </w:rPr>
        <w:t>本年支出1,787.82万元，</w:t>
      </w:r>
      <w:r>
        <w:rPr>
          <w:rFonts w:ascii="仿宋_GB2312" w:hAnsi="仿宋_GB2312" w:eastAsia="仿宋_GB2312"/>
          <w:b w:val="0"/>
          <w:sz w:val="32"/>
        </w:rPr>
        <w:t>其中：基本支出1,771.25万元，占99.07%；项目支出16.57万元，占0.93%；上缴上级支出0.00万元，占0.00%；经营支出0.00万元，占0.00%；对附属单位补助支出0.00万元，占0.00%。</w:t>
      </w:r>
    </w:p>
    <w:p w14:paraId="0B18B4D9">
      <w:pPr>
        <w:spacing w:line="640" w:lineRule="exact"/>
        <w:ind w:firstLine="640"/>
        <w:jc w:val="both"/>
        <w:outlineLvl w:val="2"/>
      </w:pPr>
      <w:r>
        <w:rPr>
          <w:rFonts w:ascii="黑体" w:hAnsi="黑体" w:eastAsia="黑体"/>
          <w:sz w:val="32"/>
        </w:rPr>
        <w:t>四、财政拨款收入支出决算总体情况说明</w:t>
      </w:r>
    </w:p>
    <w:p w14:paraId="58574024">
      <w:pPr>
        <w:spacing w:line="580" w:lineRule="exact"/>
        <w:ind w:firstLine="640"/>
        <w:jc w:val="both"/>
      </w:pPr>
      <w:r>
        <w:rPr>
          <w:rFonts w:ascii="仿宋_GB2312" w:hAnsi="仿宋_GB2312" w:eastAsia="仿宋_GB2312"/>
          <w:b/>
          <w:sz w:val="32"/>
        </w:rPr>
        <w:t>2024年度财政拨款收入总计1,787.82万元，</w:t>
      </w:r>
      <w:r>
        <w:rPr>
          <w:rFonts w:ascii="仿宋_GB2312" w:hAnsi="仿宋_GB2312" w:eastAsia="仿宋_GB2312"/>
          <w:b w:val="0"/>
          <w:sz w:val="32"/>
        </w:rPr>
        <w:t>其中：年初财政拨款结转和结余0.00万元，本年财政拨款收入1,787.82万元。</w:t>
      </w:r>
      <w:r>
        <w:rPr>
          <w:rFonts w:ascii="仿宋_GB2312" w:hAnsi="仿宋_GB2312" w:eastAsia="仿宋_GB2312"/>
          <w:b/>
          <w:sz w:val="32"/>
        </w:rPr>
        <w:t>财政拨款支出总计1,787.82万元，</w:t>
      </w:r>
      <w:r>
        <w:rPr>
          <w:rFonts w:ascii="仿宋_GB2312" w:hAnsi="仿宋_GB2312" w:eastAsia="仿宋_GB2312"/>
          <w:b w:val="0"/>
          <w:sz w:val="32"/>
        </w:rPr>
        <w:t>其中：年末财政拨款结转和结余0.00万元，本年财政拨款支出1,787.82万元。</w:t>
      </w:r>
    </w:p>
    <w:p w14:paraId="6DF93E8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减少45.84万元，下降2.50%，主要原因是：本年度在职转退休人员较上年减少，本</w:t>
      </w:r>
      <w:r>
        <w:rPr>
          <w:rFonts w:hint="eastAsia" w:ascii="仿宋_GB2312" w:hAnsi="仿宋_GB2312" w:eastAsia="仿宋_GB2312"/>
          <w:b w:val="0"/>
          <w:sz w:val="32"/>
          <w:lang w:eastAsia="zh-CN"/>
        </w:rPr>
        <w:t>年度</w:t>
      </w:r>
      <w:r>
        <w:rPr>
          <w:rFonts w:ascii="仿宋_GB2312" w:hAnsi="仿宋_GB2312" w:eastAsia="仿宋_GB2312"/>
          <w:b w:val="0"/>
          <w:sz w:val="32"/>
        </w:rPr>
        <w:t>职业年金缴费支出减少。</w:t>
      </w:r>
      <w:r>
        <w:rPr>
          <w:rFonts w:ascii="仿宋_GB2312" w:hAnsi="仿宋_GB2312" w:eastAsia="仿宋_GB2312"/>
          <w:b/>
          <w:sz w:val="32"/>
        </w:rPr>
        <w:t>与年初预算相比，</w:t>
      </w:r>
      <w:r>
        <w:rPr>
          <w:rFonts w:ascii="仿宋_GB2312" w:hAnsi="仿宋_GB2312" w:eastAsia="仿宋_GB2312"/>
          <w:b w:val="0"/>
          <w:sz w:val="32"/>
        </w:rPr>
        <w:t>年初预算数1,801.66万元，决算数1,787.82万元，预决算差异率-0.77%，主要原因是：</w:t>
      </w:r>
      <w:r>
        <w:rPr>
          <w:rFonts w:hint="eastAsia" w:ascii="仿宋_GB2312" w:hAnsi="仿宋_GB2312" w:eastAsia="仿宋_GB2312"/>
          <w:b w:val="0"/>
          <w:sz w:val="32"/>
          <w:lang w:val="en-US" w:eastAsia="zh-CN"/>
        </w:rPr>
        <w:t>本年在职人员调入调出，人员工资基数不同，年中调减人员经费</w:t>
      </w:r>
      <w:r>
        <w:rPr>
          <w:rFonts w:ascii="仿宋_GB2312" w:hAnsi="仿宋_GB2312" w:eastAsia="仿宋_GB2312"/>
          <w:b w:val="0"/>
          <w:sz w:val="32"/>
        </w:rPr>
        <w:t>，导致预决算存在差异。</w:t>
      </w:r>
    </w:p>
    <w:p w14:paraId="43193335">
      <w:pPr>
        <w:spacing w:line="640" w:lineRule="exact"/>
        <w:ind w:firstLine="640"/>
        <w:jc w:val="both"/>
        <w:outlineLvl w:val="2"/>
      </w:pPr>
      <w:r>
        <w:rPr>
          <w:rFonts w:ascii="黑体" w:hAnsi="黑体" w:eastAsia="黑体"/>
          <w:sz w:val="32"/>
        </w:rPr>
        <w:t>五、一般公共预算财政拨款支出决算情况说明</w:t>
      </w:r>
    </w:p>
    <w:p w14:paraId="4DC4AE44">
      <w:pPr>
        <w:spacing w:line="640" w:lineRule="exact"/>
        <w:ind w:firstLine="640"/>
        <w:jc w:val="both"/>
        <w:outlineLvl w:val="3"/>
      </w:pPr>
      <w:r>
        <w:rPr>
          <w:rFonts w:ascii="楷体_GB2312" w:hAnsi="楷体_GB2312" w:eastAsia="楷体_GB2312"/>
          <w:b/>
          <w:sz w:val="32"/>
        </w:rPr>
        <w:t>（一）一般公共预算财政拨款支出决算总体情况</w:t>
      </w:r>
    </w:p>
    <w:p w14:paraId="5B21AA21">
      <w:pPr>
        <w:spacing w:line="580" w:lineRule="exact"/>
        <w:ind w:firstLine="640"/>
        <w:jc w:val="both"/>
      </w:pPr>
      <w:r>
        <w:rPr>
          <w:rFonts w:ascii="仿宋_GB2312" w:hAnsi="仿宋_GB2312" w:eastAsia="仿宋_GB2312"/>
          <w:b/>
          <w:sz w:val="32"/>
        </w:rPr>
        <w:t>2024年度一般公共预算财政拨款支出1,787.82万元，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减少45.84万元，下降2.50%，主要原因是：本年度在职转退休人员较上年减少，职业年金缴费支出减少。</w:t>
      </w:r>
      <w:r>
        <w:rPr>
          <w:rFonts w:ascii="仿宋_GB2312" w:hAnsi="仿宋_GB2312" w:eastAsia="仿宋_GB2312"/>
          <w:b/>
          <w:sz w:val="32"/>
        </w:rPr>
        <w:t>与年初预算相比,</w:t>
      </w:r>
      <w:r>
        <w:rPr>
          <w:rFonts w:ascii="仿宋_GB2312" w:hAnsi="仿宋_GB2312" w:eastAsia="仿宋_GB2312"/>
          <w:b w:val="0"/>
          <w:sz w:val="32"/>
        </w:rPr>
        <w:t>年初预算数1,801.66万元，决算数1,787.82万元，预决算差异率-0.77%，主要原因是：</w:t>
      </w:r>
      <w:r>
        <w:rPr>
          <w:rFonts w:hint="eastAsia" w:ascii="仿宋_GB2312" w:hAnsi="仿宋_GB2312" w:eastAsia="仿宋_GB2312"/>
          <w:b w:val="0"/>
          <w:sz w:val="32"/>
          <w:lang w:val="en-US" w:eastAsia="zh-CN"/>
        </w:rPr>
        <w:t>本年在职人员调入调出，人员工资基数不同，年中调减人员经费</w:t>
      </w:r>
      <w:r>
        <w:rPr>
          <w:rFonts w:ascii="仿宋_GB2312" w:hAnsi="仿宋_GB2312" w:eastAsia="仿宋_GB2312"/>
          <w:b w:val="0"/>
          <w:sz w:val="32"/>
        </w:rPr>
        <w:t>，导致预决算存在差异。</w:t>
      </w:r>
    </w:p>
    <w:p w14:paraId="24B3A53B">
      <w:pPr>
        <w:spacing w:line="640" w:lineRule="exact"/>
        <w:ind w:firstLine="640"/>
        <w:jc w:val="both"/>
        <w:outlineLvl w:val="3"/>
      </w:pPr>
      <w:r>
        <w:rPr>
          <w:rFonts w:ascii="楷体_GB2312" w:hAnsi="楷体_GB2312" w:eastAsia="楷体_GB2312"/>
          <w:b/>
          <w:sz w:val="32"/>
        </w:rPr>
        <w:t>（二）一般公共预算财政拨款支出决算结构情况</w:t>
      </w:r>
    </w:p>
    <w:p w14:paraId="0B7C8042">
      <w:pPr>
        <w:spacing w:line="580" w:lineRule="exact"/>
        <w:ind w:firstLine="640"/>
        <w:jc w:val="both"/>
      </w:pPr>
      <w:r>
        <w:rPr>
          <w:rFonts w:ascii="仿宋_GB2312" w:hAnsi="仿宋_GB2312" w:eastAsia="仿宋_GB2312"/>
          <w:b w:val="0"/>
          <w:sz w:val="32"/>
        </w:rPr>
        <w:t>1.一般公共服务支出(类)1,338.45万元,占74.86%。</w:t>
      </w:r>
    </w:p>
    <w:p w14:paraId="4117E65E">
      <w:pPr>
        <w:spacing w:line="580" w:lineRule="exact"/>
        <w:ind w:firstLine="640"/>
        <w:jc w:val="both"/>
      </w:pPr>
      <w:r>
        <w:rPr>
          <w:rFonts w:ascii="仿宋_GB2312" w:hAnsi="仿宋_GB2312" w:eastAsia="仿宋_GB2312"/>
          <w:b w:val="0"/>
          <w:sz w:val="32"/>
        </w:rPr>
        <w:t>2.社会保障和就业支出(类)220.77万元,占12.35%。</w:t>
      </w:r>
    </w:p>
    <w:p w14:paraId="666C5402">
      <w:pPr>
        <w:spacing w:line="580" w:lineRule="exact"/>
        <w:ind w:firstLine="640"/>
        <w:jc w:val="both"/>
      </w:pPr>
      <w:r>
        <w:rPr>
          <w:rFonts w:ascii="仿宋_GB2312" w:hAnsi="仿宋_GB2312" w:eastAsia="仿宋_GB2312"/>
          <w:b w:val="0"/>
          <w:sz w:val="32"/>
        </w:rPr>
        <w:t>3.卫生健康支出(类)94.06万元,占5.26%。</w:t>
      </w:r>
    </w:p>
    <w:p w14:paraId="3CED8143">
      <w:pPr>
        <w:spacing w:line="580" w:lineRule="exact"/>
        <w:ind w:firstLine="640"/>
        <w:jc w:val="both"/>
      </w:pPr>
      <w:r>
        <w:rPr>
          <w:rFonts w:ascii="仿宋_GB2312" w:hAnsi="仿宋_GB2312" w:eastAsia="仿宋_GB2312"/>
          <w:b w:val="0"/>
          <w:sz w:val="32"/>
        </w:rPr>
        <w:t>4.农林水支出(类)7.63万元,占0.43%。</w:t>
      </w:r>
    </w:p>
    <w:p w14:paraId="4321C006">
      <w:pPr>
        <w:spacing w:line="580" w:lineRule="exact"/>
        <w:ind w:firstLine="640"/>
        <w:jc w:val="both"/>
      </w:pPr>
      <w:r>
        <w:rPr>
          <w:rFonts w:ascii="仿宋_GB2312" w:hAnsi="仿宋_GB2312" w:eastAsia="仿宋_GB2312"/>
          <w:b w:val="0"/>
          <w:sz w:val="32"/>
        </w:rPr>
        <w:t>5.住房保障支出(类)126.90万元,占7.10%。</w:t>
      </w:r>
    </w:p>
    <w:p w14:paraId="61CA94C7">
      <w:pPr>
        <w:spacing w:line="640" w:lineRule="exact"/>
        <w:ind w:firstLine="640"/>
        <w:jc w:val="both"/>
        <w:outlineLvl w:val="3"/>
      </w:pPr>
      <w:r>
        <w:rPr>
          <w:rFonts w:ascii="楷体_GB2312" w:hAnsi="楷体_GB2312" w:eastAsia="楷体_GB2312"/>
          <w:b/>
          <w:sz w:val="32"/>
        </w:rPr>
        <w:t>（三）一般公共预算财政拨款支出决算具体情况</w:t>
      </w:r>
    </w:p>
    <w:p w14:paraId="54A70551">
      <w:pPr>
        <w:spacing w:line="580" w:lineRule="exact"/>
        <w:ind w:firstLine="640"/>
        <w:jc w:val="both"/>
      </w:pPr>
      <w:r>
        <w:rPr>
          <w:rFonts w:ascii="仿宋_GB2312" w:hAnsi="仿宋_GB2312" w:eastAsia="仿宋_GB2312"/>
          <w:b w:val="0"/>
          <w:sz w:val="32"/>
        </w:rPr>
        <w:t>1.一般公共服务支出(类)纪检监察事务(款)行政运行(项):支出决算数为1,329.51万元，比上年决算增加14.55万元，增长1.11%,主要原因是：本年度新招录公务员及在职人员工资调整，人员经费增加。</w:t>
      </w:r>
    </w:p>
    <w:p w14:paraId="18777E68">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2.一般公共服务支出(类)纪检监察事务(款)其他纪检监察事务支出(项):支出决算数为8.94万元，比上年决算减少2.60万元，下降22.53%,主要原因是：本年度</w:t>
      </w:r>
      <w:r>
        <w:rPr>
          <w:rFonts w:hint="eastAsia" w:ascii="仿宋_GB2312" w:hAnsi="仿宋_GB2312" w:eastAsia="仿宋_GB2312"/>
          <w:b w:val="0"/>
          <w:sz w:val="32"/>
          <w:lang w:eastAsia="zh-CN"/>
        </w:rPr>
        <w:t>BA</w:t>
      </w:r>
      <w:r>
        <w:rPr>
          <w:rFonts w:ascii="仿宋_GB2312" w:hAnsi="仿宋_GB2312" w:eastAsia="仿宋_GB2312"/>
          <w:b w:val="0"/>
          <w:sz w:val="32"/>
        </w:rPr>
        <w:t>经费较上年减少，支出减少。</w:t>
      </w:r>
    </w:p>
    <w:p w14:paraId="077C71FC">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3.社会保障和就业支出(类)行政事业单位养老支出(款)行政单位离退休(项):支出决算数为50.85万元，比上年决算增加9.37万元，增长22.59%,主要原因是：本年度</w:t>
      </w:r>
      <w:r>
        <w:rPr>
          <w:rFonts w:hint="eastAsia" w:ascii="仿宋_GB2312" w:hAnsi="仿宋_GB2312" w:eastAsia="仿宋_GB2312"/>
          <w:b w:val="0"/>
          <w:sz w:val="32"/>
          <w:lang w:val="en-US" w:eastAsia="zh-CN"/>
        </w:rPr>
        <w:t>增加</w:t>
      </w:r>
      <w:r>
        <w:rPr>
          <w:rFonts w:ascii="仿宋_GB2312" w:hAnsi="仿宋_GB2312" w:eastAsia="仿宋_GB2312"/>
          <w:b w:val="0"/>
          <w:sz w:val="32"/>
        </w:rPr>
        <w:t>退休人员基础绩效奖，</w:t>
      </w:r>
      <w:r>
        <w:rPr>
          <w:rFonts w:hint="eastAsia" w:ascii="仿宋_GB2312" w:hAnsi="仿宋_GB2312" w:eastAsia="仿宋_GB2312"/>
          <w:b w:val="0"/>
          <w:sz w:val="32"/>
          <w:lang w:val="en-US" w:eastAsia="zh-CN"/>
        </w:rPr>
        <w:t>相应</w:t>
      </w:r>
      <w:r>
        <w:rPr>
          <w:rFonts w:ascii="仿宋_GB2312" w:hAnsi="仿宋_GB2312" w:eastAsia="仿宋_GB2312"/>
          <w:b w:val="0"/>
          <w:sz w:val="32"/>
        </w:rPr>
        <w:t>支出增加。</w:t>
      </w:r>
    </w:p>
    <w:p w14:paraId="16421927">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4.社会保障和就业支出(类)行政事业单位养老支出(款)机关事业单位基本养老保险缴费支出(项):支出决算数为154.62万元，比上年决算增加3.51万元，增长2.32%,主要原因是：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人员工资基数调增，养老缴费基数上涨，相应支出增加。</w:t>
      </w:r>
    </w:p>
    <w:p w14:paraId="4E4191A3">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15.30万元，比上年决算减少84.34万元，下降84.64%,主要原因是：本年度在职转退休人员较上年减少，职业年金缴费支出减少。</w:t>
      </w:r>
    </w:p>
    <w:p w14:paraId="5A85A87C">
      <w:pPr>
        <w:spacing w:line="580" w:lineRule="exact"/>
        <w:ind w:firstLine="640"/>
        <w:jc w:val="both"/>
      </w:pPr>
      <w:r>
        <w:rPr>
          <w:rFonts w:ascii="仿宋_GB2312" w:hAnsi="仿宋_GB2312" w:eastAsia="仿宋_GB2312"/>
          <w:b w:val="0"/>
          <w:sz w:val="32"/>
        </w:rPr>
        <w:t>6.卫生健康支出(类)行政事业单位医疗(款)行政单位医疗(项):支出决算数为65.76万元，比上年决算增加0.31万元，增长0.47%,主要原因是：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人员工资基数调增，医疗缴费基数上涨，相应支出增加。</w:t>
      </w:r>
    </w:p>
    <w:p w14:paraId="57E0C175">
      <w:pPr>
        <w:spacing w:line="580" w:lineRule="exact"/>
        <w:ind w:firstLine="640"/>
        <w:jc w:val="both"/>
      </w:pPr>
      <w:r>
        <w:rPr>
          <w:rFonts w:ascii="仿宋_GB2312" w:hAnsi="仿宋_GB2312" w:eastAsia="仿宋_GB2312"/>
          <w:b w:val="0"/>
          <w:sz w:val="32"/>
        </w:rPr>
        <w:t>7.卫生健康支出(类)行政事业单位医疗(款)公务员医疗补助(项):支出决算数为28.30万元，比上年决算减少0.06万元，下降0.21%,主要原因是：本年度</w:t>
      </w:r>
      <w:r>
        <w:rPr>
          <w:rFonts w:hint="eastAsia" w:ascii="仿宋_GB2312" w:hAnsi="仿宋_GB2312" w:eastAsia="仿宋_GB2312"/>
          <w:b w:val="0"/>
          <w:sz w:val="32"/>
          <w:lang w:val="en-US" w:eastAsia="zh-CN"/>
        </w:rPr>
        <w:t>在职人员调入调出</w:t>
      </w:r>
      <w:r>
        <w:rPr>
          <w:rFonts w:ascii="仿宋_GB2312" w:hAnsi="仿宋_GB2312" w:eastAsia="仿宋_GB2312"/>
          <w:b w:val="0"/>
          <w:sz w:val="32"/>
        </w:rPr>
        <w:t>，</w:t>
      </w:r>
      <w:r>
        <w:rPr>
          <w:rFonts w:hint="eastAsia" w:ascii="仿宋_GB2312" w:hAnsi="仿宋_GB2312" w:eastAsia="仿宋_GB2312"/>
          <w:b w:val="0"/>
          <w:sz w:val="32"/>
          <w:lang w:val="en-US" w:eastAsia="zh-CN"/>
        </w:rPr>
        <w:t>人员工资基数不同，</w:t>
      </w:r>
      <w:r>
        <w:rPr>
          <w:rFonts w:ascii="仿宋_GB2312" w:hAnsi="仿宋_GB2312" w:eastAsia="仿宋_GB2312"/>
          <w:b w:val="0"/>
          <w:sz w:val="32"/>
        </w:rPr>
        <w:t>导致公务员医疗补助支出较上年减少。</w:t>
      </w:r>
    </w:p>
    <w:p w14:paraId="4526DF41">
      <w:pPr>
        <w:spacing w:line="580" w:lineRule="exact"/>
        <w:ind w:firstLine="640"/>
        <w:jc w:val="both"/>
      </w:pPr>
      <w:r>
        <w:rPr>
          <w:rFonts w:ascii="仿宋_GB2312" w:hAnsi="仿宋_GB2312" w:eastAsia="仿宋_GB2312"/>
          <w:b w:val="0"/>
          <w:sz w:val="32"/>
        </w:rPr>
        <w:t>8.农林水支出(类)农业农村(款)其他农业农村支出(项):支出决算数为7.63万元，比上年决算增加2.95万元，增长63.03%,主要原因是：本年增加为民办实事经费。</w:t>
      </w:r>
    </w:p>
    <w:p w14:paraId="1C0E79AB">
      <w:pPr>
        <w:spacing w:line="580" w:lineRule="exact"/>
        <w:ind w:firstLine="640"/>
        <w:jc w:val="both"/>
      </w:pPr>
      <w:r>
        <w:rPr>
          <w:rFonts w:ascii="仿宋_GB2312" w:hAnsi="仿宋_GB2312" w:eastAsia="仿宋_GB2312"/>
          <w:b w:val="0"/>
          <w:sz w:val="32"/>
        </w:rPr>
        <w:t>9.住房保障支出(类)住房改革支出(款)住房公积金(项):支出决算数为126.90万元，比上年决算增加10.47万元，增长8.99%,主要原因是：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人员工资基数调增，公积金缴费基数上涨，相应支出增加。</w:t>
      </w:r>
    </w:p>
    <w:p w14:paraId="4B73FE8F">
      <w:pPr>
        <w:spacing w:line="640" w:lineRule="exact"/>
        <w:ind w:firstLine="640"/>
        <w:jc w:val="both"/>
        <w:outlineLvl w:val="2"/>
      </w:pPr>
      <w:r>
        <w:rPr>
          <w:rFonts w:ascii="黑体" w:hAnsi="黑体" w:eastAsia="黑体"/>
          <w:sz w:val="32"/>
        </w:rPr>
        <w:t>六、一般公共预算财政拨款基本支出决算情况说明</w:t>
      </w:r>
    </w:p>
    <w:p w14:paraId="1E3594B5">
      <w:pPr>
        <w:spacing w:line="580" w:lineRule="exact"/>
        <w:ind w:firstLine="640"/>
        <w:jc w:val="both"/>
      </w:pPr>
      <w:r>
        <w:rPr>
          <w:rFonts w:ascii="仿宋_GB2312" w:hAnsi="仿宋_GB2312" w:eastAsia="仿宋_GB2312"/>
          <w:b w:val="0"/>
          <w:sz w:val="32"/>
        </w:rPr>
        <w:t>2024年度一般公共预算财政拨款基本支出1,771.25万元，其中：</w:t>
      </w:r>
      <w:r>
        <w:rPr>
          <w:rFonts w:ascii="仿宋_GB2312" w:hAnsi="仿宋_GB2312" w:eastAsia="仿宋_GB2312"/>
          <w:b/>
          <w:sz w:val="32"/>
        </w:rPr>
        <w:t>人员经费1,581.01万元，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医疗费补助、奖励金。</w:t>
      </w:r>
    </w:p>
    <w:p w14:paraId="2A1603CB">
      <w:pPr>
        <w:spacing w:line="580" w:lineRule="exact"/>
        <w:ind w:firstLine="640"/>
        <w:jc w:val="both"/>
      </w:pPr>
      <w:r>
        <w:rPr>
          <w:rFonts w:ascii="仿宋_GB2312" w:hAnsi="仿宋_GB2312" w:eastAsia="仿宋_GB2312"/>
          <w:b/>
          <w:sz w:val="32"/>
        </w:rPr>
        <w:t>公用经费190.24万元，</w:t>
      </w:r>
      <w:r>
        <w:rPr>
          <w:rFonts w:ascii="仿宋_GB2312" w:hAnsi="仿宋_GB2312" w:eastAsia="仿宋_GB2312"/>
          <w:b w:val="0"/>
          <w:sz w:val="32"/>
        </w:rPr>
        <w:t>包括：办公费、水费、电费、邮电费、取暖费、差旅费、维修（护）费、培训费、劳务费、工会经费、福利费、公务用车运行维护费、办公设备购置。</w:t>
      </w:r>
    </w:p>
    <w:p w14:paraId="48B9FEFE">
      <w:pPr>
        <w:spacing w:line="640" w:lineRule="exact"/>
        <w:ind w:firstLine="640"/>
        <w:jc w:val="both"/>
        <w:outlineLvl w:val="2"/>
      </w:pPr>
      <w:r>
        <w:rPr>
          <w:rFonts w:ascii="黑体" w:hAnsi="黑体" w:eastAsia="黑体"/>
          <w:sz w:val="32"/>
        </w:rPr>
        <w:t>七、政府性基金预算财政拨款收入支出决算情况说明</w:t>
      </w:r>
    </w:p>
    <w:p w14:paraId="3ADDF44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CA9B324">
      <w:pPr>
        <w:spacing w:line="640" w:lineRule="exact"/>
        <w:ind w:firstLine="640"/>
        <w:jc w:val="both"/>
        <w:outlineLvl w:val="2"/>
      </w:pPr>
      <w:r>
        <w:rPr>
          <w:rFonts w:ascii="黑体" w:hAnsi="黑体" w:eastAsia="黑体"/>
          <w:sz w:val="32"/>
        </w:rPr>
        <w:t>八、国有资本经营预算财政拨款收入支出决算情况说明</w:t>
      </w:r>
    </w:p>
    <w:p w14:paraId="67BBD58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F5A43FE">
      <w:pPr>
        <w:spacing w:line="640" w:lineRule="exact"/>
        <w:ind w:firstLine="640"/>
        <w:jc w:val="both"/>
        <w:outlineLvl w:val="2"/>
      </w:pPr>
      <w:r>
        <w:rPr>
          <w:rFonts w:ascii="黑体" w:hAnsi="黑体" w:eastAsia="黑体"/>
          <w:sz w:val="32"/>
        </w:rPr>
        <w:t>九、财政拨款“三公”经费支出决算情况说明</w:t>
      </w:r>
    </w:p>
    <w:p w14:paraId="0CF85E3B">
      <w:pPr>
        <w:spacing w:line="580" w:lineRule="exact"/>
        <w:ind w:firstLine="640"/>
        <w:jc w:val="both"/>
      </w:pPr>
      <w:r>
        <w:rPr>
          <w:rFonts w:ascii="仿宋_GB2312" w:hAnsi="仿宋_GB2312" w:eastAsia="仿宋_GB2312"/>
          <w:b/>
          <w:sz w:val="32"/>
        </w:rPr>
        <w:t>2024年度财政拨款“三公”经费支出20.50万元，</w:t>
      </w:r>
      <w:r>
        <w:rPr>
          <w:rFonts w:ascii="仿宋_GB2312" w:hAnsi="仿宋_GB2312" w:eastAsia="仿宋_GB2312"/>
          <w:b w:val="0"/>
          <w:sz w:val="32"/>
        </w:rPr>
        <w:t>比上年增加9.12万元，增长80.14%，主要原因是：本年度车辆老化，维修费增加，公务用车运行维护费增加。其中：因公出国（境）费支出0.00万元，占0.00%，比上年增加0.00万元，增长0.00%，主要原因是：2023年与2024年均未安排因公出国（境）费支出。公务用车购置及运行维护费支出20.50万元，占100.00%，比上年增加9.12万元，增长80.14%，主要原因是：本年度车辆老化，维修费增加，公务用车运行维护费增加。公务接待费支出0.00万元，占0.00%，比上年增加0.00万元，增长0.00%，主要原因是：2023年与2024年均未安排公务接待费支出。</w:t>
      </w:r>
    </w:p>
    <w:p w14:paraId="0588DCB9">
      <w:pPr>
        <w:spacing w:line="580" w:lineRule="exact"/>
        <w:ind w:firstLine="640"/>
        <w:jc w:val="both"/>
      </w:pPr>
      <w:r>
        <w:rPr>
          <w:rFonts w:ascii="仿宋_GB2312" w:hAnsi="仿宋_GB2312" w:eastAsia="仿宋_GB2312"/>
          <w:b/>
          <w:sz w:val="32"/>
        </w:rPr>
        <w:t>具体情况如下：</w:t>
      </w:r>
    </w:p>
    <w:p w14:paraId="2BB52C9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B0011BE">
      <w:pPr>
        <w:spacing w:line="580" w:lineRule="exact"/>
        <w:ind w:firstLine="640"/>
        <w:jc w:val="both"/>
      </w:pPr>
      <w:r>
        <w:rPr>
          <w:rFonts w:ascii="仿宋_GB2312" w:hAnsi="仿宋_GB2312" w:eastAsia="仿宋_GB2312"/>
          <w:b w:val="0"/>
          <w:sz w:val="32"/>
        </w:rPr>
        <w:t>公务用车购置及运行维护费20.50万元，其中：公务用车购置费0.00万元，公务用车运行维护费20.50万元。公务用车运行维护费开支内容包括车辆维修费、燃油费、车辆保险费。公务用车购置数0辆，公务用车保有量14辆。国有资产占用情况中固定资产车辆14辆，与公务用车保有量差异原因是：本单位固定资产车辆与公务用车保有量一致无差异。</w:t>
      </w:r>
    </w:p>
    <w:p w14:paraId="4C9C617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A18B1B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20.50万元，决算数20.50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20.50万元，决算数20.50万元，预决算差异率0.00%，主要原因是：严格按照预算执行，预决算无差异。公务接待费全年预算数0.00万元，决算数0.00万元，预决算差异率0.00%，主要原因是：本单位无公务接待费。</w:t>
      </w:r>
    </w:p>
    <w:p w14:paraId="015855FB">
      <w:pPr>
        <w:spacing w:line="640" w:lineRule="exact"/>
        <w:ind w:firstLine="640"/>
        <w:jc w:val="both"/>
        <w:outlineLvl w:val="2"/>
      </w:pPr>
      <w:r>
        <w:rPr>
          <w:rFonts w:ascii="黑体" w:hAnsi="黑体" w:eastAsia="黑体"/>
          <w:sz w:val="32"/>
        </w:rPr>
        <w:t>十、其他重要事项的情况说明</w:t>
      </w:r>
    </w:p>
    <w:p w14:paraId="28C44D78">
      <w:pPr>
        <w:spacing w:line="640" w:lineRule="exact"/>
        <w:ind w:firstLine="640"/>
        <w:jc w:val="both"/>
        <w:outlineLvl w:val="3"/>
      </w:pPr>
      <w:r>
        <w:rPr>
          <w:rFonts w:ascii="楷体_GB2312" w:hAnsi="楷体_GB2312" w:eastAsia="楷体_GB2312"/>
          <w:b/>
          <w:sz w:val="32"/>
        </w:rPr>
        <w:t>（一）机关运行经费及公用经费支出情况</w:t>
      </w:r>
    </w:p>
    <w:p w14:paraId="21296A32">
      <w:pPr>
        <w:spacing w:line="580" w:lineRule="exact"/>
        <w:ind w:firstLine="640"/>
        <w:jc w:val="both"/>
      </w:pPr>
      <w:r>
        <w:rPr>
          <w:rFonts w:ascii="仿宋_GB2312" w:hAnsi="仿宋_GB2312" w:eastAsia="仿宋_GB2312"/>
          <w:b w:val="0"/>
          <w:sz w:val="32"/>
        </w:rPr>
        <w:t>2024年度裕民县纪律检查委员会（行政单位和参照公务员法管理事业单位）机关运行经费支出190.24万元，比上年增加68.46万元，增长56.22%，主要原因是：本年</w:t>
      </w:r>
      <w:r>
        <w:rPr>
          <w:rFonts w:hint="eastAsia" w:ascii="仿宋_GB2312" w:hAnsi="仿宋_GB2312" w:eastAsia="仿宋_GB2312"/>
          <w:b w:val="0"/>
          <w:sz w:val="32"/>
          <w:lang w:eastAsia="zh-CN"/>
        </w:rPr>
        <w:t>BA</w:t>
      </w:r>
      <w:r>
        <w:rPr>
          <w:rFonts w:ascii="仿宋_GB2312" w:hAnsi="仿宋_GB2312" w:eastAsia="仿宋_GB2312"/>
          <w:b w:val="0"/>
          <w:sz w:val="32"/>
        </w:rPr>
        <w:t>工作经费—办公费较上年增加。</w:t>
      </w:r>
    </w:p>
    <w:p w14:paraId="56925F20">
      <w:pPr>
        <w:spacing w:line="640" w:lineRule="exact"/>
        <w:ind w:firstLine="640"/>
        <w:jc w:val="both"/>
        <w:outlineLvl w:val="3"/>
      </w:pPr>
      <w:r>
        <w:rPr>
          <w:rFonts w:ascii="楷体_GB2312" w:hAnsi="楷体_GB2312" w:eastAsia="楷体_GB2312"/>
          <w:b/>
          <w:sz w:val="32"/>
        </w:rPr>
        <w:t>（二）政府采购情况</w:t>
      </w:r>
    </w:p>
    <w:p w14:paraId="1C4D11DF">
      <w:pPr>
        <w:spacing w:line="580" w:lineRule="exact"/>
        <w:ind w:firstLine="640"/>
        <w:jc w:val="both"/>
      </w:pPr>
      <w:r>
        <w:rPr>
          <w:rFonts w:ascii="仿宋_GB2312" w:hAnsi="仿宋_GB2312" w:eastAsia="仿宋_GB2312"/>
          <w:b w:val="0"/>
          <w:sz w:val="32"/>
        </w:rPr>
        <w:t>2024年度政府采购支出总额33.71万元，其中：政府采购货物支出12.93万元、政府采购工程支出0.00万元、政府采购服务支出20.78万元。</w:t>
      </w:r>
    </w:p>
    <w:p w14:paraId="43BEDFC3">
      <w:pPr>
        <w:spacing w:line="580" w:lineRule="exact"/>
        <w:ind w:firstLine="640"/>
        <w:jc w:val="both"/>
      </w:pPr>
      <w:r>
        <w:rPr>
          <w:rFonts w:ascii="仿宋_GB2312" w:hAnsi="仿宋_GB2312" w:eastAsia="仿宋_GB2312"/>
          <w:b w:val="0"/>
          <w:sz w:val="32"/>
        </w:rPr>
        <w:t>授予中小企业合同金额23.09万元，占政府采购支出总额的68.50%，其中：授予小微企业合同金额17.38万元，占政府采购支出总额的51.56%。</w:t>
      </w:r>
    </w:p>
    <w:p w14:paraId="261ABF89">
      <w:pPr>
        <w:spacing w:line="640" w:lineRule="exact"/>
        <w:ind w:firstLine="640"/>
        <w:jc w:val="both"/>
        <w:outlineLvl w:val="3"/>
      </w:pPr>
      <w:r>
        <w:rPr>
          <w:rFonts w:ascii="楷体_GB2312" w:hAnsi="楷体_GB2312" w:eastAsia="楷体_GB2312"/>
          <w:b/>
          <w:sz w:val="32"/>
        </w:rPr>
        <w:t>（三）国有资产占用情况说明</w:t>
      </w:r>
    </w:p>
    <w:p w14:paraId="2B8EDFA9">
      <w:pPr>
        <w:spacing w:line="580" w:lineRule="exact"/>
        <w:ind w:firstLine="640"/>
        <w:jc w:val="both"/>
      </w:pPr>
      <w:r>
        <w:rPr>
          <w:rFonts w:ascii="仿宋_GB2312" w:hAnsi="仿宋_GB2312" w:eastAsia="仿宋_GB2312"/>
          <w:b w:val="0"/>
          <w:sz w:val="32"/>
        </w:rPr>
        <w:t>截至2024年1</w:t>
      </w:r>
      <w:bookmarkStart w:id="0" w:name="_GoBack"/>
      <w:r>
        <w:rPr>
          <w:rFonts w:ascii="仿宋_GB2312" w:hAnsi="仿宋_GB2312" w:eastAsia="仿宋_GB2312"/>
          <w:b w:val="0"/>
          <w:sz w:val="32"/>
        </w:rPr>
        <w:t>2月31日</w:t>
      </w:r>
      <w:bookmarkEnd w:id="0"/>
      <w:r>
        <w:rPr>
          <w:rFonts w:ascii="仿宋_GB2312" w:hAnsi="仿宋_GB2312" w:eastAsia="仿宋_GB2312"/>
          <w:b w:val="0"/>
          <w:sz w:val="32"/>
        </w:rPr>
        <w:t>，房屋210.00平方米，价值60.81万元。车辆14辆，价值170.33万元，其中：副部（省）级及以上领导用车0辆、主要负责人用车0辆、机要通信用车0辆、应急保障用车0辆、执法执勤用车7辆、特种专业技术用车0辆、离退休干部服务用车0辆、其他用车7辆，其他用车主要是：一般公务用车。单价100万元（含）以上设备（不含车辆）0台（套）。</w:t>
      </w:r>
    </w:p>
    <w:p w14:paraId="31FABF46">
      <w:pPr>
        <w:spacing w:line="640" w:lineRule="exact"/>
        <w:ind w:firstLine="640"/>
        <w:jc w:val="both"/>
        <w:outlineLvl w:val="2"/>
      </w:pPr>
      <w:r>
        <w:rPr>
          <w:rFonts w:ascii="黑体" w:hAnsi="黑体" w:eastAsia="黑体"/>
          <w:sz w:val="32"/>
        </w:rPr>
        <w:t>十一、预算绩效的情况说明</w:t>
      </w:r>
    </w:p>
    <w:p w14:paraId="2C37DD7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根据预算绩效管理要求，本单位2024年度预算绩效管理形成整体支出绩效自评表1个，全年预算总额1,788.71万元，实际执行总额1,787.82万元；预算绩效评价项目</w:t>
      </w:r>
      <w:r>
        <w:rPr>
          <w:rFonts w:hint="eastAsia" w:ascii="仿宋_GB2312" w:hAnsi="仿宋_GB2312" w:eastAsia="仿宋_GB2312"/>
          <w:b w:val="0"/>
          <w:sz w:val="32"/>
          <w:lang w:val="en-US" w:eastAsia="zh-CN"/>
        </w:rPr>
        <w:t>2</w:t>
      </w:r>
      <w:r>
        <w:rPr>
          <w:rFonts w:ascii="仿宋_GB2312" w:hAnsi="仿宋_GB2312" w:eastAsia="仿宋_GB2312"/>
          <w:b w:val="0"/>
          <w:sz w:val="32"/>
        </w:rPr>
        <w:t>个，全年预算数</w:t>
      </w:r>
      <w:r>
        <w:rPr>
          <w:rFonts w:hint="eastAsia" w:ascii="仿宋_GB2312" w:hAnsi="仿宋_GB2312" w:eastAsia="仿宋_GB2312"/>
          <w:b w:val="0"/>
          <w:sz w:val="32"/>
        </w:rPr>
        <w:t>16.57</w:t>
      </w:r>
      <w:r>
        <w:rPr>
          <w:rFonts w:ascii="仿宋_GB2312" w:hAnsi="仿宋_GB2312" w:eastAsia="仿宋_GB2312"/>
          <w:b w:val="0"/>
          <w:sz w:val="32"/>
        </w:rPr>
        <w:t>万元，全年执行数</w:t>
      </w:r>
      <w:r>
        <w:rPr>
          <w:rFonts w:hint="eastAsia" w:ascii="仿宋_GB2312" w:hAnsi="仿宋_GB2312" w:eastAsia="仿宋_GB2312"/>
          <w:b w:val="0"/>
          <w:sz w:val="32"/>
        </w:rPr>
        <w:t>16.57</w:t>
      </w:r>
      <w:r>
        <w:rPr>
          <w:rFonts w:ascii="仿宋_GB2312" w:hAnsi="仿宋_GB2312" w:eastAsia="仿宋_GB2312"/>
          <w:b w:val="0"/>
          <w:sz w:val="32"/>
        </w:rPr>
        <w:t>万元。预算绩效管理取得的成效：一是强化了责任意识。通过设定明确可衡量的绩效目标，更清楚地了解单位支出所要取得的社会和经济效益，其职能和目标得到进一步明确；通过绩效评价，考核各科室绩效目标实际完成情况和取得的成效，在一定程度上强化了单位各科室的自我约束意识和责任意识；二是增强了财政管理和决策的科学性。对财政支出的科学性、效益性和管理水平的评价，对绩效评价结果的应用，有利于促进单位不断完善内部管理，自觉加强资金的管理和监督，不断提高理财水平，增强财政资金分配、管理的科学性。发现的问题及原因：一是绩效管理理念有待进一步强化。单位存在重投入轻管理、重支出轻绩效的问题，对预算项目绩效管理工作重视不够；二是人员素质有待进一步提高。由于预算绩效管理工作开展时间较短，加上缺乏系统的培训，负责预算绩效管理工作的人员对预算绩效管理认识不到位、理解不充分，对预算绩效管理业务不了解、不熟悉，对工作重点把握不到位，由此造成绩效评价工作还未摆脱财务考评或竣工验收的影响。下一步改进措施：一是转变思想观念，牢固树立绩效意识，履行绩效主体职责，严格落实全面实施预算绩效管理各项工作任务，完善内部管理制度，切实加强绩效管理工作；二是加强培训和指导。采取集中学习、讲座、专题会议等方式，加大对绩效评价管理工作参与人员的培训力度，进一步统一认识，充实业务知识。具体附整体支出绩效自评表，项目支出绩效自评表和评价报告。</w:t>
      </w:r>
    </w:p>
    <w:p w14:paraId="69A94167">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258EABB4">
        <w:tblPrEx>
          <w:tblCellMar>
            <w:top w:w="0" w:type="dxa"/>
            <w:left w:w="108" w:type="dxa"/>
            <w:bottom w:w="0" w:type="dxa"/>
            <w:right w:w="108" w:type="dxa"/>
          </w:tblCellMar>
        </w:tblPrEx>
        <w:tc>
          <w:tcPr>
            <w:tcW w:w="8840" w:type="dxa"/>
            <w:gridSpan w:val="8"/>
            <w:vAlign w:val="center"/>
          </w:tcPr>
          <w:p w14:paraId="07A2EDF5">
            <w:pPr>
              <w:jc w:val="center"/>
            </w:pPr>
            <w:r>
              <w:rPr>
                <w:rFonts w:ascii="宋体" w:hAnsi="宋体" w:eastAsia="宋体"/>
                <w:sz w:val="24"/>
              </w:rPr>
              <w:t>单位整体支出绩效自评表</w:t>
            </w:r>
          </w:p>
        </w:tc>
      </w:tr>
      <w:tr w14:paraId="6F8C29D7">
        <w:tblPrEx>
          <w:tblCellMar>
            <w:top w:w="0" w:type="dxa"/>
            <w:left w:w="108" w:type="dxa"/>
            <w:bottom w:w="0" w:type="dxa"/>
            <w:right w:w="108" w:type="dxa"/>
          </w:tblCellMar>
        </w:tblPrEx>
        <w:tc>
          <w:tcPr>
            <w:tcW w:w="8840" w:type="dxa"/>
            <w:gridSpan w:val="8"/>
            <w:vAlign w:val="center"/>
          </w:tcPr>
          <w:p w14:paraId="6AF929CC">
            <w:pPr>
              <w:jc w:val="center"/>
            </w:pPr>
            <w:r>
              <w:rPr>
                <w:rFonts w:ascii="宋体" w:hAnsi="宋体" w:eastAsia="宋体"/>
                <w:sz w:val="24"/>
              </w:rPr>
              <w:t>（2024年度）</w:t>
            </w:r>
          </w:p>
        </w:tc>
      </w:tr>
      <w:tr w14:paraId="14DCDDE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784D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30E0EA">
            <w:pPr>
              <w:jc w:val="center"/>
            </w:pPr>
            <w:r>
              <w:rPr>
                <w:rFonts w:ascii="宋体" w:hAnsi="宋体" w:eastAsia="宋体"/>
                <w:sz w:val="16"/>
              </w:rPr>
              <w:t>裕民县纪律检查委员会</w:t>
            </w:r>
          </w:p>
        </w:tc>
      </w:tr>
      <w:tr w14:paraId="5FE2E63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CD05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C04D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5C78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32890">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149F6">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2C39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CAE23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DA3E71">
            <w:pPr>
              <w:jc w:val="center"/>
            </w:pPr>
            <w:r>
              <w:rPr>
                <w:rFonts w:ascii="宋体" w:hAnsi="宋体" w:eastAsia="宋体"/>
                <w:sz w:val="16"/>
              </w:rPr>
              <w:t>得分</w:t>
            </w:r>
          </w:p>
        </w:tc>
      </w:tr>
      <w:tr w14:paraId="53B668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6CBC1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E745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9B594C">
            <w:pPr>
              <w:jc w:val="center"/>
            </w:pPr>
            <w:r>
              <w:rPr>
                <w:rFonts w:ascii="宋体" w:hAnsi="宋体" w:eastAsia="宋体"/>
                <w:sz w:val="16"/>
              </w:rPr>
              <w:t>1,804.44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33F189">
            <w:pPr>
              <w:jc w:val="center"/>
            </w:pPr>
            <w:r>
              <w:rPr>
                <w:rFonts w:ascii="宋体" w:hAnsi="宋体" w:eastAsia="宋体"/>
                <w:sz w:val="16"/>
              </w:rPr>
              <w:t>1,788.71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EDDFD1">
            <w:pPr>
              <w:jc w:val="center"/>
            </w:pPr>
            <w:r>
              <w:rPr>
                <w:rFonts w:ascii="宋体" w:hAnsi="宋体" w:eastAsia="宋体"/>
                <w:sz w:val="16"/>
              </w:rPr>
              <w:t>1,787.82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CF86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5329F">
            <w:pPr>
              <w:jc w:val="center"/>
            </w:pPr>
            <w:r>
              <w:rPr>
                <w:rFonts w:ascii="宋体" w:hAnsi="宋体" w:eastAsia="宋体"/>
                <w:sz w:val="16"/>
              </w:rPr>
              <w:t>99.95%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FD4D3">
            <w:pPr>
              <w:jc w:val="center"/>
            </w:pPr>
            <w:r>
              <w:rPr>
                <w:rFonts w:ascii="宋体" w:hAnsi="宋体" w:eastAsia="宋体"/>
                <w:sz w:val="16"/>
              </w:rPr>
              <w:t>10</w:t>
            </w:r>
          </w:p>
        </w:tc>
      </w:tr>
      <w:tr w14:paraId="32689DE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A73E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D1922">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AC7DC">
            <w:pPr>
              <w:jc w:val="center"/>
            </w:pPr>
            <w:r>
              <w:rPr>
                <w:rFonts w:ascii="宋体" w:hAnsi="宋体" w:eastAsia="宋体"/>
                <w:sz w:val="16"/>
              </w:rPr>
              <w:t>2.63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0FE04">
            <w:pPr>
              <w:jc w:val="center"/>
            </w:pPr>
            <w:r>
              <w:rPr>
                <w:rFonts w:ascii="宋体" w:hAnsi="宋体" w:eastAsia="宋体"/>
                <w:sz w:val="16"/>
              </w:rPr>
              <w:t>16.57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28335">
            <w:pPr>
              <w:jc w:val="center"/>
            </w:pPr>
            <w:r>
              <w:rPr>
                <w:rFonts w:ascii="宋体" w:hAnsi="宋体" w:eastAsia="宋体"/>
                <w:sz w:val="16"/>
              </w:rPr>
              <w:t>16.57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718D2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C053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5CF92">
            <w:pPr>
              <w:jc w:val="center"/>
            </w:pPr>
            <w:r>
              <w:rPr>
                <w:rFonts w:ascii="宋体" w:hAnsi="宋体" w:eastAsia="宋体"/>
                <w:sz w:val="16"/>
              </w:rPr>
              <w:t>-</w:t>
            </w:r>
          </w:p>
        </w:tc>
      </w:tr>
      <w:tr w14:paraId="0897C3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D7BD1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1F3DD">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B787E">
            <w:pPr>
              <w:jc w:val="center"/>
            </w:pPr>
            <w:r>
              <w:rPr>
                <w:rFonts w:ascii="宋体" w:hAnsi="宋体" w:eastAsia="宋体"/>
                <w:sz w:val="16"/>
              </w:rPr>
              <w:t>1,801.66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525F9">
            <w:pPr>
              <w:jc w:val="center"/>
            </w:pPr>
            <w:r>
              <w:rPr>
                <w:rFonts w:ascii="宋体" w:hAnsi="宋体" w:eastAsia="宋体"/>
                <w:sz w:val="16"/>
              </w:rPr>
              <w:t>1,772.14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9FD83">
            <w:pPr>
              <w:jc w:val="center"/>
            </w:pPr>
            <w:r>
              <w:rPr>
                <w:rFonts w:ascii="宋体" w:hAnsi="宋体" w:eastAsia="宋体"/>
                <w:sz w:val="16"/>
              </w:rPr>
              <w:t>1,771.25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13EA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84A5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67F089">
            <w:pPr>
              <w:jc w:val="center"/>
            </w:pPr>
            <w:r>
              <w:rPr>
                <w:rFonts w:ascii="宋体" w:hAnsi="宋体" w:eastAsia="宋体"/>
                <w:sz w:val="16"/>
              </w:rPr>
              <w:t>-</w:t>
            </w:r>
          </w:p>
        </w:tc>
      </w:tr>
      <w:tr w14:paraId="293D83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BD4F9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962285">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6BC4B">
            <w:pPr>
              <w:jc w:val="center"/>
            </w:pPr>
            <w:r>
              <w:rPr>
                <w:rFonts w:ascii="宋体" w:hAnsi="宋体" w:eastAsia="宋体"/>
                <w:sz w:val="16"/>
              </w:rPr>
              <w:t>0.15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6E0C6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6C90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B3290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095E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6A773">
            <w:pPr>
              <w:jc w:val="center"/>
            </w:pPr>
            <w:r>
              <w:rPr>
                <w:rFonts w:ascii="宋体" w:hAnsi="宋体" w:eastAsia="宋体"/>
                <w:sz w:val="16"/>
              </w:rPr>
              <w:t>-</w:t>
            </w:r>
          </w:p>
        </w:tc>
      </w:tr>
      <w:tr w14:paraId="284956F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EBE3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90279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4D4990">
            <w:pPr>
              <w:jc w:val="center"/>
            </w:pPr>
            <w:r>
              <w:rPr>
                <w:rFonts w:ascii="宋体" w:hAnsi="宋体" w:eastAsia="宋体"/>
                <w:sz w:val="16"/>
              </w:rPr>
              <w:t>实际完成情况</w:t>
            </w:r>
          </w:p>
        </w:tc>
      </w:tr>
      <w:tr w14:paraId="2853B9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9D6BF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AA5D43">
            <w:pPr>
              <w:jc w:val="both"/>
            </w:pPr>
            <w:r>
              <w:rPr>
                <w:rFonts w:ascii="宋体" w:hAnsi="宋体" w:eastAsia="宋体"/>
                <w:sz w:val="16"/>
              </w:rPr>
              <w:t>为了保障县纪检委各项工作运行顺畅，履行好工作职责，现计划：1.巩固拓展主题教育成果，坚持不懈用习近平新时代中国特色社会主义思想凝心</w:t>
            </w:r>
            <w:r>
              <w:rPr>
                <w:rFonts w:hint="eastAsia" w:ascii="宋体" w:hAnsi="宋体"/>
                <w:sz w:val="16"/>
                <w:lang w:eastAsia="zh-CN"/>
              </w:rPr>
              <w:t>铸</w:t>
            </w:r>
            <w:r>
              <w:rPr>
                <w:rFonts w:ascii="宋体" w:hAnsi="宋体" w:eastAsia="宋体"/>
                <w:sz w:val="16"/>
              </w:rPr>
              <w:t>魂；2.做实做细政治监督，全力营造风清气正的政治生态和发展环境；3.加大惩治腐败力度，始终保持永远吹冲锋号的清醒和执着；4.持续深化作风建设，坚决筑牢中央八项规定精神堤坝；5.持续加强党的纪律建设，坚持以严的基调强化正风肃纪；6.坚定不移深化政治巡察，不断提升巡察工作整体素质；7.健全协同高效监督体系，深化纪检监察体制改革；8.发扬彻底的自我革命精神，一体化建设高素质纪检监察干部队伍。</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12B24C">
            <w:pPr>
              <w:jc w:val="both"/>
            </w:pPr>
            <w:r>
              <w:rPr>
                <w:rFonts w:ascii="宋体" w:hAnsi="宋体" w:eastAsia="宋体"/>
                <w:sz w:val="16"/>
              </w:rPr>
              <w:t>1.巩固拓展了主题教育成果，坚持不懈用习近平新时代中国特色社会主义思想凝心</w:t>
            </w:r>
            <w:r>
              <w:rPr>
                <w:rFonts w:hint="eastAsia" w:ascii="宋体" w:hAnsi="宋体"/>
                <w:sz w:val="16"/>
                <w:lang w:eastAsia="zh-CN"/>
              </w:rPr>
              <w:t>铸</w:t>
            </w:r>
            <w:r>
              <w:rPr>
                <w:rFonts w:ascii="宋体" w:hAnsi="宋体" w:eastAsia="宋体"/>
                <w:sz w:val="16"/>
              </w:rPr>
              <w:t>魂；2</w:t>
            </w:r>
            <w:r>
              <w:rPr>
                <w:rFonts w:hint="eastAsia" w:ascii="宋体" w:hAnsi="宋体"/>
                <w:sz w:val="16"/>
                <w:lang w:eastAsia="zh-CN"/>
              </w:rPr>
              <w:t>.</w:t>
            </w:r>
            <w:r>
              <w:rPr>
                <w:rFonts w:ascii="宋体" w:hAnsi="宋体" w:eastAsia="宋体"/>
                <w:sz w:val="16"/>
              </w:rPr>
              <w:t>营造了风清气正的政治生态和发展环境；3.惩治腐败力度加大，始终保持永远吹冲锋号的清醒和执着；4.深化作风建设，坚决筑牢中央八项规定精神堤坝；5.持续加强党的纪律建设，坚持以严的基调强化正风肃纪；6.坚定不移深化政治巡察，不断提升巡察工作整体素质；7.健全协同高效监督体系，深化纪检监察体制改革；8.发扬彻底的自我革命精神，一体化建设高素质纪检监察干部队伍。</w:t>
            </w:r>
          </w:p>
        </w:tc>
      </w:tr>
      <w:tr w14:paraId="12C2099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4F034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22E43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4D53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7687F2">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A587A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6C3CF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32364">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CAB6B">
            <w:pPr>
              <w:jc w:val="center"/>
            </w:pPr>
            <w:r>
              <w:rPr>
                <w:rFonts w:ascii="宋体" w:hAnsi="宋体" w:eastAsia="宋体"/>
                <w:sz w:val="16"/>
              </w:rPr>
              <w:t>得分</w:t>
            </w:r>
          </w:p>
        </w:tc>
      </w:tr>
      <w:tr w14:paraId="2ACDE10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96468">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BAF3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D41A2">
            <w:pPr>
              <w:jc w:val="center"/>
            </w:pPr>
            <w:r>
              <w:rPr>
                <w:rFonts w:ascii="宋体" w:hAnsi="宋体" w:eastAsia="宋体"/>
                <w:sz w:val="16"/>
              </w:rPr>
              <w:t>纪检监察覆盖县数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8D9AF">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0914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429E06">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530C5E">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053A3">
            <w:pPr>
              <w:jc w:val="center"/>
            </w:pPr>
            <w:r>
              <w:rPr>
                <w:rFonts w:ascii="宋体" w:hAnsi="宋体" w:eastAsia="宋体"/>
                <w:sz w:val="16"/>
              </w:rPr>
              <w:t>18</w:t>
            </w:r>
          </w:p>
        </w:tc>
      </w:tr>
      <w:tr w14:paraId="1629E54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C6CE7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19DFF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48C2D1">
            <w:pPr>
              <w:jc w:val="center"/>
            </w:pPr>
            <w:r>
              <w:rPr>
                <w:rFonts w:ascii="宋体" w:hAnsi="宋体" w:eastAsia="宋体"/>
                <w:sz w:val="16"/>
              </w:rPr>
              <w:t>开展重要讲话和重要精神监督检查频次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A5DC0">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90F7B">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87174">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1E4BE0">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7F7CA">
            <w:pPr>
              <w:jc w:val="center"/>
            </w:pPr>
            <w:r>
              <w:rPr>
                <w:rFonts w:ascii="宋体" w:hAnsi="宋体" w:eastAsia="宋体"/>
                <w:sz w:val="16"/>
              </w:rPr>
              <w:t>18</w:t>
            </w:r>
          </w:p>
        </w:tc>
      </w:tr>
      <w:tr w14:paraId="4E9383E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6AAD2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42772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D2768">
            <w:pPr>
              <w:jc w:val="center"/>
            </w:pPr>
            <w:r>
              <w:rPr>
                <w:rFonts w:ascii="宋体" w:hAnsi="宋体" w:eastAsia="宋体"/>
                <w:sz w:val="16"/>
              </w:rPr>
              <w:t>常态用好用活协作区数量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C24A9">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90B4E">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DE1D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9689E7">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B3DD0">
            <w:pPr>
              <w:jc w:val="center"/>
            </w:pPr>
            <w:r>
              <w:rPr>
                <w:rFonts w:ascii="宋体" w:hAnsi="宋体" w:eastAsia="宋体"/>
                <w:sz w:val="16"/>
              </w:rPr>
              <w:t>18</w:t>
            </w:r>
          </w:p>
        </w:tc>
      </w:tr>
      <w:tr w14:paraId="186A39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00866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439F8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A3A8F9">
            <w:pPr>
              <w:jc w:val="center"/>
            </w:pPr>
            <w:r>
              <w:rPr>
                <w:rFonts w:ascii="宋体" w:hAnsi="宋体" w:eastAsia="宋体"/>
                <w:sz w:val="16"/>
              </w:rPr>
              <w:t>开展腐败和作风问题闭环监督检查次数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8994E">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2594D">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1AA5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F5E661">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3487F">
            <w:pPr>
              <w:jc w:val="center"/>
            </w:pPr>
            <w:r>
              <w:rPr>
                <w:rFonts w:ascii="宋体" w:hAnsi="宋体" w:eastAsia="宋体"/>
                <w:sz w:val="16"/>
              </w:rPr>
              <w:t>18</w:t>
            </w:r>
          </w:p>
        </w:tc>
      </w:tr>
      <w:tr w14:paraId="064537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033D5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D992C">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0F856">
            <w:pPr>
              <w:jc w:val="center"/>
            </w:pPr>
            <w:r>
              <w:rPr>
                <w:rFonts w:ascii="宋体" w:hAnsi="宋体" w:eastAsia="宋体"/>
                <w:sz w:val="16"/>
              </w:rPr>
              <w:t>监督检查按期完成及时率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F5DD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A333F">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CB1FD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4AB6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F1751">
            <w:pPr>
              <w:jc w:val="center"/>
            </w:pPr>
            <w:r>
              <w:rPr>
                <w:rFonts w:ascii="宋体" w:hAnsi="宋体" w:eastAsia="宋体"/>
                <w:sz w:val="16"/>
              </w:rPr>
              <w:t>18</w:t>
            </w:r>
          </w:p>
        </w:tc>
      </w:tr>
    </w:tbl>
    <w:p w14:paraId="00E4BEFF">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EF6097A">
        <w:tblPrEx>
          <w:tblCellMar>
            <w:top w:w="0" w:type="dxa"/>
            <w:left w:w="108" w:type="dxa"/>
            <w:bottom w:w="0" w:type="dxa"/>
            <w:right w:w="108" w:type="dxa"/>
          </w:tblCellMar>
        </w:tblPrEx>
        <w:tc>
          <w:tcPr>
            <w:tcW w:w="8848" w:type="dxa"/>
            <w:gridSpan w:val="14"/>
            <w:vAlign w:val="center"/>
          </w:tcPr>
          <w:p w14:paraId="2C0D9146">
            <w:pPr>
              <w:jc w:val="center"/>
            </w:pPr>
            <w:r>
              <w:rPr>
                <w:rFonts w:ascii="宋体" w:hAnsi="宋体" w:eastAsia="宋体"/>
                <w:sz w:val="24"/>
              </w:rPr>
              <w:t>项目支出绩效自评表</w:t>
            </w:r>
          </w:p>
        </w:tc>
      </w:tr>
      <w:tr w14:paraId="1614DF83">
        <w:tblPrEx>
          <w:tblCellMar>
            <w:top w:w="0" w:type="dxa"/>
            <w:left w:w="108" w:type="dxa"/>
            <w:bottom w:w="0" w:type="dxa"/>
            <w:right w:w="108" w:type="dxa"/>
          </w:tblCellMar>
        </w:tblPrEx>
        <w:tc>
          <w:tcPr>
            <w:tcW w:w="8848" w:type="dxa"/>
            <w:gridSpan w:val="14"/>
            <w:vAlign w:val="center"/>
          </w:tcPr>
          <w:p w14:paraId="38984C7E">
            <w:pPr>
              <w:jc w:val="center"/>
            </w:pPr>
            <w:r>
              <w:rPr>
                <w:rFonts w:ascii="宋体" w:hAnsi="宋体" w:eastAsia="宋体"/>
                <w:sz w:val="24"/>
              </w:rPr>
              <w:t>(2024年度)</w:t>
            </w:r>
          </w:p>
        </w:tc>
      </w:tr>
      <w:tr w14:paraId="4B43E1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19C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F6BE0E">
            <w:pPr>
              <w:jc w:val="center"/>
            </w:pPr>
            <w:r>
              <w:rPr>
                <w:rFonts w:ascii="宋体" w:hAnsi="宋体" w:eastAsia="宋体"/>
                <w:sz w:val="16"/>
              </w:rPr>
              <w:t>驻村工作队工作经费</w:t>
            </w:r>
          </w:p>
        </w:tc>
      </w:tr>
      <w:tr w14:paraId="6073F0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5AD9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4C0819">
            <w:pPr>
              <w:jc w:val="center"/>
            </w:pPr>
            <w:r>
              <w:rPr>
                <w:rFonts w:ascii="宋体" w:hAnsi="宋体" w:eastAsia="宋体"/>
                <w:sz w:val="16"/>
              </w:rPr>
              <w:t>裕民县纪律检查委员会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D01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688DE6">
            <w:pPr>
              <w:jc w:val="center"/>
            </w:pPr>
            <w:r>
              <w:rPr>
                <w:rFonts w:ascii="宋体" w:hAnsi="宋体" w:eastAsia="宋体"/>
                <w:sz w:val="16"/>
              </w:rPr>
              <w:t>裕民县纪律检查委员会</w:t>
            </w:r>
          </w:p>
        </w:tc>
      </w:tr>
      <w:tr w14:paraId="21BCA0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387E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449C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0DA1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005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7504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D4F4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5E7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8D0E9">
            <w:pPr>
              <w:jc w:val="center"/>
            </w:pPr>
            <w:r>
              <w:rPr>
                <w:rFonts w:ascii="宋体" w:hAnsi="宋体" w:eastAsia="宋体"/>
                <w:sz w:val="16"/>
              </w:rPr>
              <w:t>得分</w:t>
            </w:r>
          </w:p>
        </w:tc>
      </w:tr>
      <w:tr w14:paraId="1659D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CAF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E4F3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F3B05">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46A20">
            <w:pPr>
              <w:jc w:val="center"/>
            </w:pPr>
            <w:r>
              <w:rPr>
                <w:rFonts w:ascii="宋体" w:hAnsi="宋体" w:eastAsia="宋体"/>
                <w:sz w:val="16"/>
              </w:rPr>
              <w:t>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5D69B">
            <w:pPr>
              <w:jc w:val="center"/>
            </w:pPr>
            <w:r>
              <w:rPr>
                <w:rFonts w:ascii="宋体" w:hAnsi="宋体" w:eastAsia="宋体"/>
                <w:sz w:val="16"/>
              </w:rPr>
              <w:t>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AFC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EB8F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20DC">
            <w:pPr>
              <w:jc w:val="center"/>
            </w:pPr>
            <w:r>
              <w:rPr>
                <w:rFonts w:ascii="宋体" w:hAnsi="宋体" w:eastAsia="宋体"/>
                <w:sz w:val="16"/>
              </w:rPr>
              <w:t>10.00</w:t>
            </w:r>
          </w:p>
        </w:tc>
      </w:tr>
      <w:tr w14:paraId="6C5499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68D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A75E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51BA5">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08257">
            <w:pPr>
              <w:jc w:val="center"/>
            </w:pPr>
            <w:r>
              <w:rPr>
                <w:rFonts w:ascii="宋体" w:hAnsi="宋体" w:eastAsia="宋体"/>
                <w:sz w:val="16"/>
              </w:rPr>
              <w:t>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EBD0C">
            <w:pPr>
              <w:jc w:val="center"/>
            </w:pPr>
            <w:r>
              <w:rPr>
                <w:rFonts w:ascii="宋体" w:hAnsi="宋体" w:eastAsia="宋体"/>
                <w:sz w:val="16"/>
              </w:rPr>
              <w:t>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782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0DD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4DAFD">
            <w:pPr>
              <w:jc w:val="center"/>
            </w:pPr>
            <w:r>
              <w:rPr>
                <w:rFonts w:ascii="宋体" w:hAnsi="宋体" w:eastAsia="宋体"/>
                <w:sz w:val="16"/>
              </w:rPr>
              <w:t>—</w:t>
            </w:r>
          </w:p>
        </w:tc>
      </w:tr>
      <w:tr w14:paraId="18F957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2B5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A90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D47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48D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AD6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709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486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35B8C">
            <w:pPr>
              <w:jc w:val="center"/>
            </w:pPr>
            <w:r>
              <w:rPr>
                <w:rFonts w:ascii="宋体" w:hAnsi="宋体" w:eastAsia="宋体"/>
                <w:sz w:val="16"/>
              </w:rPr>
              <w:t>—</w:t>
            </w:r>
          </w:p>
        </w:tc>
      </w:tr>
      <w:tr w14:paraId="59FD10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A9ECA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2AF3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0E4192">
            <w:pPr>
              <w:jc w:val="center"/>
            </w:pPr>
            <w:r>
              <w:rPr>
                <w:rFonts w:ascii="宋体" w:hAnsi="宋体" w:eastAsia="宋体"/>
                <w:sz w:val="16"/>
              </w:rPr>
              <w:t>实际完成情况</w:t>
            </w:r>
          </w:p>
        </w:tc>
      </w:tr>
      <w:tr w14:paraId="697918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BD75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45C3D4">
            <w:pPr>
              <w:jc w:val="both"/>
            </w:pPr>
            <w:r>
              <w:rPr>
                <w:rFonts w:ascii="宋体" w:hAnsi="宋体" w:eastAsia="宋体"/>
                <w:sz w:val="16"/>
              </w:rPr>
              <w:t>本年度驻村工作队工作经费预算投入7.63万元。计划本年慰问困难群众大于等于2次，组织群众开展活动大于等于2次，访贫问苦大于等于2次 ，完成后有助于提升乡稳定村和谐，并能提升驻村工作队工作效率。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7C1866">
            <w:pPr>
              <w:jc w:val="both"/>
            </w:pPr>
            <w:r>
              <w:rPr>
                <w:rFonts w:ascii="宋体" w:hAnsi="宋体" w:eastAsia="宋体"/>
                <w:sz w:val="16"/>
              </w:rPr>
              <w:t>本年度驻村工作队工作经费项目预算资金7.63万元，截</w:t>
            </w:r>
            <w:r>
              <w:rPr>
                <w:rFonts w:hint="eastAsia" w:ascii="宋体" w:hAnsi="宋体"/>
                <w:sz w:val="16"/>
                <w:lang w:val="en-US" w:eastAsia="zh-CN"/>
              </w:rPr>
              <w:t>至</w:t>
            </w:r>
            <w:r>
              <w:rPr>
                <w:rFonts w:ascii="宋体" w:hAnsi="宋体" w:eastAsia="宋体"/>
                <w:sz w:val="16"/>
              </w:rPr>
              <w:t>2024年12月31日，已经支付7.63万元，预算执行率100%。项目按照计划正常进行，计划慰问困难群众大于等于2次，实际完成了2次，计划组织群众开展活动大于等于2次，实际完成了2次，计划访贫问苦大于等于2次，实际完成了2次，进一步提升了乡稳定村和谐，并且驻村工作队工作效率有了很大的提升。</w:t>
            </w:r>
          </w:p>
        </w:tc>
      </w:tr>
      <w:tr w14:paraId="54112C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AEA7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03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551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CD19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2510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338A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09C8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FB3E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7838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8456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8A3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9E7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9BA1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A6309">
            <w:pPr>
              <w:jc w:val="center"/>
            </w:pPr>
            <w:r>
              <w:rPr>
                <w:rFonts w:ascii="宋体" w:hAnsi="宋体" w:eastAsia="宋体"/>
                <w:sz w:val="16"/>
              </w:rPr>
              <w:t>偏差原因分析及改进措施</w:t>
            </w:r>
          </w:p>
        </w:tc>
      </w:tr>
      <w:tr w14:paraId="3C9CDA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983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2BB7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FD38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5FC49">
            <w:pPr>
              <w:jc w:val="center"/>
            </w:pPr>
            <w:r>
              <w:rPr>
                <w:rFonts w:ascii="宋体" w:hAnsi="宋体" w:eastAsia="宋体"/>
                <w:sz w:val="16"/>
              </w:rPr>
              <w:t>慰问困难群众次数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B739A">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C05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47E3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97A3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03B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AD6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7A6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84B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8B2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07251">
            <w:pPr>
              <w:jc w:val="center"/>
            </w:pPr>
          </w:p>
        </w:tc>
      </w:tr>
      <w:tr w14:paraId="404210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071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068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C6B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A3489">
            <w:pPr>
              <w:jc w:val="center"/>
            </w:pPr>
            <w:r>
              <w:rPr>
                <w:rFonts w:ascii="宋体" w:hAnsi="宋体" w:eastAsia="宋体"/>
                <w:sz w:val="16"/>
              </w:rPr>
              <w:t>组织群众开展活动次数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64739">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2D4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77CE">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A6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B3E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ECB0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944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4D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062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32F56">
            <w:pPr>
              <w:jc w:val="center"/>
            </w:pPr>
          </w:p>
        </w:tc>
      </w:tr>
      <w:tr w14:paraId="436D02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F7F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CF6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1B3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48F1">
            <w:pPr>
              <w:jc w:val="center"/>
            </w:pPr>
            <w:r>
              <w:rPr>
                <w:rFonts w:ascii="宋体" w:hAnsi="宋体" w:eastAsia="宋体"/>
                <w:sz w:val="16"/>
              </w:rPr>
              <w:t>访贫问苦次数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DC6D0">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5AD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2CB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E8A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80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F22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13FD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92B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3FD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9D26F">
            <w:pPr>
              <w:jc w:val="center"/>
            </w:pPr>
          </w:p>
        </w:tc>
      </w:tr>
      <w:tr w14:paraId="047B2E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CD6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D6A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04C3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901BF">
            <w:pPr>
              <w:jc w:val="center"/>
            </w:pPr>
            <w:r>
              <w:rPr>
                <w:rFonts w:ascii="宋体" w:hAnsi="宋体" w:eastAsia="宋体"/>
                <w:sz w:val="16"/>
              </w:rPr>
              <w:t>群众活动参与率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80D4E">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2EE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728E7">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2AF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AC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36C8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12780">
            <w:pPr>
              <w:jc w:val="center"/>
            </w:pPr>
            <w:r>
              <w:rPr>
                <w:rFonts w:ascii="宋体" w:hAnsi="宋体" w:eastAsia="宋体"/>
                <w:sz w:val="16"/>
              </w:rPr>
              <w:t>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77373">
            <w:pPr>
              <w:jc w:val="center"/>
            </w:pPr>
            <w:r>
              <w:rPr>
                <w:rFonts w:ascii="宋体" w:hAnsi="宋体" w:eastAsia="宋体"/>
                <w:sz w:val="16"/>
              </w:rPr>
              <w:t>118.33%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AE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9958">
            <w:pPr>
              <w:jc w:val="center"/>
            </w:pPr>
            <w:r>
              <w:rPr>
                <w:rFonts w:ascii="宋体" w:hAnsi="宋体" w:eastAsia="宋体"/>
                <w:sz w:val="16"/>
              </w:rPr>
              <w:t>偏差率低于20%，视为无偏差。</w:t>
            </w:r>
          </w:p>
        </w:tc>
      </w:tr>
      <w:tr w14:paraId="40B60D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E98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BD2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028E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D34B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5E1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621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A9A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C23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930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FC57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EA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79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BC4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AB86">
            <w:pPr>
              <w:jc w:val="center"/>
            </w:pPr>
          </w:p>
        </w:tc>
      </w:tr>
      <w:tr w14:paraId="47F04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3C5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084C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34ACE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8097">
            <w:pPr>
              <w:jc w:val="center"/>
            </w:pPr>
            <w:r>
              <w:rPr>
                <w:rFonts w:ascii="宋体" w:hAnsi="宋体" w:eastAsia="宋体"/>
                <w:sz w:val="16"/>
              </w:rPr>
              <w:t>访贫问苦成本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AA40A">
            <w:pPr>
              <w:jc w:val="center"/>
            </w:pPr>
            <w:r>
              <w:rPr>
                <w:rFonts w:ascii="宋体" w:hAnsi="宋体" w:eastAsia="宋体"/>
                <w:sz w:val="16"/>
              </w:rPr>
              <w:t>&lt;=2.214万元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503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5497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9E93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C02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BE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FEF85">
            <w:pPr>
              <w:jc w:val="center"/>
            </w:pPr>
            <w:r>
              <w:rPr>
                <w:rFonts w:ascii="宋体" w:hAnsi="宋体" w:eastAsia="宋体"/>
                <w:sz w:val="16"/>
              </w:rPr>
              <w:t>2.214万元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338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2C1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D91F8">
            <w:pPr>
              <w:jc w:val="center"/>
            </w:pPr>
          </w:p>
        </w:tc>
      </w:tr>
      <w:tr w14:paraId="4B173C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965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F72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B14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1D833">
            <w:pPr>
              <w:jc w:val="center"/>
            </w:pPr>
            <w:r>
              <w:rPr>
                <w:rFonts w:ascii="宋体" w:hAnsi="宋体" w:eastAsia="宋体"/>
                <w:sz w:val="16"/>
              </w:rPr>
              <w:t>慰问困难群众成本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ED71A">
            <w:pPr>
              <w:jc w:val="center"/>
            </w:pPr>
            <w:r>
              <w:rPr>
                <w:rFonts w:ascii="宋体" w:hAnsi="宋体" w:eastAsia="宋体"/>
                <w:sz w:val="16"/>
              </w:rPr>
              <w:t>&lt;=3.465万元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FDE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1F86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C94F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9E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BF9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8E3E8">
            <w:pPr>
              <w:jc w:val="center"/>
            </w:pPr>
            <w:r>
              <w:rPr>
                <w:rFonts w:ascii="宋体" w:hAnsi="宋体" w:eastAsia="宋体"/>
                <w:sz w:val="16"/>
              </w:rPr>
              <w:t>3.465万元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BE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6E75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CDE0A">
            <w:pPr>
              <w:jc w:val="center"/>
            </w:pPr>
          </w:p>
        </w:tc>
      </w:tr>
      <w:tr w14:paraId="15AC93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E6F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5E0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3D6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E52A">
            <w:pPr>
              <w:jc w:val="center"/>
            </w:pPr>
            <w:r>
              <w:rPr>
                <w:rFonts w:ascii="宋体" w:hAnsi="宋体" w:eastAsia="宋体"/>
                <w:sz w:val="16"/>
              </w:rPr>
              <w:t>组织群众开展活动成本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A94BB">
            <w:pPr>
              <w:jc w:val="center"/>
            </w:pPr>
            <w:r>
              <w:rPr>
                <w:rFonts w:ascii="宋体" w:hAnsi="宋体" w:eastAsia="宋体"/>
                <w:sz w:val="16"/>
              </w:rPr>
              <w:t>&lt;=1.95万元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156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07E2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DF8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316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0E6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A9C1A">
            <w:pPr>
              <w:jc w:val="center"/>
            </w:pPr>
            <w:r>
              <w:rPr>
                <w:rFonts w:ascii="宋体" w:hAnsi="宋体" w:eastAsia="宋体"/>
                <w:sz w:val="16"/>
              </w:rPr>
              <w:t>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3E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3DD1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6F95B">
            <w:pPr>
              <w:jc w:val="center"/>
            </w:pPr>
          </w:p>
        </w:tc>
      </w:tr>
      <w:tr w14:paraId="41C2D9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079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426F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404D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451A9">
            <w:pPr>
              <w:jc w:val="center"/>
            </w:pPr>
            <w:r>
              <w:rPr>
                <w:rFonts w:ascii="宋体" w:hAnsi="宋体" w:eastAsia="宋体"/>
                <w:sz w:val="16"/>
              </w:rPr>
              <w:t>提升乡稳定村和谐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B91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E2C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8AF2">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12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825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90C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C46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ED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4E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6E870">
            <w:pPr>
              <w:jc w:val="center"/>
            </w:pPr>
          </w:p>
        </w:tc>
      </w:tr>
      <w:tr w14:paraId="5BDB86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4E5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4F7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852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8891D">
            <w:pPr>
              <w:jc w:val="center"/>
            </w:pPr>
            <w:r>
              <w:rPr>
                <w:rFonts w:ascii="宋体" w:hAnsi="宋体" w:eastAsia="宋体"/>
                <w:sz w:val="16"/>
              </w:rPr>
              <w:t>驻村工作队工作效率提升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03945">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CE7C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CFE99">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403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D2E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584F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220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45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21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77F1">
            <w:pPr>
              <w:jc w:val="center"/>
            </w:pPr>
          </w:p>
        </w:tc>
      </w:tr>
      <w:tr w14:paraId="5794E7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D6C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D422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51C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1E4D7">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524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801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E0D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E7D3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CA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35C66">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4FB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E55B7">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76C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86A5F">
            <w:pPr>
              <w:jc w:val="center"/>
            </w:pPr>
            <w:r>
              <w:rPr>
                <w:rFonts w:ascii="宋体" w:hAnsi="宋体" w:eastAsia="宋体"/>
                <w:sz w:val="16"/>
              </w:rPr>
              <w:t>偏差率低于20%，视为无偏差。</w:t>
            </w:r>
          </w:p>
        </w:tc>
      </w:tr>
      <w:tr w14:paraId="5E1C09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953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6D2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731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6941C">
            <w:pPr>
              <w:jc w:val="center"/>
            </w:pPr>
            <w:r>
              <w:rPr>
                <w:rFonts w:hint="eastAsia" w:ascii="宋体" w:hAnsi="宋体"/>
                <w:sz w:val="16"/>
                <w:lang w:eastAsia="zh-CN"/>
              </w:rPr>
              <w:t>村“两委”</w:t>
            </w:r>
            <w:r>
              <w:rPr>
                <w:rFonts w:ascii="宋体" w:hAnsi="宋体" w:eastAsia="宋体"/>
                <w:sz w:val="16"/>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583C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E55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81D1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79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0674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41B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E19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E05C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142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0ED84">
            <w:pPr>
              <w:jc w:val="center"/>
            </w:pPr>
            <w:r>
              <w:rPr>
                <w:rFonts w:ascii="宋体" w:hAnsi="宋体" w:eastAsia="宋体"/>
                <w:sz w:val="16"/>
              </w:rPr>
              <w:t>偏差率低于20%，视为无偏差。</w:t>
            </w:r>
          </w:p>
        </w:tc>
      </w:tr>
      <w:tr w14:paraId="5787232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3463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3E9D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9326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7CED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61F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2DC9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DB7C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26EF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3A56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932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DC82A8"/>
        </w:tc>
      </w:tr>
    </w:tbl>
    <w:p w14:paraId="217A96F6">
      <w:r>
        <w:br w:type="page"/>
      </w:r>
    </w:p>
    <w:p w14:paraId="3918DD0A">
      <w:pPr>
        <w:spacing w:line="640" w:lineRule="exact"/>
        <w:ind w:firstLine="640"/>
        <w:jc w:val="both"/>
        <w:outlineLvl w:val="2"/>
      </w:pPr>
      <w:r>
        <w:rPr>
          <w:rFonts w:ascii="黑体" w:hAnsi="黑体" w:eastAsia="黑体"/>
          <w:sz w:val="32"/>
        </w:rPr>
        <w:t>十二、其他需说明的事项</w:t>
      </w:r>
    </w:p>
    <w:p w14:paraId="3D5DAC9F">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不予公开</w:t>
      </w:r>
      <w:r>
        <w:rPr>
          <w:rFonts w:ascii="仿宋_GB2312" w:hAnsi="仿宋_GB2312" w:eastAsia="仿宋_GB2312"/>
          <w:b w:val="0"/>
          <w:sz w:val="32"/>
        </w:rPr>
        <w:t>项目1个，全年预算数8.94万元，全年执行数8.94万元。</w:t>
      </w:r>
    </w:p>
    <w:p w14:paraId="5324D58E">
      <w:r>
        <w:br w:type="page"/>
      </w:r>
    </w:p>
    <w:p w14:paraId="091C6506">
      <w:pPr>
        <w:spacing w:line="240" w:lineRule="auto"/>
        <w:jc w:val="center"/>
        <w:outlineLvl w:val="1"/>
      </w:pPr>
      <w:r>
        <w:rPr>
          <w:rFonts w:ascii="黑体" w:hAnsi="黑体" w:eastAsia="黑体"/>
          <w:sz w:val="32"/>
        </w:rPr>
        <w:t>第三部分 专业名词解释</w:t>
      </w:r>
    </w:p>
    <w:p w14:paraId="5CD97A2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8FEF04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4F524A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5EE4A8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C47246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53FB1D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B37B87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EC22C0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11DA4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413CBB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6527E7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E9213C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96EC45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D61B1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2722A42">
      <w:r>
        <w:br w:type="page"/>
      </w:r>
    </w:p>
    <w:p w14:paraId="1B0BB6EA">
      <w:pPr>
        <w:spacing w:line="240" w:lineRule="auto"/>
        <w:jc w:val="center"/>
        <w:outlineLvl w:val="1"/>
      </w:pPr>
      <w:r>
        <w:rPr>
          <w:rFonts w:ascii="黑体" w:hAnsi="黑体" w:eastAsia="黑体"/>
          <w:sz w:val="32"/>
        </w:rPr>
        <w:t>第四部分 部门决算报表（见附表）</w:t>
      </w:r>
    </w:p>
    <w:p w14:paraId="20A9B94B">
      <w:pPr>
        <w:spacing w:line="240" w:lineRule="auto"/>
        <w:ind w:firstLine="640"/>
        <w:jc w:val="both"/>
      </w:pPr>
      <w:r>
        <w:rPr>
          <w:rFonts w:ascii="仿宋_GB2312" w:hAnsi="仿宋_GB2312" w:eastAsia="仿宋_GB2312"/>
          <w:b w:val="0"/>
          <w:sz w:val="32"/>
        </w:rPr>
        <w:t>一、《收入支出决算总表》</w:t>
      </w:r>
    </w:p>
    <w:p w14:paraId="20B434A5">
      <w:pPr>
        <w:spacing w:line="240" w:lineRule="auto"/>
        <w:ind w:firstLine="640"/>
        <w:jc w:val="both"/>
      </w:pPr>
      <w:r>
        <w:rPr>
          <w:rFonts w:ascii="仿宋_GB2312" w:hAnsi="仿宋_GB2312" w:eastAsia="仿宋_GB2312"/>
          <w:b w:val="0"/>
          <w:sz w:val="32"/>
        </w:rPr>
        <w:t>二、《收入决算表》</w:t>
      </w:r>
    </w:p>
    <w:p w14:paraId="686EAA54">
      <w:pPr>
        <w:spacing w:line="240" w:lineRule="auto"/>
        <w:ind w:firstLine="640"/>
        <w:jc w:val="both"/>
      </w:pPr>
      <w:r>
        <w:rPr>
          <w:rFonts w:ascii="仿宋_GB2312" w:hAnsi="仿宋_GB2312" w:eastAsia="仿宋_GB2312"/>
          <w:b w:val="0"/>
          <w:sz w:val="32"/>
        </w:rPr>
        <w:t>三、《支出决算表》</w:t>
      </w:r>
    </w:p>
    <w:p w14:paraId="0A7489EB">
      <w:pPr>
        <w:spacing w:line="240" w:lineRule="auto"/>
        <w:ind w:firstLine="640"/>
        <w:jc w:val="both"/>
      </w:pPr>
      <w:r>
        <w:rPr>
          <w:rFonts w:ascii="仿宋_GB2312" w:hAnsi="仿宋_GB2312" w:eastAsia="仿宋_GB2312"/>
          <w:b w:val="0"/>
          <w:sz w:val="32"/>
        </w:rPr>
        <w:t>四、《财政拨款收入支出决算总表》</w:t>
      </w:r>
    </w:p>
    <w:p w14:paraId="64348BA1">
      <w:pPr>
        <w:spacing w:line="240" w:lineRule="auto"/>
        <w:ind w:firstLine="640"/>
        <w:jc w:val="both"/>
      </w:pPr>
      <w:r>
        <w:rPr>
          <w:rFonts w:ascii="仿宋_GB2312" w:hAnsi="仿宋_GB2312" w:eastAsia="仿宋_GB2312"/>
          <w:b w:val="0"/>
          <w:sz w:val="32"/>
        </w:rPr>
        <w:t>五、《一般公共预算财政拨款支出决算表》</w:t>
      </w:r>
    </w:p>
    <w:p w14:paraId="26ACCBC7">
      <w:pPr>
        <w:spacing w:line="240" w:lineRule="auto"/>
        <w:ind w:firstLine="640"/>
        <w:jc w:val="both"/>
      </w:pPr>
      <w:r>
        <w:rPr>
          <w:rFonts w:ascii="仿宋_GB2312" w:hAnsi="仿宋_GB2312" w:eastAsia="仿宋_GB2312"/>
          <w:b w:val="0"/>
          <w:sz w:val="32"/>
        </w:rPr>
        <w:t>六、《一般公共预算财政拨款基本支出决算表》</w:t>
      </w:r>
    </w:p>
    <w:p w14:paraId="74D901BF">
      <w:pPr>
        <w:spacing w:line="240" w:lineRule="auto"/>
        <w:ind w:firstLine="640"/>
        <w:jc w:val="both"/>
      </w:pPr>
      <w:r>
        <w:rPr>
          <w:rFonts w:ascii="仿宋_GB2312" w:hAnsi="仿宋_GB2312" w:eastAsia="仿宋_GB2312"/>
          <w:b w:val="0"/>
          <w:sz w:val="32"/>
        </w:rPr>
        <w:t>七、《政府性基金预算财政拨款收入支出决算表》</w:t>
      </w:r>
    </w:p>
    <w:p w14:paraId="46F72E2B">
      <w:pPr>
        <w:spacing w:line="240" w:lineRule="auto"/>
        <w:ind w:firstLine="640"/>
        <w:jc w:val="both"/>
      </w:pPr>
      <w:r>
        <w:rPr>
          <w:rFonts w:ascii="仿宋_GB2312" w:hAnsi="仿宋_GB2312" w:eastAsia="仿宋_GB2312"/>
          <w:b w:val="0"/>
          <w:sz w:val="32"/>
        </w:rPr>
        <w:t>八、《国有资本经营预算财政拨款收入支出决算表》</w:t>
      </w:r>
    </w:p>
    <w:p w14:paraId="43BB2FAB">
      <w:pPr>
        <w:spacing w:line="240" w:lineRule="auto"/>
        <w:ind w:firstLine="640"/>
        <w:jc w:val="both"/>
      </w:pPr>
      <w:r>
        <w:rPr>
          <w:rFonts w:ascii="仿宋_GB2312" w:hAnsi="仿宋_GB2312" w:eastAsia="仿宋_GB2312"/>
          <w:b w:val="0"/>
          <w:sz w:val="32"/>
        </w:rPr>
        <w:t>九、《财政拨款“三公”经费支出决算表》</w:t>
      </w:r>
    </w:p>
    <w:p w14:paraId="29F91BEF">
      <w:pPr>
        <w:spacing w:line="240" w:lineRule="auto"/>
        <w:ind w:firstLine="640"/>
        <w:jc w:val="both"/>
      </w:pPr>
    </w:p>
    <w:p w14:paraId="0F6CEAE1">
      <w:pPr>
        <w:spacing w:line="240" w:lineRule="auto"/>
        <w:ind w:firstLine="640"/>
        <w:jc w:val="both"/>
      </w:pPr>
    </w:p>
    <w:p w14:paraId="4F054C02">
      <w:pPr>
        <w:spacing w:line="240" w:lineRule="auto"/>
        <w:ind w:firstLine="640"/>
        <w:jc w:val="both"/>
      </w:pPr>
    </w:p>
    <w:p w14:paraId="729A8FAF">
      <w:pPr>
        <w:spacing w:line="240" w:lineRule="auto"/>
        <w:ind w:firstLine="640"/>
        <w:jc w:val="both"/>
      </w:pPr>
    </w:p>
    <w:p w14:paraId="244F2BD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7839A8A-8E9D-4D32-A10E-6B20553F3AE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9F20CE6-87DA-4831-AC4A-EBEC99FC6D2B}"/>
  </w:font>
  <w:font w:name="仿宋_GB2312">
    <w:panose1 w:val="02010609030101010101"/>
    <w:charset w:val="86"/>
    <w:family w:val="modern"/>
    <w:pitch w:val="default"/>
    <w:sig w:usb0="00000001" w:usb1="080E0000" w:usb2="00000000" w:usb3="00000000" w:csb0="00040000" w:csb1="00000000"/>
    <w:embedRegular r:id="rId3" w:fontKey="{3C11A986-1E01-4AED-ADEC-DF1C563CEC3D}"/>
  </w:font>
  <w:font w:name="楷体_GB2312">
    <w:panose1 w:val="02010609030101010101"/>
    <w:charset w:val="86"/>
    <w:family w:val="auto"/>
    <w:pitch w:val="default"/>
    <w:sig w:usb0="00000001" w:usb1="080E0000" w:usb2="00000000" w:usb3="00000000" w:csb0="00040000" w:csb1="00000000"/>
    <w:embedRegular r:id="rId4" w:fontKey="{C862F3DF-82C7-4B7B-AA05-4652B23403D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6E0E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6624C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06624C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2D0655"/>
    <w:rsid w:val="0F9811B3"/>
    <w:rsid w:val="11E15093"/>
    <w:rsid w:val="120E0809"/>
    <w:rsid w:val="156F0110"/>
    <w:rsid w:val="19071D6C"/>
    <w:rsid w:val="19B5554D"/>
    <w:rsid w:val="1B8F2D19"/>
    <w:rsid w:val="1C317E4F"/>
    <w:rsid w:val="1C472464"/>
    <w:rsid w:val="1DAF458D"/>
    <w:rsid w:val="1E086ACE"/>
    <w:rsid w:val="1E4B5CA5"/>
    <w:rsid w:val="1EAA4A5F"/>
    <w:rsid w:val="1EEE7107"/>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964D96"/>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5C728F"/>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81de1003-2c96-456e-b9da-abdc0fe61463</errorID>
      <errorWord>反腐败国际追赃</errorWord>
      <group>L1_Political</group>
      <groupName>政治性问题</groupName>
      <ability>L2_Keyword</ability>
      <abilityName>固定表述</abilityName>
      <candidateList>
        <item>反腐败国际追逃追赃</item>
      </candidateList>
      <explain>词汇“反腐败国际追逃追赃”在特定场景下为固定表述形式，请确认此处的“反腐败国际追赃”是否存在不当。</explain>
      <paraID>7B538814</paraID>
      <start>58</start>
      <end>65</end>
      <status>ignored</status>
      <modifiedWord/>
      <trackRevisions>false</trackRevisions>
    </reviewItem>
    <reviewItem>
      <errorID>fcfcac9d-bc6c-42b6-8757-a28180fe2b6a</errorID>
      <errorWord>年</errorWord>
      <group>L1_Word</group>
      <groupName>字词问题</groupName>
      <ability>L2_Typo</ability>
      <abilityName>字词错误</abilityName>
      <candidateList>
        <item>年度</item>
      </candidateList>
      <explain/>
      <paraID>77F5C269</paraID>
      <start>53</start>
      <end>55</end>
      <status>modified</status>
      <modifiedWord>年度</modifiedWord>
      <trackRevisions>false</trackRevisions>
    </reviewItem>
    <reviewItem>
      <errorID>9e89fb75-db4b-45c5-9ee2-7ec7905e5b1a</errorID>
      <errorWord>年</errorWord>
      <group>L1_Word</group>
      <groupName>字词问题</groupName>
      <ability>L2_Typo</ability>
      <abilityName>字词错误</abilityName>
      <candidateList>
        <item>年度</item>
      </candidateList>
      <explain/>
      <paraID>6DF93E86</paraID>
      <start>57</start>
      <end>59</end>
      <status>modified</status>
      <modifiedWord>年度</modifiedWord>
      <trackRevisions>false</trackRevisions>
    </reviewItem>
    <reviewItem>
      <errorID>ccd6c1da-3c5b-4797-a1b7-415a64c36553</errorID>
      <errorWord>2月31日</errorWord>
      <group>L1_Sensitive</group>
      <groupName>敏感问题</groupName>
      <ability>L2_UserSensitive</ability>
      <abilityName>自定义敏感词</abilityName>
      <candidateList/>
      <explain>来自自定义敏感词库。</explain>
      <paraID>2B8EDFA9</paraID>
      <start>8</start>
      <end>13</end>
      <status>unmodified</status>
      <modifiedWord/>
      <trackRevisions>false</trackRevisions>
    </reviewItem>
    <reviewItem>
      <errorID>b4eabe2e-cb7f-4bc5-83b1-f5faf13295df</errorID>
      <errorWord>.，</errorWord>
      <group>L1_Punc</group>
      <groupName>标点问题</groupName>
      <ability>L2_Punc</ability>
      <abilityName>标点符号检查</abilityName>
      <candidateList>
        <item>.</item>
      </candidateList>
      <explain/>
      <paraID> D12B24C</paraID>
      <start>41</start>
      <end>42</end>
      <status>modified</status>
      <modifiedWord>.</modifiedWord>
      <trackRevisions>false</trackRevisions>
    </reviewItem>
    <reviewItem>
      <errorID>380a648d-f027-473e-817f-18ebd5a278ee</errorID>
      <errorWord>驻村</errorWord>
      <group>L1_Sensitive</group>
      <groupName>敏感问题</groupName>
      <ability>L2_UserSensitive</ability>
      <abilityName>自定义敏感词</abilityName>
      <candidateList/>
      <explain>来自自定义敏感词库。</explain>
      <paraID>15F6BE0E</paraID>
      <start>0</start>
      <end>2</end>
      <status>unmodified</status>
      <modifiedWord/>
      <trackRevisions>false</trackRevisions>
    </reviewItem>
    <reviewItem>
      <errorID>3b75c976-22fd-4d01-a8c0-f9045ebcee67</errorID>
      <errorWord>驻村</errorWord>
      <group>L1_Sensitive</group>
      <groupName>敏感问题</groupName>
      <ability>L2_UserSensitive</ability>
      <abilityName>自定义敏感词</abilityName>
      <candidateList/>
      <explain>来自自定义敏感词库。</explain>
      <paraID>1945C3D4</paraID>
      <start>3</start>
      <end>5</end>
      <status>unmodified</status>
      <modifiedWord/>
      <trackRevisions>false</trackRevisions>
    </reviewItem>
    <reviewItem>
      <errorID>10a52dad-670c-4506-b91f-1ff4a3b40a84</errorID>
      <errorWord>驻村</errorWord>
      <group>L1_Sensitive</group>
      <groupName>敏感问题</groupName>
      <ability>L2_UserSensitive</ability>
      <abilityName>自定义敏感词</abilityName>
      <candidateList/>
      <explain>来自自定义敏感词库。</explain>
      <paraID>1945C3D4</paraID>
      <start>86</start>
      <end>88</end>
      <status>unmodified</status>
      <modifiedWord/>
      <trackRevisions>false</trackRevisions>
    </reviewItem>
    <reviewItem>
      <errorID>b5af283d-6f65-443c-8c5e-d4a855dc5d7a</errorID>
      <errorWord>驻村</errorWord>
      <group>L1_Sensitive</group>
      <groupName>敏感问题</groupName>
      <ability>L2_UserSensitive</ability>
      <abilityName>自定义敏感词</abilityName>
      <candidateList/>
      <explain>来自自定义敏感词库。</explain>
      <paraID>297C1866</paraID>
      <start>3</start>
      <end>5</end>
      <status>unmodified</status>
      <modifiedWord/>
      <trackRevisions>false</trackRevisions>
    </reviewItem>
    <reviewItem>
      <errorID>524a74c1-ab4c-4ec4-842c-62377f2ed511</errorID>
      <errorWord>2月31日</errorWord>
      <group>L1_Sensitive</group>
      <groupName>敏感问题</groupName>
      <ability>L2_UserSensitive</ability>
      <abilityName>自定义敏感词</abilityName>
      <candidateList/>
      <explain>来自自定义敏感词库。</explain>
      <paraID>297C1866</paraID>
      <start>33</start>
      <end>38</end>
      <status>unmodified</status>
      <modifiedWord/>
      <trackRevisions>false</trackRevisions>
    </reviewItem>
    <reviewItem>
      <errorID>799ccce7-f4fe-4b22-b4a5-360e865fb855</errorID>
      <errorWord>驻村</errorWord>
      <group>L1_Sensitive</group>
      <groupName>敏感问题</groupName>
      <ability>L2_UserSensitive</ability>
      <abilityName>自定义敏感词</abilityName>
      <candidateList/>
      <explain>来自自定义敏感词库。</explain>
      <paraID>297C1866</paraID>
      <start>155</start>
      <end>157</end>
      <status>unmodified</status>
      <modifiedWord/>
      <trackRevisions>false</trackRevisions>
    </reviewItem>
    <reviewItem>
      <errorID>d83456c2-a246-4dd2-975e-26607e7e23fb</errorID>
      <errorWord>驻村</errorWord>
      <group>L1_Sensitive</group>
      <groupName>敏感问题</groupName>
      <ability>L2_UserSensitive</ability>
      <abilityName>自定义敏感词</abilityName>
      <candidateList/>
      <explain>来自自定义敏感词库。</explain>
      <paraID>3D18891D</paraID>
      <start>0</start>
      <end>2</end>
      <status>unmodified</status>
      <modifiedWord/>
      <trackRevisions>false</trackRevisions>
    </reviewItem>
    <reviewItem>
      <errorID>4f7876dd-5931-47af-a069-eea53a2b119b</errorID>
      <errorWord>村两委</errorWord>
      <group>L1_Political</group>
      <groupName>政治性问题</groupName>
      <ability>L2_Keyword</ability>
      <abilityName>固定表述</abilityName>
      <candidateList>
        <item>村“两委”</item>
      </candidateList>
      <explain>注意检查当前固定表述标点是否使用规范。</explain>
      <paraID> C56941C</paraID>
      <start>0</start>
      <end>5</end>
      <status>modified</status>
      <modifiedWord>村“两委”</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0a7445-d4aa-4ceb-8092-b8a05d9e7f6e}">
  <ds:schemaRefs/>
</ds:datastoreItem>
</file>

<file path=docProps/app.xml><?xml version="1.0" encoding="utf-8"?>
<Properties xmlns="http://schemas.openxmlformats.org/officeDocument/2006/extended-properties" xmlns:vt="http://schemas.openxmlformats.org/officeDocument/2006/docPropsVTypes">
  <Template>Normal.dotm</Template>
  <Pages>23</Pages>
  <Words>7996</Words>
  <Characters>9058</Characters>
  <Lines>0</Lines>
  <Paragraphs>0</Paragraphs>
  <TotalTime>30</TotalTime>
  <ScaleCrop>false</ScaleCrop>
  <LinksUpToDate>false</LinksUpToDate>
  <CharactersWithSpaces>9072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2025-11-07T09:03:08Z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