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F9DBF8">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2588A24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5D95A9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B25FD6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B699AF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F6A513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裕民县红十字会2024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43ABAFC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18B6668A">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70EC5B6C">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88335D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222020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58AFC70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5205BB4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478FC0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46F167C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257297C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23FAE0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414D2D6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76040FC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1AB1647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21392F9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5F7A559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BB58B3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57F93D3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76188E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5096F9C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17C328F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6F35D1B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10D2CE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3B1903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2A4FE4F1">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78C7F9D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B3275A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6B267F4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530E9E0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3AAC478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6D02B7E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5B83475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9FD38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2B137A8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6A81BC1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60DC550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FA4ABCC">
      <w:r>
        <w:br w:type="page"/>
      </w:r>
    </w:p>
    <w:p w14:paraId="4CB039E4">
      <w:pPr>
        <w:spacing w:line="640" w:lineRule="exact"/>
        <w:jc w:val="center"/>
        <w:outlineLvl w:val="1"/>
      </w:pPr>
      <w:r>
        <w:rPr>
          <w:rFonts w:ascii="黑体" w:hAnsi="黑体" w:eastAsia="黑体"/>
          <w:sz w:val="32"/>
        </w:rPr>
        <w:t>第一部分 单位概况</w:t>
      </w:r>
    </w:p>
    <w:p w14:paraId="0F518A49">
      <w:pPr>
        <w:spacing w:line="640" w:lineRule="exact"/>
        <w:ind w:firstLine="640"/>
        <w:jc w:val="both"/>
        <w:outlineLvl w:val="2"/>
      </w:pPr>
      <w:r>
        <w:rPr>
          <w:rFonts w:ascii="黑体" w:hAnsi="黑体" w:eastAsia="黑体"/>
          <w:sz w:val="32"/>
        </w:rPr>
        <w:t>一、主要职能</w:t>
      </w:r>
    </w:p>
    <w:p w14:paraId="08DD6156">
      <w:pPr>
        <w:spacing w:line="580" w:lineRule="exact"/>
        <w:ind w:firstLine="640"/>
        <w:jc w:val="both"/>
      </w:pPr>
      <w:r>
        <w:rPr>
          <w:rFonts w:ascii="仿宋_GB2312" w:hAnsi="仿宋_GB2312" w:eastAsia="仿宋_GB2312"/>
          <w:sz w:val="32"/>
        </w:rPr>
        <w:t>（1）宣传贯彻执行《中华人民共和国红十字会法》。</w:t>
      </w:r>
    </w:p>
    <w:p w14:paraId="51B4B262">
      <w:pPr>
        <w:spacing w:line="580" w:lineRule="exact"/>
        <w:ind w:firstLine="640"/>
        <w:jc w:val="both"/>
      </w:pPr>
      <w:r>
        <w:rPr>
          <w:rFonts w:ascii="仿宋_GB2312" w:hAnsi="仿宋_GB2312" w:eastAsia="仿宋_GB2312"/>
          <w:sz w:val="32"/>
        </w:rPr>
        <w:t>（2）开展救灾的准备工作；在自然灾害和突发事件中，对伤病人员和其他受害者进行救助。</w:t>
      </w:r>
    </w:p>
    <w:p w14:paraId="361DC1FA">
      <w:pPr>
        <w:spacing w:line="580" w:lineRule="exact"/>
        <w:ind w:firstLine="640"/>
        <w:jc w:val="both"/>
      </w:pPr>
      <w:r>
        <w:rPr>
          <w:rFonts w:ascii="仿宋_GB2312" w:hAnsi="仿宋_GB2312" w:eastAsia="仿宋_GB2312"/>
          <w:sz w:val="32"/>
        </w:rPr>
        <w:t>（3）进行初级保健的培训和卫生防疫及地方病治疗宣传，组织群众参与意外伤害和自然灾害的现场救护工作，战时参加军民伤员救护工作。</w:t>
      </w:r>
    </w:p>
    <w:p w14:paraId="1BE8E9B6">
      <w:pPr>
        <w:spacing w:line="580" w:lineRule="exact"/>
        <w:ind w:firstLine="640"/>
        <w:jc w:val="both"/>
      </w:pPr>
      <w:r>
        <w:rPr>
          <w:rFonts w:ascii="仿宋_GB2312" w:hAnsi="仿宋_GB2312" w:eastAsia="仿宋_GB2312"/>
          <w:sz w:val="32"/>
        </w:rPr>
        <w:t>（4）参与输血、献血工作，推动无偿献血。</w:t>
      </w:r>
    </w:p>
    <w:p w14:paraId="057E49E6">
      <w:pPr>
        <w:spacing w:line="580" w:lineRule="exact"/>
        <w:ind w:firstLine="640"/>
        <w:jc w:val="both"/>
      </w:pPr>
      <w:r>
        <w:rPr>
          <w:rFonts w:ascii="仿宋_GB2312" w:hAnsi="仿宋_GB2312" w:eastAsia="仿宋_GB2312"/>
          <w:sz w:val="32"/>
        </w:rPr>
        <w:t>（5）开展人道主义社会服务活动。</w:t>
      </w:r>
    </w:p>
    <w:p w14:paraId="1AF31792">
      <w:pPr>
        <w:spacing w:line="580" w:lineRule="exact"/>
        <w:ind w:firstLine="640"/>
        <w:jc w:val="both"/>
      </w:pPr>
      <w:r>
        <w:rPr>
          <w:rFonts w:ascii="仿宋_GB2312" w:hAnsi="仿宋_GB2312" w:eastAsia="仿宋_GB2312"/>
          <w:sz w:val="32"/>
        </w:rPr>
        <w:t>（6）依照红十字会的原则开展工作。</w:t>
      </w:r>
    </w:p>
    <w:p w14:paraId="1B6E1195">
      <w:pPr>
        <w:spacing w:line="580" w:lineRule="exact"/>
        <w:ind w:firstLine="640"/>
        <w:jc w:val="both"/>
        <w:rPr>
          <w:rFonts w:ascii="仿宋_GB2312" w:hAnsi="仿宋_GB2312" w:eastAsia="仿宋_GB2312"/>
          <w:sz w:val="32"/>
        </w:rPr>
      </w:pPr>
      <w:r>
        <w:rPr>
          <w:rFonts w:ascii="仿宋_GB2312" w:hAnsi="仿宋_GB2312" w:eastAsia="仿宋_GB2312"/>
          <w:sz w:val="32"/>
        </w:rPr>
        <w:t>（7）筹募善款，组织和团结社会各界力量、多渠道、多形式筹募慈善资金。筹募和管理符合慈善总会宗旨的创始资金、专项资金以及各类慈善资金；接收个人、法人及其他组织的捐赠；接收国际及港澳台地区民间组织和个人的捐赠。</w:t>
      </w:r>
    </w:p>
    <w:p w14:paraId="735EA46A">
      <w:pPr>
        <w:spacing w:line="580" w:lineRule="exact"/>
        <w:ind w:firstLine="640"/>
        <w:jc w:val="both"/>
      </w:pPr>
      <w:r>
        <w:rPr>
          <w:rFonts w:ascii="仿宋_GB2312" w:hAnsi="仿宋_GB2312" w:eastAsia="仿宋_GB2312"/>
          <w:sz w:val="32"/>
        </w:rPr>
        <w:t>（8）扶贫济困，组织各种社会救助活动，扶助弱势群体，包括助寡、助孤、助残、助医、助学等。</w:t>
      </w:r>
    </w:p>
    <w:p w14:paraId="664699BA">
      <w:pPr>
        <w:spacing w:line="580" w:lineRule="exact"/>
        <w:ind w:firstLine="640"/>
        <w:jc w:val="both"/>
      </w:pPr>
      <w:r>
        <w:rPr>
          <w:rFonts w:ascii="仿宋_GB2312" w:hAnsi="仿宋_GB2312" w:eastAsia="仿宋_GB2312"/>
          <w:sz w:val="32"/>
        </w:rPr>
        <w:t>（9）紧急救助。承担赈灾援助工作，接收、分配国内外通过慈善总会捐赠的资产，协助县委、县政府开展赈灾救济工作。</w:t>
      </w:r>
    </w:p>
    <w:p w14:paraId="39C1D2B3">
      <w:pPr>
        <w:spacing w:line="580" w:lineRule="exact"/>
        <w:ind w:firstLine="640"/>
        <w:jc w:val="both"/>
      </w:pPr>
      <w:r>
        <w:rPr>
          <w:rFonts w:ascii="仿宋_GB2312" w:hAnsi="仿宋_GB2312" w:eastAsia="仿宋_GB2312"/>
          <w:sz w:val="32"/>
        </w:rPr>
        <w:t>（10）公益援助，组织和支持热心社会慈善事业的单位和个人，对社会上的弱者、病者提供扶助和服务；承办县委、县政府委托的社会公益事业。</w:t>
      </w:r>
    </w:p>
    <w:p w14:paraId="453CABDA">
      <w:pPr>
        <w:spacing w:line="580" w:lineRule="exact"/>
        <w:ind w:firstLine="640"/>
        <w:jc w:val="both"/>
      </w:pPr>
      <w:r>
        <w:rPr>
          <w:rFonts w:ascii="仿宋_GB2312" w:hAnsi="仿宋_GB2312" w:eastAsia="仿宋_GB2312"/>
          <w:sz w:val="32"/>
        </w:rPr>
        <w:t>（11）对外合作与交流。开展同国内外及港、澳、台地区的慈善机构和有关部门、团体及个人的交流与合作，为在本县兴办慈善事业的各种机构和有关人士提供帮助和服务。</w:t>
      </w:r>
    </w:p>
    <w:p w14:paraId="79EA728D">
      <w:pPr>
        <w:spacing w:line="580" w:lineRule="exact"/>
        <w:ind w:firstLine="640"/>
        <w:jc w:val="both"/>
      </w:pPr>
      <w:r>
        <w:rPr>
          <w:rFonts w:ascii="仿宋_GB2312" w:hAnsi="仿宋_GB2312" w:eastAsia="仿宋_GB2312"/>
          <w:sz w:val="32"/>
        </w:rPr>
        <w:t>（12）协调和指导慈善团体工作，加强与各公益机构的联系与协作，促进地方慈善事业的发展。</w:t>
      </w:r>
    </w:p>
    <w:p w14:paraId="33816330">
      <w:pPr>
        <w:spacing w:line="580" w:lineRule="exact"/>
        <w:ind w:firstLine="640"/>
        <w:jc w:val="both"/>
      </w:pPr>
      <w:r>
        <w:rPr>
          <w:rFonts w:ascii="仿宋_GB2312" w:hAnsi="仿宋_GB2312" w:eastAsia="仿宋_GB2312"/>
          <w:sz w:val="32"/>
        </w:rPr>
        <w:t>（13）反映各界人士的意见、建议和要求，为县委、县政府制定有关慈善工作的方针、政策和</w:t>
      </w:r>
      <w:r>
        <w:rPr>
          <w:rFonts w:hint="eastAsia" w:ascii="仿宋_GB2312" w:hAnsi="仿宋_GB2312" w:eastAsia="仿宋_GB2312"/>
          <w:sz w:val="32"/>
          <w:lang w:eastAsia="zh-CN"/>
        </w:rPr>
        <w:t>法规</w:t>
      </w:r>
      <w:r>
        <w:rPr>
          <w:rFonts w:ascii="仿宋_GB2312" w:hAnsi="仿宋_GB2312" w:eastAsia="仿宋_GB2312"/>
          <w:sz w:val="32"/>
        </w:rPr>
        <w:t>提供咨询性意见。</w:t>
      </w:r>
    </w:p>
    <w:p w14:paraId="09A860C2">
      <w:pPr>
        <w:spacing w:line="580" w:lineRule="exact"/>
        <w:ind w:firstLine="640"/>
        <w:jc w:val="both"/>
      </w:pPr>
      <w:r>
        <w:rPr>
          <w:rFonts w:ascii="仿宋_GB2312" w:hAnsi="仿宋_GB2312" w:eastAsia="仿宋_GB2312"/>
          <w:sz w:val="32"/>
        </w:rPr>
        <w:t>（14）承办县委、县政府、上级业务部门交办的其他工作。</w:t>
      </w:r>
    </w:p>
    <w:p w14:paraId="02222DA2">
      <w:pPr>
        <w:spacing w:line="640" w:lineRule="exact"/>
        <w:ind w:firstLine="640"/>
        <w:jc w:val="both"/>
        <w:outlineLvl w:val="2"/>
      </w:pPr>
      <w:r>
        <w:rPr>
          <w:rFonts w:ascii="黑体" w:hAnsi="黑体" w:eastAsia="黑体"/>
          <w:sz w:val="32"/>
        </w:rPr>
        <w:t>二、机构设置及人员情况</w:t>
      </w:r>
    </w:p>
    <w:p w14:paraId="12FF2A5E">
      <w:pPr>
        <w:spacing w:line="580" w:lineRule="exact"/>
        <w:ind w:firstLine="640"/>
        <w:jc w:val="both"/>
      </w:pPr>
      <w:r>
        <w:rPr>
          <w:rFonts w:ascii="仿宋_GB2312" w:hAnsi="仿宋_GB2312" w:eastAsia="仿宋_GB2312"/>
          <w:sz w:val="32"/>
        </w:rPr>
        <w:t>裕民县红十字会2024年度，实有人数3人，其中：在职人员3人，增加0人；离休人员0人，增加0人；退休人员0人,增加0人。</w:t>
      </w:r>
    </w:p>
    <w:p w14:paraId="4B802700">
      <w:pPr>
        <w:spacing w:line="580" w:lineRule="exact"/>
        <w:ind w:firstLine="640"/>
        <w:jc w:val="both"/>
      </w:pPr>
      <w:r>
        <w:rPr>
          <w:rFonts w:ascii="仿宋_GB2312" w:hAnsi="仿宋_GB2312" w:eastAsia="仿宋_GB2312"/>
          <w:sz w:val="32"/>
        </w:rPr>
        <w:t>裕民县红十字会无下属预算单位，下设</w:t>
      </w:r>
      <w:r>
        <w:rPr>
          <w:rFonts w:hint="eastAsia" w:ascii="仿宋_GB2312" w:hAnsi="仿宋_GB2312" w:eastAsia="仿宋_GB2312"/>
          <w:sz w:val="32"/>
          <w:lang w:val="en-US" w:eastAsia="zh-CN"/>
        </w:rPr>
        <w:t>2</w:t>
      </w:r>
      <w:r>
        <w:rPr>
          <w:rFonts w:ascii="仿宋_GB2312" w:hAnsi="仿宋_GB2312" w:eastAsia="仿宋_GB2312"/>
          <w:sz w:val="32"/>
        </w:rPr>
        <w:t>个科室，分别是：</w:t>
      </w:r>
      <w:r>
        <w:rPr>
          <w:rFonts w:hint="eastAsia" w:ascii="仿宋_GB2312" w:hAnsi="仿宋_GB2312" w:eastAsia="仿宋_GB2312"/>
          <w:sz w:val="32"/>
          <w:lang w:val="en-US" w:eastAsia="zh-CN"/>
        </w:rPr>
        <w:t>办公室、财务室</w:t>
      </w:r>
      <w:r>
        <w:rPr>
          <w:rFonts w:ascii="仿宋_GB2312" w:hAnsi="仿宋_GB2312" w:eastAsia="仿宋_GB2312"/>
          <w:sz w:val="32"/>
        </w:rPr>
        <w:t>。</w:t>
      </w:r>
    </w:p>
    <w:p w14:paraId="69E3C781">
      <w:r>
        <w:br w:type="page"/>
      </w:r>
    </w:p>
    <w:p w14:paraId="32A4ED22">
      <w:pPr>
        <w:spacing w:line="240" w:lineRule="auto"/>
        <w:jc w:val="center"/>
        <w:outlineLvl w:val="1"/>
      </w:pPr>
      <w:r>
        <w:rPr>
          <w:rFonts w:ascii="黑体" w:hAnsi="黑体" w:eastAsia="黑体"/>
          <w:sz w:val="32"/>
        </w:rPr>
        <w:t>第二部分 部门决算情况说明</w:t>
      </w:r>
    </w:p>
    <w:p w14:paraId="7DE40004">
      <w:pPr>
        <w:spacing w:line="640" w:lineRule="exact"/>
        <w:ind w:firstLine="640"/>
        <w:jc w:val="both"/>
        <w:outlineLvl w:val="2"/>
      </w:pPr>
      <w:r>
        <w:rPr>
          <w:rFonts w:ascii="黑体" w:hAnsi="黑体" w:eastAsia="黑体"/>
          <w:sz w:val="32"/>
        </w:rPr>
        <w:t>一、收入支出决算总体情况说明</w:t>
      </w:r>
    </w:p>
    <w:p w14:paraId="63763F29">
      <w:pPr>
        <w:spacing w:line="580" w:lineRule="exact"/>
        <w:ind w:firstLine="640"/>
        <w:jc w:val="both"/>
      </w:pPr>
      <w:r>
        <w:rPr>
          <w:rFonts w:ascii="仿宋_GB2312" w:hAnsi="仿宋_GB2312" w:eastAsia="仿宋_GB2312"/>
          <w:b/>
          <w:sz w:val="32"/>
        </w:rPr>
        <w:t>2024年度收入总计64.19万元，</w:t>
      </w:r>
      <w:r>
        <w:rPr>
          <w:rFonts w:ascii="仿宋_GB2312" w:hAnsi="仿宋_GB2312" w:eastAsia="仿宋_GB2312"/>
          <w:b w:val="0"/>
          <w:sz w:val="32"/>
        </w:rPr>
        <w:t>其中：本年收入合计58.29万元，使用非财政拨款结余（含专用结余）0.00万元，年初结转和结余5.91万元。</w:t>
      </w:r>
    </w:p>
    <w:p w14:paraId="4216ACCE">
      <w:pPr>
        <w:spacing w:line="580" w:lineRule="exact"/>
        <w:ind w:firstLine="640"/>
        <w:jc w:val="both"/>
      </w:pPr>
      <w:r>
        <w:rPr>
          <w:rFonts w:ascii="仿宋_GB2312" w:hAnsi="仿宋_GB2312" w:eastAsia="仿宋_GB2312"/>
          <w:b/>
          <w:sz w:val="32"/>
        </w:rPr>
        <w:t>2024年度支出总计64.19万元，</w:t>
      </w:r>
      <w:r>
        <w:rPr>
          <w:rFonts w:ascii="仿宋_GB2312" w:hAnsi="仿宋_GB2312" w:eastAsia="仿宋_GB2312"/>
          <w:b w:val="0"/>
          <w:sz w:val="32"/>
        </w:rPr>
        <w:t>其中：本年支出合计63.04万元，结余分配0.00万元，年末结转和结余1.16万元。</w:t>
      </w:r>
    </w:p>
    <w:p w14:paraId="06A09929">
      <w:pPr>
        <w:spacing w:line="580" w:lineRule="exact"/>
        <w:ind w:firstLine="640"/>
        <w:jc w:val="both"/>
        <w:rPr>
          <w:w w:val="96"/>
        </w:rPr>
      </w:pPr>
      <w:r>
        <w:rPr>
          <w:rFonts w:ascii="仿宋_GB2312" w:hAnsi="仿宋_GB2312" w:eastAsia="仿宋_GB2312"/>
          <w:b w:val="0"/>
          <w:sz w:val="32"/>
        </w:rPr>
        <w:t>收入支出总体与上年相比，减少22.95万元，下降26.34%，</w:t>
      </w:r>
      <w:r>
        <w:rPr>
          <w:rFonts w:ascii="仿宋_GB2312" w:hAnsi="仿宋_GB2312" w:eastAsia="仿宋_GB2312"/>
          <w:b w:val="0"/>
          <w:w w:val="96"/>
          <w:sz w:val="32"/>
        </w:rPr>
        <w:t>主要原因是：本年</w:t>
      </w:r>
      <w:r>
        <w:rPr>
          <w:rFonts w:hint="eastAsia" w:ascii="仿宋_GB2312" w:hAnsi="仿宋_GB2312" w:eastAsia="仿宋_GB2312"/>
          <w:b w:val="0"/>
          <w:w w:val="96"/>
          <w:sz w:val="32"/>
          <w:lang w:val="en-US" w:eastAsia="zh-CN"/>
        </w:rPr>
        <w:t>减少</w:t>
      </w:r>
      <w:r>
        <w:rPr>
          <w:rFonts w:ascii="仿宋_GB2312" w:hAnsi="仿宋_GB2312" w:eastAsia="仿宋_GB2312"/>
          <w:b w:val="0"/>
          <w:w w:val="96"/>
          <w:sz w:val="32"/>
        </w:rPr>
        <w:t>大病救助借款</w:t>
      </w:r>
      <w:r>
        <w:rPr>
          <w:rFonts w:hint="eastAsia" w:ascii="仿宋_GB2312" w:hAnsi="仿宋_GB2312" w:eastAsia="仿宋_GB2312"/>
          <w:b w:val="0"/>
          <w:w w:val="96"/>
          <w:sz w:val="32"/>
          <w:lang w:val="en-US" w:eastAsia="zh-CN"/>
        </w:rPr>
        <w:t>结转资金，经费较上年减少</w:t>
      </w:r>
      <w:r>
        <w:rPr>
          <w:rFonts w:ascii="仿宋_GB2312" w:hAnsi="仿宋_GB2312" w:eastAsia="仿宋_GB2312"/>
          <w:b w:val="0"/>
          <w:w w:val="96"/>
          <w:sz w:val="32"/>
        </w:rPr>
        <w:t>。</w:t>
      </w:r>
    </w:p>
    <w:p w14:paraId="47C9254F">
      <w:pPr>
        <w:spacing w:line="640" w:lineRule="exact"/>
        <w:ind w:firstLine="640"/>
        <w:jc w:val="both"/>
        <w:outlineLvl w:val="2"/>
      </w:pPr>
      <w:r>
        <w:rPr>
          <w:rFonts w:ascii="黑体" w:hAnsi="黑体" w:eastAsia="黑体"/>
          <w:sz w:val="32"/>
        </w:rPr>
        <w:t>二、收入决算情况说明</w:t>
      </w:r>
    </w:p>
    <w:p w14:paraId="470DE5AE">
      <w:pPr>
        <w:spacing w:line="580" w:lineRule="exact"/>
        <w:ind w:firstLine="640"/>
        <w:jc w:val="both"/>
      </w:pPr>
      <w:r>
        <w:rPr>
          <w:rFonts w:ascii="仿宋_GB2312" w:hAnsi="仿宋_GB2312" w:eastAsia="仿宋_GB2312"/>
          <w:b/>
          <w:sz w:val="32"/>
        </w:rPr>
        <w:t>本年收入58.29万元，</w:t>
      </w:r>
      <w:r>
        <w:rPr>
          <w:rFonts w:ascii="仿宋_GB2312" w:hAnsi="仿宋_GB2312" w:eastAsia="仿宋_GB2312"/>
          <w:b w:val="0"/>
          <w:sz w:val="32"/>
        </w:rPr>
        <w:t>其中：财政拨款收入56.51万元，占96.95%；上级补助收入0.00万元，占0.00%；事业收入0.00万元，占0.00%；经营收入0.00万元，占0.00%；附属单位上缴收入0.00万元，占0.00%；其他收入1.77万元，占3.04%。</w:t>
      </w:r>
    </w:p>
    <w:p w14:paraId="75095C0B">
      <w:pPr>
        <w:spacing w:line="640" w:lineRule="exact"/>
        <w:ind w:firstLine="640"/>
        <w:jc w:val="both"/>
        <w:outlineLvl w:val="2"/>
      </w:pPr>
      <w:r>
        <w:rPr>
          <w:rFonts w:ascii="黑体" w:hAnsi="黑体" w:eastAsia="黑体"/>
          <w:sz w:val="32"/>
        </w:rPr>
        <w:t>三、支出决算情况说明</w:t>
      </w:r>
    </w:p>
    <w:p w14:paraId="580236FE">
      <w:pPr>
        <w:spacing w:line="580" w:lineRule="exact"/>
        <w:ind w:firstLine="640"/>
        <w:jc w:val="both"/>
      </w:pPr>
      <w:r>
        <w:rPr>
          <w:rFonts w:ascii="仿宋_GB2312" w:hAnsi="仿宋_GB2312" w:eastAsia="仿宋_GB2312"/>
          <w:b/>
          <w:sz w:val="32"/>
        </w:rPr>
        <w:t>本年支出63.04万元，</w:t>
      </w:r>
      <w:r>
        <w:rPr>
          <w:rFonts w:ascii="仿宋_GB2312" w:hAnsi="仿宋_GB2312" w:eastAsia="仿宋_GB2312"/>
          <w:b w:val="0"/>
          <w:sz w:val="32"/>
        </w:rPr>
        <w:t>其中：基本支出63.04万元，占100.00%；项目支出0.00万元，占0.00%；上缴上级支出0.00万元，占0.00%；经营支出0.00万元，占0.00%；对附属单位补助支出0.00万元，占0.00%。</w:t>
      </w:r>
    </w:p>
    <w:p w14:paraId="640D8CB1">
      <w:pPr>
        <w:spacing w:line="640" w:lineRule="exact"/>
        <w:ind w:firstLine="640"/>
        <w:jc w:val="both"/>
        <w:outlineLvl w:val="2"/>
      </w:pPr>
      <w:r>
        <w:rPr>
          <w:rFonts w:ascii="黑体" w:hAnsi="黑体" w:eastAsia="黑体"/>
          <w:sz w:val="32"/>
        </w:rPr>
        <w:t>四、财政拨款收入支出决算总体情况说明</w:t>
      </w:r>
    </w:p>
    <w:p w14:paraId="1D61BD3E">
      <w:pPr>
        <w:spacing w:line="580" w:lineRule="exact"/>
        <w:ind w:firstLine="640"/>
        <w:jc w:val="both"/>
      </w:pPr>
      <w:r>
        <w:rPr>
          <w:rFonts w:ascii="仿宋_GB2312" w:hAnsi="仿宋_GB2312" w:eastAsia="仿宋_GB2312"/>
          <w:b/>
          <w:sz w:val="32"/>
        </w:rPr>
        <w:t>2024年度财政拨款收入总计56.51万元，</w:t>
      </w:r>
      <w:r>
        <w:rPr>
          <w:rFonts w:ascii="仿宋_GB2312" w:hAnsi="仿宋_GB2312" w:eastAsia="仿宋_GB2312"/>
          <w:b w:val="0"/>
          <w:sz w:val="32"/>
        </w:rPr>
        <w:t>其中：年初财政拨款结转和结余0.00万元，本年财政拨款收入56.51万元。</w:t>
      </w:r>
      <w:r>
        <w:rPr>
          <w:rFonts w:ascii="仿宋_GB2312" w:hAnsi="仿宋_GB2312" w:eastAsia="仿宋_GB2312"/>
          <w:b/>
          <w:sz w:val="32"/>
        </w:rPr>
        <w:t>财政拨款支出总计56.51万元，</w:t>
      </w:r>
      <w:r>
        <w:rPr>
          <w:rFonts w:ascii="仿宋_GB2312" w:hAnsi="仿宋_GB2312" w:eastAsia="仿宋_GB2312"/>
          <w:b w:val="0"/>
          <w:sz w:val="32"/>
        </w:rPr>
        <w:t>其中：年末财政拨款结转和结余0.00万元，本年财政拨款支出56.51万元。</w:t>
      </w:r>
    </w:p>
    <w:p w14:paraId="716C2B7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减少24.72万元，下降30.43%，主要原因是：</w:t>
      </w:r>
      <w:r>
        <w:rPr>
          <w:rFonts w:ascii="仿宋_GB2312" w:hAnsi="仿宋_GB2312" w:eastAsia="仿宋_GB2312"/>
          <w:b w:val="0"/>
          <w:w w:val="96"/>
          <w:sz w:val="32"/>
        </w:rPr>
        <w:t>本年</w:t>
      </w:r>
      <w:r>
        <w:rPr>
          <w:rFonts w:hint="eastAsia" w:ascii="仿宋_GB2312" w:hAnsi="仿宋_GB2312" w:eastAsia="仿宋_GB2312"/>
          <w:b w:val="0"/>
          <w:w w:val="96"/>
          <w:sz w:val="32"/>
          <w:lang w:val="en-US" w:eastAsia="zh-CN"/>
        </w:rPr>
        <w:t>减少</w:t>
      </w:r>
      <w:r>
        <w:rPr>
          <w:rFonts w:ascii="仿宋_GB2312" w:hAnsi="仿宋_GB2312" w:eastAsia="仿宋_GB2312"/>
          <w:b w:val="0"/>
          <w:w w:val="96"/>
          <w:sz w:val="32"/>
        </w:rPr>
        <w:t>大病救助借款</w:t>
      </w:r>
      <w:r>
        <w:rPr>
          <w:rFonts w:hint="eastAsia" w:ascii="仿宋_GB2312" w:hAnsi="仿宋_GB2312" w:eastAsia="仿宋_GB2312"/>
          <w:b w:val="0"/>
          <w:w w:val="96"/>
          <w:sz w:val="32"/>
          <w:lang w:val="en-US" w:eastAsia="zh-CN"/>
        </w:rPr>
        <w:t>结转资金，经费较上年减少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年初预算数56.47万元，决算数56.51万元，预决算差异率0.07%，主要原因是：年中追加人员工资、社保、公积金基数调增部分资金，导致预决算存在差异。</w:t>
      </w:r>
    </w:p>
    <w:p w14:paraId="7FF14901">
      <w:pPr>
        <w:spacing w:line="640" w:lineRule="exact"/>
        <w:ind w:firstLine="640"/>
        <w:jc w:val="both"/>
        <w:outlineLvl w:val="2"/>
      </w:pPr>
      <w:r>
        <w:rPr>
          <w:rFonts w:ascii="黑体" w:hAnsi="黑体" w:eastAsia="黑体"/>
          <w:sz w:val="32"/>
        </w:rPr>
        <w:t>五、一般公共预算财政拨款支出决算情况说明</w:t>
      </w:r>
    </w:p>
    <w:p w14:paraId="48221D62">
      <w:pPr>
        <w:spacing w:line="640" w:lineRule="exact"/>
        <w:ind w:firstLine="640"/>
        <w:jc w:val="both"/>
        <w:outlineLvl w:val="3"/>
      </w:pPr>
      <w:r>
        <w:rPr>
          <w:rFonts w:ascii="楷体_GB2312" w:hAnsi="楷体_GB2312" w:eastAsia="楷体_GB2312"/>
          <w:b/>
          <w:sz w:val="32"/>
        </w:rPr>
        <w:t>（一）一般公共预算财政拨款支出决算总体情况</w:t>
      </w:r>
    </w:p>
    <w:p w14:paraId="2954793C">
      <w:pPr>
        <w:spacing w:line="580" w:lineRule="exact"/>
        <w:ind w:firstLine="640"/>
        <w:jc w:val="both"/>
      </w:pPr>
      <w:r>
        <w:rPr>
          <w:rFonts w:ascii="仿宋_GB2312" w:hAnsi="仿宋_GB2312" w:eastAsia="仿宋_GB2312"/>
          <w:b/>
          <w:sz w:val="32"/>
        </w:rPr>
        <w:t>2024年度一般公共预算财政拨款支出56.51万元，</w:t>
      </w:r>
      <w:r>
        <w:rPr>
          <w:rFonts w:ascii="仿宋_GB2312" w:hAnsi="仿宋_GB2312" w:eastAsia="仿宋_GB2312"/>
          <w:b w:val="0"/>
          <w:sz w:val="32"/>
        </w:rPr>
        <w:t>占本年支出合计的89.64%。</w:t>
      </w:r>
      <w:r>
        <w:rPr>
          <w:rFonts w:ascii="仿宋_GB2312" w:hAnsi="仿宋_GB2312" w:eastAsia="仿宋_GB2312"/>
          <w:b/>
          <w:sz w:val="32"/>
        </w:rPr>
        <w:t>与上年相比，</w:t>
      </w:r>
      <w:r>
        <w:rPr>
          <w:rFonts w:ascii="仿宋_GB2312" w:hAnsi="仿宋_GB2312" w:eastAsia="仿宋_GB2312"/>
          <w:b w:val="0"/>
          <w:sz w:val="32"/>
        </w:rPr>
        <w:t>增加5.28万元，增长10.31%，主要原因是：本年在职人员工资调增，社保、公积金基数调增，人员经费增加。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年初预算数56.47万元，决算数56.51万元，预决算差异率0.07%，主要原因是：年中追加人员工资、社保、公积金基数调增部分资金，导致预决算存在差异。</w:t>
      </w:r>
    </w:p>
    <w:p w14:paraId="5D6DD127">
      <w:pPr>
        <w:spacing w:line="640" w:lineRule="exact"/>
        <w:ind w:firstLine="640"/>
        <w:jc w:val="both"/>
        <w:outlineLvl w:val="3"/>
      </w:pPr>
      <w:r>
        <w:rPr>
          <w:rFonts w:ascii="楷体_GB2312" w:hAnsi="楷体_GB2312" w:eastAsia="楷体_GB2312"/>
          <w:b/>
          <w:sz w:val="32"/>
        </w:rPr>
        <w:t>（二）一般公共预算财政拨款支出决算结构情况</w:t>
      </w:r>
    </w:p>
    <w:p w14:paraId="001815DF">
      <w:pPr>
        <w:spacing w:line="580" w:lineRule="exact"/>
        <w:ind w:firstLine="640"/>
        <w:jc w:val="both"/>
      </w:pPr>
      <w:r>
        <w:rPr>
          <w:rFonts w:ascii="仿宋_GB2312" w:hAnsi="仿宋_GB2312" w:eastAsia="仿宋_GB2312"/>
          <w:b w:val="0"/>
          <w:sz w:val="32"/>
        </w:rPr>
        <w:t>1.社会保障和就业支出(类)48.97万元,占86.66%。</w:t>
      </w:r>
    </w:p>
    <w:p w14:paraId="6588F648">
      <w:pPr>
        <w:spacing w:line="580" w:lineRule="exact"/>
        <w:ind w:firstLine="640"/>
        <w:jc w:val="both"/>
      </w:pPr>
      <w:r>
        <w:rPr>
          <w:rFonts w:ascii="仿宋_GB2312" w:hAnsi="仿宋_GB2312" w:eastAsia="仿宋_GB2312"/>
          <w:b w:val="0"/>
          <w:sz w:val="32"/>
        </w:rPr>
        <w:t>2.卫生健康支出(类)3.30万元,占5.84%。</w:t>
      </w:r>
    </w:p>
    <w:p w14:paraId="135CAD88">
      <w:pPr>
        <w:spacing w:line="580" w:lineRule="exact"/>
        <w:ind w:firstLine="640"/>
        <w:jc w:val="both"/>
      </w:pPr>
      <w:r>
        <w:rPr>
          <w:rFonts w:ascii="仿宋_GB2312" w:hAnsi="仿宋_GB2312" w:eastAsia="仿宋_GB2312"/>
          <w:b w:val="0"/>
          <w:sz w:val="32"/>
        </w:rPr>
        <w:t>3.住房保障支出(类)4.23万元,占7.49%。</w:t>
      </w:r>
    </w:p>
    <w:p w14:paraId="67C0F540">
      <w:pPr>
        <w:spacing w:line="640" w:lineRule="exact"/>
        <w:ind w:firstLine="640"/>
        <w:jc w:val="both"/>
        <w:outlineLvl w:val="3"/>
      </w:pPr>
      <w:r>
        <w:rPr>
          <w:rFonts w:ascii="楷体_GB2312" w:hAnsi="楷体_GB2312" w:eastAsia="楷体_GB2312"/>
          <w:b/>
          <w:sz w:val="32"/>
        </w:rPr>
        <w:t>（三）一般公共预算财政拨款支出决算具体情况</w:t>
      </w:r>
    </w:p>
    <w:p w14:paraId="054C4217">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5.41万元，比上年决算增加0.56万元，增长11.55%,主要原因是：本年在职人员工资基数调增，养老缴费基数上涨，相应支出增加。</w:t>
      </w:r>
    </w:p>
    <w:p w14:paraId="4D3B5758">
      <w:pPr>
        <w:spacing w:line="580" w:lineRule="exact"/>
        <w:ind w:firstLine="640"/>
        <w:jc w:val="both"/>
      </w:pPr>
      <w:r>
        <w:rPr>
          <w:rFonts w:ascii="仿宋_GB2312" w:hAnsi="仿宋_GB2312" w:eastAsia="仿宋_GB2312"/>
          <w:b w:val="0"/>
          <w:sz w:val="32"/>
        </w:rPr>
        <w:t>2.社会保障和就业支出(类)红十字事业(款)行政运行(项):支出决算数为43.56万元，比上年决算增加4.19万元，增长10.64%,主要原因是：本年在职人员工资调增，导致相关人员经费较上年有所增加。</w:t>
      </w:r>
    </w:p>
    <w:p w14:paraId="28AB7014">
      <w:pPr>
        <w:spacing w:line="580" w:lineRule="exact"/>
        <w:ind w:firstLine="640"/>
        <w:jc w:val="both"/>
      </w:pPr>
      <w:r>
        <w:rPr>
          <w:rFonts w:ascii="仿宋_GB2312" w:hAnsi="仿宋_GB2312" w:eastAsia="仿宋_GB2312"/>
          <w:b w:val="0"/>
          <w:sz w:val="32"/>
        </w:rPr>
        <w:t>3.卫生健康支出(类)行政事业单位医疗(款)行政单位医疗(项):支出决算数为2.22万元，比上年决算增加0.06万元，增长2.78%,主要原因是：本年在职人员工资基数调增，医疗缴费基数上涨，相应支出增加。</w:t>
      </w:r>
    </w:p>
    <w:p w14:paraId="63D1BA6B">
      <w:pPr>
        <w:spacing w:line="580" w:lineRule="exact"/>
        <w:ind w:firstLine="640"/>
        <w:jc w:val="both"/>
      </w:pPr>
      <w:r>
        <w:rPr>
          <w:rFonts w:ascii="仿宋_GB2312" w:hAnsi="仿宋_GB2312" w:eastAsia="仿宋_GB2312"/>
          <w:b w:val="0"/>
          <w:sz w:val="32"/>
        </w:rPr>
        <w:t>4.卫生健康支出(类)行政事业单位医疗(款)公务员医疗补助(项):支出决算数为1.08万元，比上年决算增加0.03万元，增长2.86%,主要原因是：本年在职人员工资基数调增，医疗缴费基数上涨，公务员医疗补助支出增加。</w:t>
      </w:r>
    </w:p>
    <w:p w14:paraId="05AAC029">
      <w:pPr>
        <w:spacing w:line="580" w:lineRule="exact"/>
        <w:ind w:firstLine="640"/>
        <w:jc w:val="both"/>
      </w:pPr>
      <w:r>
        <w:rPr>
          <w:rFonts w:ascii="仿宋_GB2312" w:hAnsi="仿宋_GB2312" w:eastAsia="仿宋_GB2312"/>
          <w:b w:val="0"/>
          <w:sz w:val="32"/>
        </w:rPr>
        <w:t>5.住房保障支出(类)住房改革支出(款)住房公积金(项):支出决算数为4.23万元，比上年决算增加0.43万元，增长11.32%,主要原因是：本年在职人员工资基数调增，公积金缴费基数上涨，相应支出增加。</w:t>
      </w:r>
    </w:p>
    <w:p w14:paraId="6539FCF8">
      <w:pPr>
        <w:spacing w:line="640" w:lineRule="exact"/>
        <w:ind w:firstLine="640"/>
        <w:jc w:val="both"/>
        <w:outlineLvl w:val="2"/>
      </w:pPr>
      <w:r>
        <w:rPr>
          <w:rFonts w:ascii="黑体" w:hAnsi="黑体" w:eastAsia="黑体"/>
          <w:sz w:val="32"/>
        </w:rPr>
        <w:t>六、一般公共预算财政拨款基本支出决算情况说明</w:t>
      </w:r>
    </w:p>
    <w:p w14:paraId="3FA885C4">
      <w:pPr>
        <w:spacing w:line="580" w:lineRule="exact"/>
        <w:ind w:firstLine="640"/>
        <w:jc w:val="both"/>
      </w:pPr>
      <w:r>
        <w:rPr>
          <w:rFonts w:ascii="仿宋_GB2312" w:hAnsi="仿宋_GB2312" w:eastAsia="仿宋_GB2312"/>
          <w:b w:val="0"/>
          <w:sz w:val="32"/>
        </w:rPr>
        <w:t>2024年度一般公共预算财政拨款基本支出56.51万元，其中：</w:t>
      </w:r>
      <w:r>
        <w:rPr>
          <w:rFonts w:ascii="仿宋_GB2312" w:hAnsi="仿宋_GB2312" w:eastAsia="仿宋_GB2312"/>
          <w:b/>
          <w:sz w:val="32"/>
        </w:rPr>
        <w:t>人员经费53.45万元，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w:t>
      </w:r>
    </w:p>
    <w:p w14:paraId="3F3E2F18">
      <w:pPr>
        <w:spacing w:line="580" w:lineRule="exact"/>
        <w:ind w:firstLine="640"/>
        <w:jc w:val="both"/>
      </w:pPr>
      <w:r>
        <w:rPr>
          <w:rFonts w:ascii="仿宋_GB2312" w:hAnsi="仿宋_GB2312" w:eastAsia="仿宋_GB2312"/>
          <w:b/>
          <w:sz w:val="32"/>
        </w:rPr>
        <w:t>公用经费3.06万元，</w:t>
      </w:r>
      <w:r>
        <w:rPr>
          <w:rFonts w:ascii="仿宋_GB2312" w:hAnsi="仿宋_GB2312" w:eastAsia="仿宋_GB2312"/>
          <w:b w:val="0"/>
          <w:sz w:val="32"/>
        </w:rPr>
        <w:t>包括：办公费、邮电费、取暖费、差旅费、工会经费。</w:t>
      </w:r>
    </w:p>
    <w:p w14:paraId="3496C339">
      <w:pPr>
        <w:spacing w:line="640" w:lineRule="exact"/>
        <w:ind w:firstLine="640"/>
        <w:jc w:val="both"/>
        <w:outlineLvl w:val="2"/>
      </w:pPr>
      <w:r>
        <w:rPr>
          <w:rFonts w:ascii="黑体" w:hAnsi="黑体" w:eastAsia="黑体"/>
          <w:sz w:val="32"/>
        </w:rPr>
        <w:t>七、政府性基金预算财政拨款收入支出决算情况说明</w:t>
      </w:r>
    </w:p>
    <w:p w14:paraId="1F0699A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CE7D215">
      <w:pPr>
        <w:spacing w:line="640" w:lineRule="exact"/>
        <w:ind w:firstLine="640"/>
        <w:jc w:val="both"/>
        <w:outlineLvl w:val="2"/>
      </w:pPr>
      <w:r>
        <w:rPr>
          <w:rFonts w:ascii="黑体" w:hAnsi="黑体" w:eastAsia="黑体"/>
          <w:sz w:val="32"/>
        </w:rPr>
        <w:t>八、国有资本经营预算财政拨款收入支出决算情况说明</w:t>
      </w:r>
    </w:p>
    <w:p w14:paraId="0D1B96C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ABCC914">
      <w:pPr>
        <w:spacing w:line="640" w:lineRule="exact"/>
        <w:ind w:firstLine="640"/>
        <w:jc w:val="both"/>
        <w:outlineLvl w:val="2"/>
      </w:pPr>
      <w:r>
        <w:rPr>
          <w:rFonts w:ascii="黑体" w:hAnsi="黑体" w:eastAsia="黑体"/>
          <w:sz w:val="32"/>
        </w:rPr>
        <w:t>九、财政拨款“三公”经费支出决算情况说明</w:t>
      </w:r>
    </w:p>
    <w:p w14:paraId="2505F47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C3224D3">
      <w:pPr>
        <w:spacing w:line="580" w:lineRule="exact"/>
        <w:ind w:firstLine="640"/>
        <w:jc w:val="both"/>
      </w:pPr>
      <w:r>
        <w:rPr>
          <w:rFonts w:ascii="仿宋_GB2312" w:hAnsi="仿宋_GB2312" w:eastAsia="仿宋_GB2312"/>
          <w:b/>
          <w:sz w:val="32"/>
        </w:rPr>
        <w:t>具体情况如下：</w:t>
      </w:r>
    </w:p>
    <w:p w14:paraId="30F130A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3BF3A8D">
      <w:pPr>
        <w:spacing w:line="580" w:lineRule="exact"/>
        <w:ind w:firstLine="640"/>
        <w:jc w:val="both"/>
        <w:rPr>
          <w:w w:val="96"/>
        </w:rPr>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w:t>
      </w:r>
      <w:r>
        <w:rPr>
          <w:rFonts w:ascii="仿宋_GB2312" w:hAnsi="仿宋_GB2312" w:eastAsia="仿宋_GB2312"/>
          <w:b w:val="0"/>
          <w:w w:val="96"/>
          <w:sz w:val="32"/>
        </w:rPr>
        <w:t>车辆0辆，与公务用车保有量差异原因是：本单位无固定资产车辆。</w:t>
      </w:r>
    </w:p>
    <w:p w14:paraId="2D93B9B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01A397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81889B5">
      <w:pPr>
        <w:spacing w:line="640" w:lineRule="exact"/>
        <w:ind w:firstLine="640"/>
        <w:jc w:val="both"/>
        <w:outlineLvl w:val="2"/>
      </w:pPr>
      <w:r>
        <w:rPr>
          <w:rFonts w:ascii="黑体" w:hAnsi="黑体" w:eastAsia="黑体"/>
          <w:sz w:val="32"/>
        </w:rPr>
        <w:t>十、其他重要事项的情况说明</w:t>
      </w:r>
    </w:p>
    <w:p w14:paraId="5555223A">
      <w:pPr>
        <w:spacing w:line="640" w:lineRule="exact"/>
        <w:ind w:firstLine="640"/>
        <w:jc w:val="both"/>
        <w:outlineLvl w:val="3"/>
      </w:pPr>
      <w:r>
        <w:rPr>
          <w:rFonts w:ascii="楷体_GB2312" w:hAnsi="楷体_GB2312" w:eastAsia="楷体_GB2312"/>
          <w:b/>
          <w:sz w:val="32"/>
        </w:rPr>
        <w:t>（一）机关运行经费及公用经费支出情况</w:t>
      </w:r>
    </w:p>
    <w:p w14:paraId="4B9353C2">
      <w:pPr>
        <w:spacing w:line="580" w:lineRule="exact"/>
        <w:ind w:firstLine="640"/>
        <w:jc w:val="both"/>
      </w:pPr>
      <w:r>
        <w:rPr>
          <w:rFonts w:ascii="仿宋_GB2312" w:hAnsi="仿宋_GB2312" w:eastAsia="仿宋_GB2312"/>
          <w:b w:val="0"/>
          <w:sz w:val="32"/>
        </w:rPr>
        <w:t>2024年度裕民县红十字会（行政单位和参照公务员法管理事业单位）机关运行经费支出3.06万元，比上年增加0.19万元，增长6.62%，主要原因是：本年增加办公经费。</w:t>
      </w:r>
    </w:p>
    <w:p w14:paraId="5449D26A">
      <w:pPr>
        <w:spacing w:line="640" w:lineRule="exact"/>
        <w:ind w:firstLine="640"/>
        <w:jc w:val="both"/>
        <w:outlineLvl w:val="3"/>
      </w:pPr>
      <w:r>
        <w:rPr>
          <w:rFonts w:ascii="楷体_GB2312" w:hAnsi="楷体_GB2312" w:eastAsia="楷体_GB2312"/>
          <w:b/>
          <w:sz w:val="32"/>
        </w:rPr>
        <w:t>（二）政府采购情况</w:t>
      </w:r>
    </w:p>
    <w:p w14:paraId="14CAB622">
      <w:pPr>
        <w:spacing w:line="580" w:lineRule="exact"/>
        <w:ind w:firstLine="640"/>
        <w:jc w:val="both"/>
      </w:pPr>
      <w:r>
        <w:rPr>
          <w:rFonts w:ascii="仿宋_GB2312" w:hAnsi="仿宋_GB2312" w:eastAsia="仿宋_GB2312"/>
          <w:b w:val="0"/>
          <w:sz w:val="32"/>
        </w:rPr>
        <w:t>2024年度政府采购支出总额0.09万元，其中：政府采购货物支出0.09万元、政府采购工程支出0.00万元、政府采购服务支出0.00万元。</w:t>
      </w:r>
    </w:p>
    <w:p w14:paraId="4525EF71">
      <w:pPr>
        <w:spacing w:line="580" w:lineRule="exact"/>
        <w:ind w:firstLine="640"/>
        <w:jc w:val="both"/>
      </w:pPr>
      <w:r>
        <w:rPr>
          <w:rFonts w:ascii="仿宋_GB2312" w:hAnsi="仿宋_GB2312" w:eastAsia="仿宋_GB2312"/>
          <w:b w:val="0"/>
          <w:sz w:val="32"/>
        </w:rPr>
        <w:t>授予中小企业合同金额0.09万元，占政府采购支出总额的100.00%，其中：授予小微企业合同金额0.09万元，占政府采购支出总额的100.00%。</w:t>
      </w:r>
    </w:p>
    <w:p w14:paraId="2284495D">
      <w:pPr>
        <w:spacing w:line="640" w:lineRule="exact"/>
        <w:ind w:firstLine="640"/>
        <w:jc w:val="both"/>
        <w:outlineLvl w:val="3"/>
      </w:pPr>
      <w:r>
        <w:rPr>
          <w:rFonts w:ascii="楷体_GB2312" w:hAnsi="楷体_GB2312" w:eastAsia="楷体_GB2312"/>
          <w:b/>
          <w:sz w:val="32"/>
        </w:rPr>
        <w:t>（三）国有资产占用情况说明</w:t>
      </w:r>
    </w:p>
    <w:p w14:paraId="4FD240B8">
      <w:pPr>
        <w:spacing w:line="580" w:lineRule="exact"/>
        <w:ind w:firstLine="640"/>
        <w:jc w:val="both"/>
      </w:pPr>
      <w:r>
        <w:rPr>
          <w:rFonts w:ascii="仿宋_GB2312" w:hAnsi="仿宋_GB2312" w:eastAsia="仿宋_GB2312"/>
          <w:b w:val="0"/>
          <w:sz w:val="32"/>
        </w:rPr>
        <w:t>截至2024年1</w:t>
      </w:r>
      <w:bookmarkStart w:id="0" w:name="_GoBack"/>
      <w:r>
        <w:rPr>
          <w:rFonts w:ascii="仿宋_GB2312" w:hAnsi="仿宋_GB2312" w:eastAsia="仿宋_GB2312"/>
          <w:b w:val="0"/>
          <w:sz w:val="32"/>
        </w:rPr>
        <w:t>2月31日</w:t>
      </w:r>
      <w:bookmarkEnd w:id="0"/>
      <w:r>
        <w:rPr>
          <w:rFonts w:ascii="仿宋_GB2312" w:hAnsi="仿宋_GB2312" w:eastAsia="仿宋_GB2312"/>
          <w:b w:val="0"/>
          <w:sz w:val="32"/>
        </w:rPr>
        <w:t>，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04908D4">
      <w:pPr>
        <w:spacing w:line="640" w:lineRule="exact"/>
        <w:ind w:firstLine="640"/>
        <w:jc w:val="both"/>
        <w:outlineLvl w:val="2"/>
      </w:pPr>
      <w:r>
        <w:rPr>
          <w:rFonts w:ascii="黑体" w:hAnsi="黑体" w:eastAsia="黑体"/>
          <w:sz w:val="32"/>
        </w:rPr>
        <w:t>十一、预算绩效的情况说明</w:t>
      </w:r>
    </w:p>
    <w:p w14:paraId="2A8A0BF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64.19万元，实际执行总额63.04万元；预算绩效评价项目0个，全年预算数0.00万元，全年执行数0.00万元。预算绩效管理取得的成效：本单位无预算绩效项目自评表。发现的问题及原因：本单位无预算绩效项目自评表。下一步改进措施：本单位无预算绩效项目自评表。具体附整体支出绩效自评表。</w:t>
      </w:r>
    </w:p>
    <w:p w14:paraId="70DC684B">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278"/>
        <w:gridCol w:w="932"/>
        <w:gridCol w:w="1381"/>
        <w:gridCol w:w="829"/>
        <w:gridCol w:w="1105"/>
        <w:gridCol w:w="1105"/>
      </w:tblGrid>
      <w:tr w14:paraId="0518AD47">
        <w:tblPrEx>
          <w:tblCellMar>
            <w:top w:w="0" w:type="dxa"/>
            <w:left w:w="108" w:type="dxa"/>
            <w:bottom w:w="0" w:type="dxa"/>
            <w:right w:w="108" w:type="dxa"/>
          </w:tblCellMar>
        </w:tblPrEx>
        <w:tc>
          <w:tcPr>
            <w:tcW w:w="8840" w:type="dxa"/>
            <w:gridSpan w:val="8"/>
            <w:vAlign w:val="center"/>
          </w:tcPr>
          <w:p w14:paraId="07E96C2E">
            <w:pPr>
              <w:jc w:val="center"/>
            </w:pPr>
            <w:r>
              <w:rPr>
                <w:rFonts w:ascii="宋体" w:hAnsi="宋体" w:eastAsia="宋体"/>
                <w:sz w:val="24"/>
              </w:rPr>
              <w:t>单位整体支出绩效自评表</w:t>
            </w:r>
          </w:p>
        </w:tc>
      </w:tr>
      <w:tr w14:paraId="2FBA5CE4">
        <w:tblPrEx>
          <w:tblCellMar>
            <w:top w:w="0" w:type="dxa"/>
            <w:left w:w="108" w:type="dxa"/>
            <w:bottom w:w="0" w:type="dxa"/>
            <w:right w:w="108" w:type="dxa"/>
          </w:tblCellMar>
        </w:tblPrEx>
        <w:tc>
          <w:tcPr>
            <w:tcW w:w="8840" w:type="dxa"/>
            <w:gridSpan w:val="8"/>
            <w:vAlign w:val="center"/>
          </w:tcPr>
          <w:p w14:paraId="754F8FAB">
            <w:pPr>
              <w:jc w:val="center"/>
            </w:pPr>
            <w:r>
              <w:rPr>
                <w:rFonts w:ascii="宋体" w:hAnsi="宋体" w:eastAsia="宋体"/>
                <w:sz w:val="24"/>
              </w:rPr>
              <w:t>（2024年度）</w:t>
            </w:r>
          </w:p>
        </w:tc>
      </w:tr>
      <w:tr w14:paraId="13DB05B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867B2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22E518">
            <w:pPr>
              <w:jc w:val="center"/>
            </w:pPr>
            <w:r>
              <w:rPr>
                <w:rFonts w:ascii="宋体" w:hAnsi="宋体" w:eastAsia="宋体"/>
                <w:sz w:val="16"/>
              </w:rPr>
              <w:t>裕民县红十字会</w:t>
            </w:r>
          </w:p>
        </w:tc>
      </w:tr>
      <w:tr w14:paraId="17CBACE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40AF7">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466B4">
            <w:pPr>
              <w:jc w:val="center"/>
            </w:pPr>
            <w:r>
              <w:rPr>
                <w:rFonts w:ascii="宋体" w:hAnsi="宋体" w:eastAsia="宋体"/>
                <w:sz w:val="16"/>
              </w:rPr>
              <w:t>资金来源</w:t>
            </w:r>
          </w:p>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4345EA5E">
            <w:pPr>
              <w:jc w:val="center"/>
            </w:pPr>
            <w:r>
              <w:rPr>
                <w:rFonts w:ascii="宋体" w:hAnsi="宋体" w:eastAsia="宋体"/>
                <w:sz w:val="16"/>
              </w:rPr>
              <w:t>年初预算数</w:t>
            </w:r>
          </w:p>
        </w:tc>
        <w:tc>
          <w:tcPr>
            <w:tcW w:w="932" w:type="dxa"/>
            <w:tcBorders>
              <w:top w:val="single" w:color="auto" w:sz="10" w:space="0"/>
              <w:left w:val="single" w:color="auto" w:sz="10" w:space="0"/>
              <w:bottom w:val="single" w:color="auto" w:sz="10" w:space="0"/>
              <w:right w:val="single" w:color="auto" w:sz="10" w:space="0"/>
              <w:insideV w:val="single" w:sz="10" w:space="0"/>
            </w:tcBorders>
            <w:vAlign w:val="center"/>
          </w:tcPr>
          <w:p w14:paraId="631DC327">
            <w:pPr>
              <w:jc w:val="center"/>
            </w:pPr>
            <w:r>
              <w:rPr>
                <w:rFonts w:ascii="宋体" w:hAnsi="宋体" w:eastAsia="宋体"/>
                <w:sz w:val="16"/>
              </w:rPr>
              <w:t>全年预算数</w:t>
            </w:r>
          </w:p>
        </w:tc>
        <w:tc>
          <w:tcPr>
            <w:tcW w:w="1381" w:type="dxa"/>
            <w:tcBorders>
              <w:top w:val="single" w:color="auto" w:sz="10" w:space="0"/>
              <w:left w:val="single" w:color="auto" w:sz="10" w:space="0"/>
              <w:bottom w:val="single" w:color="auto" w:sz="10" w:space="0"/>
              <w:right w:val="single" w:color="auto" w:sz="10" w:space="0"/>
              <w:insideV w:val="single" w:sz="10" w:space="0"/>
            </w:tcBorders>
            <w:vAlign w:val="center"/>
          </w:tcPr>
          <w:p w14:paraId="193AF668">
            <w:pPr>
              <w:jc w:val="center"/>
            </w:pPr>
            <w:r>
              <w:rPr>
                <w:rFonts w:ascii="宋体" w:hAnsi="宋体" w:eastAsia="宋体"/>
                <w:sz w:val="16"/>
              </w:rPr>
              <w:t>全年执行数</w:t>
            </w:r>
          </w:p>
        </w:tc>
        <w:tc>
          <w:tcPr>
            <w:tcW w:w="829" w:type="dxa"/>
            <w:tcBorders>
              <w:top w:val="single" w:color="auto" w:sz="10" w:space="0"/>
              <w:left w:val="single" w:color="auto" w:sz="10" w:space="0"/>
              <w:bottom w:val="single" w:color="auto" w:sz="10" w:space="0"/>
              <w:right w:val="single" w:color="auto" w:sz="10" w:space="0"/>
              <w:insideV w:val="single" w:sz="10" w:space="0"/>
            </w:tcBorders>
            <w:vAlign w:val="center"/>
          </w:tcPr>
          <w:p w14:paraId="5D5634C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CB0A6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B0EA82">
            <w:pPr>
              <w:jc w:val="center"/>
            </w:pPr>
            <w:r>
              <w:rPr>
                <w:rFonts w:ascii="宋体" w:hAnsi="宋体" w:eastAsia="宋体"/>
                <w:sz w:val="16"/>
              </w:rPr>
              <w:t>得分</w:t>
            </w:r>
          </w:p>
        </w:tc>
      </w:tr>
      <w:tr w14:paraId="62DC639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66B8C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2D12BD">
            <w:pPr>
              <w:jc w:val="center"/>
            </w:pPr>
            <w:r>
              <w:rPr>
                <w:rFonts w:ascii="宋体" w:hAnsi="宋体" w:eastAsia="宋体"/>
                <w:sz w:val="16"/>
              </w:rPr>
              <w:t>年度总资金</w:t>
            </w:r>
          </w:p>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75FDE124">
            <w:pPr>
              <w:jc w:val="center"/>
            </w:pPr>
            <w:r>
              <w:rPr>
                <w:rFonts w:ascii="宋体" w:hAnsi="宋体" w:eastAsia="宋体"/>
                <w:sz w:val="16"/>
              </w:rPr>
              <w:t>56.47</w:t>
            </w:r>
          </w:p>
        </w:tc>
        <w:tc>
          <w:tcPr>
            <w:tcW w:w="932" w:type="dxa"/>
            <w:tcBorders>
              <w:top w:val="single" w:color="auto" w:sz="10" w:space="0"/>
              <w:left w:val="single" w:color="auto" w:sz="10" w:space="0"/>
              <w:bottom w:val="single" w:color="auto" w:sz="10" w:space="0"/>
              <w:right w:val="single" w:color="auto" w:sz="10" w:space="0"/>
              <w:insideV w:val="single" w:sz="10" w:space="0"/>
            </w:tcBorders>
            <w:vAlign w:val="center"/>
          </w:tcPr>
          <w:p w14:paraId="6B92CA74">
            <w:pPr>
              <w:jc w:val="center"/>
            </w:pPr>
            <w:r>
              <w:rPr>
                <w:rFonts w:ascii="宋体" w:hAnsi="宋体" w:eastAsia="宋体"/>
                <w:sz w:val="16"/>
              </w:rPr>
              <w:t>64.19</w:t>
            </w:r>
          </w:p>
        </w:tc>
        <w:tc>
          <w:tcPr>
            <w:tcW w:w="1381" w:type="dxa"/>
            <w:tcBorders>
              <w:top w:val="single" w:color="auto" w:sz="10" w:space="0"/>
              <w:left w:val="single" w:color="auto" w:sz="10" w:space="0"/>
              <w:bottom w:val="single" w:color="auto" w:sz="10" w:space="0"/>
              <w:right w:val="single" w:color="auto" w:sz="10" w:space="0"/>
              <w:insideV w:val="single" w:sz="10" w:space="0"/>
            </w:tcBorders>
            <w:vAlign w:val="center"/>
          </w:tcPr>
          <w:p w14:paraId="55DB53DA">
            <w:pPr>
              <w:jc w:val="center"/>
            </w:pPr>
            <w:r>
              <w:rPr>
                <w:rFonts w:ascii="宋体" w:hAnsi="宋体" w:eastAsia="宋体"/>
                <w:sz w:val="16"/>
              </w:rPr>
              <w:t>63.04</w:t>
            </w:r>
          </w:p>
        </w:tc>
        <w:tc>
          <w:tcPr>
            <w:tcW w:w="829" w:type="dxa"/>
            <w:tcBorders>
              <w:top w:val="single" w:color="auto" w:sz="10" w:space="0"/>
              <w:left w:val="single" w:color="auto" w:sz="10" w:space="0"/>
              <w:bottom w:val="single" w:color="auto" w:sz="10" w:space="0"/>
              <w:right w:val="single" w:color="auto" w:sz="10" w:space="0"/>
              <w:insideV w:val="single" w:sz="10" w:space="0"/>
            </w:tcBorders>
            <w:vAlign w:val="center"/>
          </w:tcPr>
          <w:p w14:paraId="09786A3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9EFFB1">
            <w:pPr>
              <w:jc w:val="center"/>
            </w:pPr>
            <w:r>
              <w:rPr>
                <w:rFonts w:ascii="宋体" w:hAnsi="宋体" w:eastAsia="宋体"/>
                <w:sz w:val="16"/>
              </w:rPr>
              <w:t>98.21%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D803B9">
            <w:pPr>
              <w:jc w:val="center"/>
            </w:pPr>
            <w:r>
              <w:rPr>
                <w:rFonts w:ascii="宋体" w:hAnsi="宋体" w:eastAsia="宋体"/>
                <w:sz w:val="16"/>
              </w:rPr>
              <w:t>9.8</w:t>
            </w:r>
          </w:p>
        </w:tc>
      </w:tr>
      <w:tr w14:paraId="7418C9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D8FB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B33298">
            <w:pPr>
              <w:jc w:val="center"/>
            </w:pPr>
            <w:r>
              <w:rPr>
                <w:rFonts w:ascii="宋体" w:hAnsi="宋体" w:eastAsia="宋体"/>
                <w:sz w:val="16"/>
              </w:rPr>
              <w:t>其中:上级安排资金：（万元）</w:t>
            </w:r>
          </w:p>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199F51FE">
            <w:pPr>
              <w:jc w:val="center"/>
            </w:pPr>
            <w:r>
              <w:rPr>
                <w:rFonts w:ascii="宋体" w:hAnsi="宋体" w:eastAsia="宋体"/>
                <w:sz w:val="16"/>
              </w:rPr>
              <w:t>0.00</w:t>
            </w:r>
          </w:p>
        </w:tc>
        <w:tc>
          <w:tcPr>
            <w:tcW w:w="932" w:type="dxa"/>
            <w:tcBorders>
              <w:top w:val="single" w:color="auto" w:sz="10" w:space="0"/>
              <w:left w:val="single" w:color="auto" w:sz="10" w:space="0"/>
              <w:bottom w:val="single" w:color="auto" w:sz="10" w:space="0"/>
              <w:right w:val="single" w:color="auto" w:sz="10" w:space="0"/>
              <w:insideV w:val="single" w:sz="10" w:space="0"/>
            </w:tcBorders>
            <w:vAlign w:val="center"/>
          </w:tcPr>
          <w:p w14:paraId="186EA73E">
            <w:pPr>
              <w:jc w:val="center"/>
            </w:pPr>
            <w:r>
              <w:rPr>
                <w:rFonts w:ascii="宋体" w:hAnsi="宋体" w:eastAsia="宋体"/>
                <w:sz w:val="16"/>
              </w:rPr>
              <w:t>0.00</w:t>
            </w:r>
          </w:p>
        </w:tc>
        <w:tc>
          <w:tcPr>
            <w:tcW w:w="1381" w:type="dxa"/>
            <w:tcBorders>
              <w:top w:val="single" w:color="auto" w:sz="10" w:space="0"/>
              <w:left w:val="single" w:color="auto" w:sz="10" w:space="0"/>
              <w:bottom w:val="single" w:color="auto" w:sz="10" w:space="0"/>
              <w:right w:val="single" w:color="auto" w:sz="10" w:space="0"/>
              <w:insideV w:val="single" w:sz="10" w:space="0"/>
            </w:tcBorders>
            <w:vAlign w:val="center"/>
          </w:tcPr>
          <w:p w14:paraId="07DC3B14">
            <w:pPr>
              <w:jc w:val="center"/>
            </w:pPr>
            <w:r>
              <w:rPr>
                <w:rFonts w:ascii="宋体" w:hAnsi="宋体" w:eastAsia="宋体"/>
                <w:sz w:val="16"/>
              </w:rPr>
              <w:t>0.00</w:t>
            </w:r>
          </w:p>
        </w:tc>
        <w:tc>
          <w:tcPr>
            <w:tcW w:w="829" w:type="dxa"/>
            <w:tcBorders>
              <w:top w:val="single" w:color="auto" w:sz="10" w:space="0"/>
              <w:left w:val="single" w:color="auto" w:sz="10" w:space="0"/>
              <w:bottom w:val="single" w:color="auto" w:sz="10" w:space="0"/>
              <w:right w:val="single" w:color="auto" w:sz="10" w:space="0"/>
              <w:insideV w:val="single" w:sz="10" w:space="0"/>
            </w:tcBorders>
            <w:vAlign w:val="center"/>
          </w:tcPr>
          <w:p w14:paraId="7C0EBDE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F361F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D947BD">
            <w:pPr>
              <w:jc w:val="center"/>
            </w:pPr>
            <w:r>
              <w:rPr>
                <w:rFonts w:ascii="宋体" w:hAnsi="宋体" w:eastAsia="宋体"/>
                <w:sz w:val="16"/>
              </w:rPr>
              <w:t>-</w:t>
            </w:r>
          </w:p>
        </w:tc>
      </w:tr>
      <w:tr w14:paraId="520D236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16162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64FAD8">
            <w:pPr>
              <w:jc w:val="center"/>
            </w:pPr>
            <w:r>
              <w:rPr>
                <w:rFonts w:ascii="宋体" w:hAnsi="宋体" w:eastAsia="宋体"/>
                <w:sz w:val="16"/>
              </w:rPr>
              <w:t>本级安排资金：（万元）</w:t>
            </w:r>
          </w:p>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53ACACB2">
            <w:pPr>
              <w:jc w:val="center"/>
            </w:pPr>
            <w:r>
              <w:rPr>
                <w:rFonts w:ascii="宋体" w:hAnsi="宋体" w:eastAsia="宋体"/>
                <w:sz w:val="16"/>
              </w:rPr>
              <w:t>56.47</w:t>
            </w:r>
          </w:p>
        </w:tc>
        <w:tc>
          <w:tcPr>
            <w:tcW w:w="932" w:type="dxa"/>
            <w:tcBorders>
              <w:top w:val="single" w:color="auto" w:sz="10" w:space="0"/>
              <w:left w:val="single" w:color="auto" w:sz="10" w:space="0"/>
              <w:bottom w:val="single" w:color="auto" w:sz="10" w:space="0"/>
              <w:right w:val="single" w:color="auto" w:sz="10" w:space="0"/>
              <w:insideV w:val="single" w:sz="10" w:space="0"/>
            </w:tcBorders>
            <w:vAlign w:val="center"/>
          </w:tcPr>
          <w:p w14:paraId="61F5A79E">
            <w:pPr>
              <w:jc w:val="center"/>
            </w:pPr>
            <w:r>
              <w:rPr>
                <w:rFonts w:ascii="宋体" w:hAnsi="宋体" w:eastAsia="宋体"/>
                <w:sz w:val="16"/>
              </w:rPr>
              <w:t>56.51</w:t>
            </w:r>
          </w:p>
        </w:tc>
        <w:tc>
          <w:tcPr>
            <w:tcW w:w="1381" w:type="dxa"/>
            <w:tcBorders>
              <w:top w:val="single" w:color="auto" w:sz="10" w:space="0"/>
              <w:left w:val="single" w:color="auto" w:sz="10" w:space="0"/>
              <w:bottom w:val="single" w:color="auto" w:sz="10" w:space="0"/>
              <w:right w:val="single" w:color="auto" w:sz="10" w:space="0"/>
              <w:insideV w:val="single" w:sz="10" w:space="0"/>
            </w:tcBorders>
            <w:vAlign w:val="center"/>
          </w:tcPr>
          <w:p w14:paraId="2B372189">
            <w:pPr>
              <w:jc w:val="center"/>
            </w:pPr>
            <w:r>
              <w:rPr>
                <w:rFonts w:ascii="宋体" w:hAnsi="宋体" w:eastAsia="宋体"/>
                <w:sz w:val="16"/>
              </w:rPr>
              <w:t>56.51</w:t>
            </w:r>
          </w:p>
        </w:tc>
        <w:tc>
          <w:tcPr>
            <w:tcW w:w="829" w:type="dxa"/>
            <w:tcBorders>
              <w:top w:val="single" w:color="auto" w:sz="10" w:space="0"/>
              <w:left w:val="single" w:color="auto" w:sz="10" w:space="0"/>
              <w:bottom w:val="single" w:color="auto" w:sz="10" w:space="0"/>
              <w:right w:val="single" w:color="auto" w:sz="10" w:space="0"/>
              <w:insideV w:val="single" w:sz="10" w:space="0"/>
            </w:tcBorders>
            <w:vAlign w:val="center"/>
          </w:tcPr>
          <w:p w14:paraId="0DBBADA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D68C6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74EE2">
            <w:pPr>
              <w:jc w:val="center"/>
            </w:pPr>
            <w:r>
              <w:rPr>
                <w:rFonts w:ascii="宋体" w:hAnsi="宋体" w:eastAsia="宋体"/>
                <w:sz w:val="16"/>
              </w:rPr>
              <w:t>-</w:t>
            </w:r>
          </w:p>
        </w:tc>
      </w:tr>
      <w:tr w14:paraId="39BA173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AE46D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78D99">
            <w:pPr>
              <w:jc w:val="center"/>
            </w:pPr>
            <w:r>
              <w:rPr>
                <w:rFonts w:ascii="宋体" w:hAnsi="宋体" w:eastAsia="宋体"/>
                <w:sz w:val="16"/>
              </w:rPr>
              <w:t>其他资金</w:t>
            </w:r>
          </w:p>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2549A9BA">
            <w:pPr>
              <w:jc w:val="center"/>
            </w:pPr>
            <w:r>
              <w:rPr>
                <w:rFonts w:ascii="宋体" w:hAnsi="宋体" w:eastAsia="宋体"/>
                <w:sz w:val="16"/>
              </w:rPr>
              <w:t>0.00</w:t>
            </w:r>
          </w:p>
        </w:tc>
        <w:tc>
          <w:tcPr>
            <w:tcW w:w="932" w:type="dxa"/>
            <w:tcBorders>
              <w:top w:val="single" w:color="auto" w:sz="10" w:space="0"/>
              <w:left w:val="single" w:color="auto" w:sz="10" w:space="0"/>
              <w:bottom w:val="single" w:color="auto" w:sz="10" w:space="0"/>
              <w:right w:val="single" w:color="auto" w:sz="10" w:space="0"/>
              <w:insideV w:val="single" w:sz="10" w:space="0"/>
            </w:tcBorders>
            <w:vAlign w:val="center"/>
          </w:tcPr>
          <w:p w14:paraId="1368643D">
            <w:pPr>
              <w:jc w:val="center"/>
            </w:pPr>
            <w:r>
              <w:rPr>
                <w:rFonts w:ascii="宋体" w:hAnsi="宋体" w:eastAsia="宋体"/>
                <w:sz w:val="16"/>
              </w:rPr>
              <w:t>7.68</w:t>
            </w:r>
          </w:p>
        </w:tc>
        <w:tc>
          <w:tcPr>
            <w:tcW w:w="1381" w:type="dxa"/>
            <w:tcBorders>
              <w:top w:val="single" w:color="auto" w:sz="10" w:space="0"/>
              <w:left w:val="single" w:color="auto" w:sz="10" w:space="0"/>
              <w:bottom w:val="single" w:color="auto" w:sz="10" w:space="0"/>
              <w:right w:val="single" w:color="auto" w:sz="10" w:space="0"/>
              <w:insideV w:val="single" w:sz="10" w:space="0"/>
            </w:tcBorders>
            <w:vAlign w:val="center"/>
          </w:tcPr>
          <w:p w14:paraId="0235E205">
            <w:pPr>
              <w:jc w:val="center"/>
            </w:pPr>
            <w:r>
              <w:rPr>
                <w:rFonts w:ascii="宋体" w:hAnsi="宋体" w:eastAsia="宋体"/>
                <w:sz w:val="16"/>
              </w:rPr>
              <w:t>6.53</w:t>
            </w:r>
          </w:p>
        </w:tc>
        <w:tc>
          <w:tcPr>
            <w:tcW w:w="829" w:type="dxa"/>
            <w:tcBorders>
              <w:top w:val="single" w:color="auto" w:sz="10" w:space="0"/>
              <w:left w:val="single" w:color="auto" w:sz="10" w:space="0"/>
              <w:bottom w:val="single" w:color="auto" w:sz="10" w:space="0"/>
              <w:right w:val="single" w:color="auto" w:sz="10" w:space="0"/>
              <w:insideV w:val="single" w:sz="10" w:space="0"/>
            </w:tcBorders>
            <w:vAlign w:val="center"/>
          </w:tcPr>
          <w:p w14:paraId="04209DE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7339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A456C8">
            <w:pPr>
              <w:jc w:val="center"/>
            </w:pPr>
            <w:r>
              <w:rPr>
                <w:rFonts w:ascii="宋体" w:hAnsi="宋体" w:eastAsia="宋体"/>
                <w:sz w:val="16"/>
              </w:rPr>
              <w:t>-</w:t>
            </w:r>
          </w:p>
        </w:tc>
      </w:tr>
      <w:tr w14:paraId="6CC4CDE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A64BD">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84E1A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DB21DFE">
            <w:pPr>
              <w:jc w:val="center"/>
            </w:pPr>
            <w:r>
              <w:rPr>
                <w:rFonts w:ascii="宋体" w:hAnsi="宋体" w:eastAsia="宋体"/>
                <w:sz w:val="16"/>
              </w:rPr>
              <w:t>实际完成情况</w:t>
            </w:r>
          </w:p>
        </w:tc>
      </w:tr>
      <w:tr w14:paraId="68397E3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5255D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3CD75A">
            <w:pPr>
              <w:jc w:val="both"/>
            </w:pPr>
            <w:r>
              <w:rPr>
                <w:rFonts w:ascii="宋体" w:hAnsi="宋体" w:eastAsia="宋体"/>
                <w:sz w:val="16"/>
              </w:rPr>
              <w:t>1、高质量做好应急救护工作</w:t>
            </w:r>
            <w:r>
              <w:rPr>
                <w:rFonts w:hint="eastAsia" w:ascii="宋体" w:hAnsi="宋体"/>
                <w:sz w:val="16"/>
                <w:lang w:eastAsia="zh-CN"/>
              </w:rPr>
              <w:t>。</w:t>
            </w:r>
            <w:r>
              <w:rPr>
                <w:rFonts w:ascii="宋体" w:hAnsi="宋体" w:eastAsia="宋体"/>
                <w:sz w:val="16"/>
              </w:rPr>
              <w:t>持续开展生命教育活动，打造红十字“救”在身边品牌。继续深入开展“关爱生命+就在身边”活动。选派力量参加自治区红十字会举办的师资培训班，壮大本地应急救护师资队伍力量；2、持续开展人道救助活动。结合帮困、助学、助医等民生和爱心人道救助活动；3、着力提升造血干细胞捐献知识普及率。持续推动“爱心相髓+生命教育”行动；4、进一步参与推动无偿献血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699675">
            <w:pPr>
              <w:jc w:val="both"/>
            </w:pPr>
            <w:r>
              <w:rPr>
                <w:rFonts w:ascii="宋体" w:hAnsi="宋体" w:eastAsia="宋体"/>
                <w:sz w:val="16"/>
              </w:rPr>
              <w:t>1.做好应急救护技能培训“七进”工作，开展培训5次、已完成应急救护持证培训355人；2.为大力弘扬“人道、博爱、</w:t>
            </w:r>
            <w:r>
              <w:rPr>
                <w:rFonts w:hint="eastAsia" w:ascii="宋体" w:hAnsi="宋体"/>
                <w:sz w:val="16"/>
                <w:lang w:eastAsia="zh-CN"/>
              </w:rPr>
              <w:t>奉献</w:t>
            </w:r>
            <w:r>
              <w:rPr>
                <w:rFonts w:ascii="宋体" w:hAnsi="宋体" w:eastAsia="宋体"/>
                <w:sz w:val="16"/>
              </w:rPr>
              <w:t>”红十字精神，切实关心和改善我县最易受损群体的生活境况，一年来共慰问困难家庭70户，折合资金38281元。救助因病因学因困家庭14户，47000元；3.认真组织开展无偿献血和造血干细胞采样工作。全县参与无偿献血160人、血量63700毫升，登记造血干细胞40人。</w:t>
            </w:r>
          </w:p>
        </w:tc>
      </w:tr>
      <w:tr w14:paraId="4D4614E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F720D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EDDE2">
            <w:pPr>
              <w:jc w:val="center"/>
            </w:pPr>
            <w:r>
              <w:rPr>
                <w:rFonts w:ascii="宋体" w:hAnsi="宋体" w:eastAsia="宋体"/>
                <w:sz w:val="16"/>
              </w:rPr>
              <w:t>二级指标</w:t>
            </w:r>
          </w:p>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3D69084E">
            <w:pPr>
              <w:jc w:val="center"/>
            </w:pPr>
            <w:r>
              <w:rPr>
                <w:rFonts w:ascii="宋体" w:hAnsi="宋体" w:eastAsia="宋体"/>
                <w:sz w:val="16"/>
              </w:rPr>
              <w:t>三级指标</w:t>
            </w:r>
          </w:p>
        </w:tc>
        <w:tc>
          <w:tcPr>
            <w:tcW w:w="932" w:type="dxa"/>
            <w:tcBorders>
              <w:top w:val="single" w:color="auto" w:sz="10" w:space="0"/>
              <w:left w:val="single" w:color="auto" w:sz="10" w:space="0"/>
              <w:bottom w:val="single" w:color="auto" w:sz="10" w:space="0"/>
              <w:right w:val="single" w:color="auto" w:sz="10" w:space="0"/>
              <w:insideV w:val="single" w:sz="10" w:space="0"/>
            </w:tcBorders>
            <w:vAlign w:val="center"/>
          </w:tcPr>
          <w:p w14:paraId="704F6137">
            <w:pPr>
              <w:jc w:val="center"/>
            </w:pPr>
            <w:r>
              <w:rPr>
                <w:rFonts w:ascii="宋体" w:hAnsi="宋体" w:eastAsia="宋体"/>
                <w:sz w:val="16"/>
              </w:rPr>
              <w:t>预期指标值</w:t>
            </w:r>
          </w:p>
        </w:tc>
        <w:tc>
          <w:tcPr>
            <w:tcW w:w="1381" w:type="dxa"/>
            <w:tcBorders>
              <w:top w:val="single" w:color="auto" w:sz="10" w:space="0"/>
              <w:left w:val="single" w:color="auto" w:sz="10" w:space="0"/>
              <w:bottom w:val="single" w:color="auto" w:sz="10" w:space="0"/>
              <w:right w:val="single" w:color="auto" w:sz="10" w:space="0"/>
              <w:insideV w:val="single" w:sz="10" w:space="0"/>
            </w:tcBorders>
            <w:vAlign w:val="center"/>
          </w:tcPr>
          <w:p w14:paraId="4247F78A">
            <w:pPr>
              <w:jc w:val="center"/>
            </w:pPr>
            <w:r>
              <w:rPr>
                <w:rFonts w:ascii="宋体" w:hAnsi="宋体" w:eastAsia="宋体"/>
                <w:sz w:val="16"/>
              </w:rPr>
              <w:t>指标值设定依据</w:t>
            </w:r>
          </w:p>
        </w:tc>
        <w:tc>
          <w:tcPr>
            <w:tcW w:w="829" w:type="dxa"/>
            <w:tcBorders>
              <w:top w:val="single" w:color="auto" w:sz="10" w:space="0"/>
              <w:left w:val="single" w:color="auto" w:sz="10" w:space="0"/>
              <w:bottom w:val="single" w:color="auto" w:sz="10" w:space="0"/>
              <w:right w:val="single" w:color="auto" w:sz="10" w:space="0"/>
              <w:insideV w:val="single" w:sz="10" w:space="0"/>
            </w:tcBorders>
            <w:vAlign w:val="center"/>
          </w:tcPr>
          <w:p w14:paraId="100596E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100A9">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BFF77D">
            <w:pPr>
              <w:jc w:val="center"/>
            </w:pPr>
            <w:r>
              <w:rPr>
                <w:rFonts w:ascii="宋体" w:hAnsi="宋体" w:eastAsia="宋体"/>
                <w:sz w:val="16"/>
              </w:rPr>
              <w:t>得分</w:t>
            </w:r>
          </w:p>
        </w:tc>
      </w:tr>
      <w:tr w14:paraId="68BF565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DEF9F6">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044AE">
            <w:pPr>
              <w:jc w:val="center"/>
            </w:pPr>
            <w:r>
              <w:rPr>
                <w:rFonts w:ascii="宋体" w:hAnsi="宋体" w:eastAsia="宋体"/>
                <w:sz w:val="16"/>
              </w:rPr>
              <w:t>数量指标</w:t>
            </w:r>
          </w:p>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1B8AF8A6">
            <w:pPr>
              <w:jc w:val="center"/>
            </w:pPr>
            <w:r>
              <w:rPr>
                <w:rFonts w:ascii="宋体" w:hAnsi="宋体" w:eastAsia="宋体"/>
                <w:sz w:val="16"/>
              </w:rPr>
              <w:t>在职在编人数</w:t>
            </w:r>
          </w:p>
        </w:tc>
        <w:tc>
          <w:tcPr>
            <w:tcW w:w="932" w:type="dxa"/>
            <w:tcBorders>
              <w:top w:val="single" w:color="auto" w:sz="10" w:space="0"/>
              <w:left w:val="single" w:color="auto" w:sz="10" w:space="0"/>
              <w:bottom w:val="single" w:color="auto" w:sz="10" w:space="0"/>
              <w:right w:val="single" w:color="auto" w:sz="10" w:space="0"/>
              <w:insideV w:val="single" w:sz="10" w:space="0"/>
            </w:tcBorders>
            <w:vAlign w:val="center"/>
          </w:tcPr>
          <w:p w14:paraId="14B8A3F6">
            <w:pPr>
              <w:jc w:val="center"/>
            </w:pPr>
            <w:r>
              <w:rPr>
                <w:rFonts w:ascii="宋体" w:hAnsi="宋体" w:eastAsia="宋体"/>
                <w:sz w:val="16"/>
              </w:rPr>
              <w:t>&gt;=3人</w:t>
            </w:r>
          </w:p>
        </w:tc>
        <w:tc>
          <w:tcPr>
            <w:tcW w:w="1381" w:type="dxa"/>
            <w:tcBorders>
              <w:top w:val="single" w:color="auto" w:sz="10" w:space="0"/>
              <w:left w:val="single" w:color="auto" w:sz="10" w:space="0"/>
              <w:bottom w:val="single" w:color="auto" w:sz="10" w:space="0"/>
              <w:right w:val="single" w:color="auto" w:sz="10" w:space="0"/>
              <w:insideV w:val="single" w:sz="10" w:space="0"/>
            </w:tcBorders>
            <w:vAlign w:val="center"/>
          </w:tcPr>
          <w:p w14:paraId="16031D10">
            <w:pPr>
              <w:jc w:val="center"/>
            </w:pPr>
            <w:r>
              <w:rPr>
                <w:rFonts w:ascii="宋体" w:hAnsi="宋体" w:eastAsia="宋体"/>
                <w:sz w:val="16"/>
              </w:rPr>
              <w:t>编办文件、2024年工作计划</w:t>
            </w:r>
          </w:p>
        </w:tc>
        <w:tc>
          <w:tcPr>
            <w:tcW w:w="829" w:type="dxa"/>
            <w:tcBorders>
              <w:top w:val="single" w:color="auto" w:sz="10" w:space="0"/>
              <w:left w:val="single" w:color="auto" w:sz="10" w:space="0"/>
              <w:bottom w:val="single" w:color="auto" w:sz="10" w:space="0"/>
              <w:right w:val="single" w:color="auto" w:sz="10" w:space="0"/>
              <w:insideV w:val="single" w:sz="10" w:space="0"/>
            </w:tcBorders>
            <w:vAlign w:val="center"/>
          </w:tcPr>
          <w:p w14:paraId="5F3743F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14AE2">
            <w:pPr>
              <w:jc w:val="center"/>
            </w:pPr>
            <w:r>
              <w:rPr>
                <w:rFonts w:ascii="宋体" w:hAnsi="宋体" w:eastAsia="宋体"/>
                <w:sz w:val="16"/>
              </w:rPr>
              <w: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AA137C">
            <w:pPr>
              <w:jc w:val="center"/>
            </w:pPr>
            <w:r>
              <w:rPr>
                <w:rFonts w:ascii="宋体" w:hAnsi="宋体" w:eastAsia="宋体"/>
                <w:sz w:val="16"/>
              </w:rPr>
              <w:t>15</w:t>
            </w:r>
          </w:p>
        </w:tc>
      </w:tr>
      <w:tr w14:paraId="6E2FE0B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A3666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B71AA0"/>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0378F912">
            <w:pPr>
              <w:jc w:val="center"/>
            </w:pPr>
            <w:r>
              <w:rPr>
                <w:rFonts w:ascii="宋体" w:hAnsi="宋体" w:eastAsia="宋体"/>
                <w:sz w:val="16"/>
              </w:rPr>
              <w:t>取暖费补助发放人数</w:t>
            </w:r>
          </w:p>
        </w:tc>
        <w:tc>
          <w:tcPr>
            <w:tcW w:w="932" w:type="dxa"/>
            <w:tcBorders>
              <w:top w:val="single" w:color="auto" w:sz="10" w:space="0"/>
              <w:left w:val="single" w:color="auto" w:sz="10" w:space="0"/>
              <w:bottom w:val="single" w:color="auto" w:sz="10" w:space="0"/>
              <w:right w:val="single" w:color="auto" w:sz="10" w:space="0"/>
              <w:insideV w:val="single" w:sz="10" w:space="0"/>
            </w:tcBorders>
            <w:vAlign w:val="center"/>
          </w:tcPr>
          <w:p w14:paraId="5942747C">
            <w:pPr>
              <w:jc w:val="center"/>
            </w:pPr>
            <w:r>
              <w:rPr>
                <w:rFonts w:ascii="宋体" w:hAnsi="宋体" w:eastAsia="宋体"/>
                <w:sz w:val="16"/>
              </w:rPr>
              <w:t>&gt;=3人</w:t>
            </w:r>
          </w:p>
        </w:tc>
        <w:tc>
          <w:tcPr>
            <w:tcW w:w="1381" w:type="dxa"/>
            <w:tcBorders>
              <w:top w:val="single" w:color="auto" w:sz="10" w:space="0"/>
              <w:left w:val="single" w:color="auto" w:sz="10" w:space="0"/>
              <w:bottom w:val="single" w:color="auto" w:sz="10" w:space="0"/>
              <w:right w:val="single" w:color="auto" w:sz="10" w:space="0"/>
              <w:insideV w:val="single" w:sz="10" w:space="0"/>
            </w:tcBorders>
            <w:vAlign w:val="center"/>
          </w:tcPr>
          <w:p w14:paraId="19FB76D1">
            <w:pPr>
              <w:jc w:val="center"/>
            </w:pPr>
            <w:r>
              <w:rPr>
                <w:rFonts w:ascii="宋体" w:hAnsi="宋体" w:eastAsia="宋体"/>
                <w:sz w:val="16"/>
              </w:rPr>
              <w:t>编办文件、2024年工作计划</w:t>
            </w:r>
          </w:p>
        </w:tc>
        <w:tc>
          <w:tcPr>
            <w:tcW w:w="829" w:type="dxa"/>
            <w:tcBorders>
              <w:top w:val="single" w:color="auto" w:sz="10" w:space="0"/>
              <w:left w:val="single" w:color="auto" w:sz="10" w:space="0"/>
              <w:bottom w:val="single" w:color="auto" w:sz="10" w:space="0"/>
              <w:right w:val="single" w:color="auto" w:sz="10" w:space="0"/>
              <w:insideV w:val="single" w:sz="10" w:space="0"/>
            </w:tcBorders>
            <w:vAlign w:val="center"/>
          </w:tcPr>
          <w:p w14:paraId="3B33837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5DB230">
            <w:pPr>
              <w:jc w:val="center"/>
            </w:pPr>
            <w:r>
              <w:rPr>
                <w:rFonts w:ascii="宋体" w:hAnsi="宋体" w:eastAsia="宋体"/>
                <w:sz w:val="16"/>
              </w:rPr>
              <w: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8A404B">
            <w:pPr>
              <w:jc w:val="center"/>
            </w:pPr>
            <w:r>
              <w:rPr>
                <w:rFonts w:ascii="宋体" w:hAnsi="宋体" w:eastAsia="宋体"/>
                <w:sz w:val="16"/>
              </w:rPr>
              <w:t>15</w:t>
            </w:r>
          </w:p>
        </w:tc>
      </w:tr>
      <w:tr w14:paraId="42A54EE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075F9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4A4950"/>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77CF4C58">
            <w:pPr>
              <w:jc w:val="center"/>
            </w:pPr>
            <w:r>
              <w:rPr>
                <w:rFonts w:ascii="宋体" w:hAnsi="宋体" w:eastAsia="宋体"/>
                <w:sz w:val="16"/>
              </w:rPr>
              <w:t>应急救护培训持证人数</w:t>
            </w:r>
          </w:p>
        </w:tc>
        <w:tc>
          <w:tcPr>
            <w:tcW w:w="932" w:type="dxa"/>
            <w:tcBorders>
              <w:top w:val="single" w:color="auto" w:sz="10" w:space="0"/>
              <w:left w:val="single" w:color="auto" w:sz="10" w:space="0"/>
              <w:bottom w:val="single" w:color="auto" w:sz="10" w:space="0"/>
              <w:right w:val="single" w:color="auto" w:sz="10" w:space="0"/>
              <w:insideV w:val="single" w:sz="10" w:space="0"/>
            </w:tcBorders>
            <w:vAlign w:val="center"/>
          </w:tcPr>
          <w:p w14:paraId="29BA1864">
            <w:pPr>
              <w:jc w:val="center"/>
            </w:pPr>
            <w:r>
              <w:rPr>
                <w:rFonts w:ascii="宋体" w:hAnsi="宋体" w:eastAsia="宋体"/>
                <w:sz w:val="16"/>
              </w:rPr>
              <w:t>&gt;=300人</w:t>
            </w:r>
          </w:p>
        </w:tc>
        <w:tc>
          <w:tcPr>
            <w:tcW w:w="1381" w:type="dxa"/>
            <w:tcBorders>
              <w:top w:val="single" w:color="auto" w:sz="10" w:space="0"/>
              <w:left w:val="single" w:color="auto" w:sz="10" w:space="0"/>
              <w:bottom w:val="single" w:color="auto" w:sz="10" w:space="0"/>
              <w:right w:val="single" w:color="auto" w:sz="10" w:space="0"/>
              <w:insideV w:val="single" w:sz="10" w:space="0"/>
            </w:tcBorders>
            <w:vAlign w:val="center"/>
          </w:tcPr>
          <w:p w14:paraId="6E7F64F8">
            <w:pPr>
              <w:jc w:val="center"/>
            </w:pPr>
            <w:r>
              <w:rPr>
                <w:rFonts w:ascii="宋体" w:hAnsi="宋体" w:eastAsia="宋体"/>
                <w:sz w:val="16"/>
              </w:rPr>
              <w:t>编办文件、2024年工作计划</w:t>
            </w:r>
          </w:p>
        </w:tc>
        <w:tc>
          <w:tcPr>
            <w:tcW w:w="829" w:type="dxa"/>
            <w:tcBorders>
              <w:top w:val="single" w:color="auto" w:sz="10" w:space="0"/>
              <w:left w:val="single" w:color="auto" w:sz="10" w:space="0"/>
              <w:bottom w:val="single" w:color="auto" w:sz="10" w:space="0"/>
              <w:right w:val="single" w:color="auto" w:sz="10" w:space="0"/>
              <w:insideV w:val="single" w:sz="10" w:space="0"/>
            </w:tcBorders>
            <w:vAlign w:val="center"/>
          </w:tcPr>
          <w:p w14:paraId="7B9BF87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BEDF0">
            <w:pPr>
              <w:jc w:val="center"/>
            </w:pPr>
            <w:r>
              <w:rPr>
                <w:rFonts w:ascii="宋体" w:hAnsi="宋体" w:eastAsia="宋体"/>
                <w:sz w:val="16"/>
              </w:rPr>
              <w:t>355人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70D70">
            <w:pPr>
              <w:jc w:val="center"/>
            </w:pPr>
            <w:r>
              <w:rPr>
                <w:rFonts w:ascii="宋体" w:hAnsi="宋体" w:eastAsia="宋体"/>
                <w:sz w:val="16"/>
              </w:rPr>
              <w:t>15</w:t>
            </w:r>
          </w:p>
        </w:tc>
      </w:tr>
      <w:tr w14:paraId="273E54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A76B1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AF15F9"/>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3121A9DE">
            <w:pPr>
              <w:jc w:val="center"/>
            </w:pPr>
            <w:r>
              <w:rPr>
                <w:rFonts w:ascii="宋体" w:hAnsi="宋体" w:eastAsia="宋体"/>
                <w:sz w:val="16"/>
              </w:rPr>
              <w:t>应急救护持证培训次数</w:t>
            </w:r>
          </w:p>
        </w:tc>
        <w:tc>
          <w:tcPr>
            <w:tcW w:w="932" w:type="dxa"/>
            <w:tcBorders>
              <w:top w:val="single" w:color="auto" w:sz="10" w:space="0"/>
              <w:left w:val="single" w:color="auto" w:sz="10" w:space="0"/>
              <w:bottom w:val="single" w:color="auto" w:sz="10" w:space="0"/>
              <w:right w:val="single" w:color="auto" w:sz="10" w:space="0"/>
              <w:insideV w:val="single" w:sz="10" w:space="0"/>
            </w:tcBorders>
            <w:vAlign w:val="center"/>
          </w:tcPr>
          <w:p w14:paraId="66F5FF74">
            <w:pPr>
              <w:jc w:val="center"/>
            </w:pPr>
            <w:r>
              <w:rPr>
                <w:rFonts w:ascii="宋体" w:hAnsi="宋体" w:eastAsia="宋体"/>
                <w:sz w:val="16"/>
              </w:rPr>
              <w:t>&gt;=3次</w:t>
            </w:r>
          </w:p>
        </w:tc>
        <w:tc>
          <w:tcPr>
            <w:tcW w:w="1381" w:type="dxa"/>
            <w:tcBorders>
              <w:top w:val="single" w:color="auto" w:sz="10" w:space="0"/>
              <w:left w:val="single" w:color="auto" w:sz="10" w:space="0"/>
              <w:bottom w:val="single" w:color="auto" w:sz="10" w:space="0"/>
              <w:right w:val="single" w:color="auto" w:sz="10" w:space="0"/>
              <w:insideV w:val="single" w:sz="10" w:space="0"/>
            </w:tcBorders>
            <w:vAlign w:val="center"/>
          </w:tcPr>
          <w:p w14:paraId="178879DB">
            <w:pPr>
              <w:jc w:val="center"/>
            </w:pPr>
            <w:r>
              <w:rPr>
                <w:rFonts w:ascii="宋体" w:hAnsi="宋体" w:eastAsia="宋体"/>
                <w:sz w:val="16"/>
              </w:rPr>
              <w:t>编办文件、2024年工作计划</w:t>
            </w:r>
          </w:p>
        </w:tc>
        <w:tc>
          <w:tcPr>
            <w:tcW w:w="829" w:type="dxa"/>
            <w:tcBorders>
              <w:top w:val="single" w:color="auto" w:sz="10" w:space="0"/>
              <w:left w:val="single" w:color="auto" w:sz="10" w:space="0"/>
              <w:bottom w:val="single" w:color="auto" w:sz="10" w:space="0"/>
              <w:right w:val="single" w:color="auto" w:sz="10" w:space="0"/>
              <w:insideV w:val="single" w:sz="10" w:space="0"/>
            </w:tcBorders>
            <w:vAlign w:val="center"/>
          </w:tcPr>
          <w:p w14:paraId="1E45FD0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F493F">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7907B">
            <w:pPr>
              <w:jc w:val="center"/>
            </w:pPr>
            <w:r>
              <w:rPr>
                <w:rFonts w:ascii="宋体" w:hAnsi="宋体" w:eastAsia="宋体"/>
                <w:sz w:val="16"/>
              </w:rPr>
              <w:t>15</w:t>
            </w:r>
          </w:p>
        </w:tc>
      </w:tr>
      <w:tr w14:paraId="6D8CD44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9DF05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2F5E28"/>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5C3B53CA">
            <w:pPr>
              <w:jc w:val="center"/>
            </w:pPr>
            <w:r>
              <w:rPr>
                <w:rFonts w:ascii="宋体" w:hAnsi="宋体" w:eastAsia="宋体"/>
                <w:sz w:val="16"/>
              </w:rPr>
              <w:t>慰问困难群众</w:t>
            </w:r>
          </w:p>
        </w:tc>
        <w:tc>
          <w:tcPr>
            <w:tcW w:w="932" w:type="dxa"/>
            <w:tcBorders>
              <w:top w:val="single" w:color="auto" w:sz="10" w:space="0"/>
              <w:left w:val="single" w:color="auto" w:sz="10" w:space="0"/>
              <w:bottom w:val="single" w:color="auto" w:sz="10" w:space="0"/>
              <w:right w:val="single" w:color="auto" w:sz="10" w:space="0"/>
              <w:insideV w:val="single" w:sz="10" w:space="0"/>
            </w:tcBorders>
            <w:vAlign w:val="center"/>
          </w:tcPr>
          <w:p w14:paraId="300BD0D2">
            <w:pPr>
              <w:jc w:val="center"/>
            </w:pPr>
            <w:r>
              <w:rPr>
                <w:rFonts w:ascii="宋体" w:hAnsi="宋体" w:eastAsia="宋体"/>
                <w:sz w:val="16"/>
              </w:rPr>
              <w:t>&gt;=60人</w:t>
            </w:r>
          </w:p>
        </w:tc>
        <w:tc>
          <w:tcPr>
            <w:tcW w:w="1381" w:type="dxa"/>
            <w:tcBorders>
              <w:top w:val="single" w:color="auto" w:sz="10" w:space="0"/>
              <w:left w:val="single" w:color="auto" w:sz="10" w:space="0"/>
              <w:bottom w:val="single" w:color="auto" w:sz="10" w:space="0"/>
              <w:right w:val="single" w:color="auto" w:sz="10" w:space="0"/>
              <w:insideV w:val="single" w:sz="10" w:space="0"/>
            </w:tcBorders>
            <w:vAlign w:val="center"/>
          </w:tcPr>
          <w:p w14:paraId="051F43C8">
            <w:pPr>
              <w:jc w:val="center"/>
            </w:pPr>
            <w:r>
              <w:rPr>
                <w:rFonts w:ascii="宋体" w:hAnsi="宋体" w:eastAsia="宋体"/>
                <w:sz w:val="16"/>
              </w:rPr>
              <w:t>编办文件、2024年工作计划</w:t>
            </w:r>
          </w:p>
        </w:tc>
        <w:tc>
          <w:tcPr>
            <w:tcW w:w="829" w:type="dxa"/>
            <w:tcBorders>
              <w:top w:val="single" w:color="auto" w:sz="10" w:space="0"/>
              <w:left w:val="single" w:color="auto" w:sz="10" w:space="0"/>
              <w:bottom w:val="single" w:color="auto" w:sz="10" w:space="0"/>
              <w:right w:val="single" w:color="auto" w:sz="10" w:space="0"/>
              <w:insideV w:val="single" w:sz="10" w:space="0"/>
            </w:tcBorders>
            <w:vAlign w:val="center"/>
          </w:tcPr>
          <w:p w14:paraId="7BCEF6CB">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9109C">
            <w:pPr>
              <w:jc w:val="center"/>
            </w:pPr>
            <w:r>
              <w:rPr>
                <w:rFonts w:ascii="宋体" w:hAnsi="宋体" w:eastAsia="宋体"/>
                <w:sz w:val="16"/>
              </w:rPr>
              <w:t>70人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C2303E">
            <w:pPr>
              <w:jc w:val="center"/>
            </w:pPr>
            <w:r>
              <w:rPr>
                <w:rFonts w:ascii="宋体" w:hAnsi="宋体" w:eastAsia="宋体"/>
                <w:sz w:val="16"/>
              </w:rPr>
              <w:t>15</w:t>
            </w:r>
          </w:p>
        </w:tc>
      </w:tr>
      <w:tr w14:paraId="307DB11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643FA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5C4F9D"/>
        </w:tc>
        <w:tc>
          <w:tcPr>
            <w:tcW w:w="1278" w:type="dxa"/>
            <w:tcBorders>
              <w:top w:val="single" w:color="auto" w:sz="10" w:space="0"/>
              <w:left w:val="single" w:color="auto" w:sz="10" w:space="0"/>
              <w:bottom w:val="single" w:color="auto" w:sz="10" w:space="0"/>
              <w:right w:val="single" w:color="auto" w:sz="10" w:space="0"/>
              <w:insideV w:val="single" w:sz="10" w:space="0"/>
            </w:tcBorders>
            <w:vAlign w:val="center"/>
          </w:tcPr>
          <w:p w14:paraId="5F4599C6">
            <w:pPr>
              <w:jc w:val="center"/>
            </w:pPr>
            <w:r>
              <w:rPr>
                <w:rFonts w:ascii="宋体" w:hAnsi="宋体" w:eastAsia="宋体"/>
                <w:sz w:val="16"/>
              </w:rPr>
              <w:t>造血干细胞志愿者登记人数</w:t>
            </w:r>
          </w:p>
        </w:tc>
        <w:tc>
          <w:tcPr>
            <w:tcW w:w="932" w:type="dxa"/>
            <w:tcBorders>
              <w:top w:val="single" w:color="auto" w:sz="10" w:space="0"/>
              <w:left w:val="single" w:color="auto" w:sz="10" w:space="0"/>
              <w:bottom w:val="single" w:color="auto" w:sz="10" w:space="0"/>
              <w:right w:val="single" w:color="auto" w:sz="10" w:space="0"/>
              <w:insideV w:val="single" w:sz="10" w:space="0"/>
            </w:tcBorders>
            <w:vAlign w:val="center"/>
          </w:tcPr>
          <w:p w14:paraId="6FFAAB90">
            <w:pPr>
              <w:jc w:val="center"/>
            </w:pPr>
            <w:r>
              <w:rPr>
                <w:rFonts w:ascii="宋体" w:hAnsi="宋体" w:eastAsia="宋体"/>
                <w:sz w:val="16"/>
              </w:rPr>
              <w:t>&gt;=30人</w:t>
            </w:r>
          </w:p>
        </w:tc>
        <w:tc>
          <w:tcPr>
            <w:tcW w:w="1381" w:type="dxa"/>
            <w:tcBorders>
              <w:top w:val="single" w:color="auto" w:sz="10" w:space="0"/>
              <w:left w:val="single" w:color="auto" w:sz="10" w:space="0"/>
              <w:bottom w:val="single" w:color="auto" w:sz="10" w:space="0"/>
              <w:right w:val="single" w:color="auto" w:sz="10" w:space="0"/>
              <w:insideV w:val="single" w:sz="10" w:space="0"/>
            </w:tcBorders>
            <w:vAlign w:val="center"/>
          </w:tcPr>
          <w:p w14:paraId="47617577">
            <w:pPr>
              <w:jc w:val="center"/>
            </w:pPr>
            <w:r>
              <w:rPr>
                <w:rFonts w:ascii="宋体" w:hAnsi="宋体" w:eastAsia="宋体"/>
                <w:sz w:val="16"/>
              </w:rPr>
              <w:t>编办文件、2024年工作计划</w:t>
            </w:r>
          </w:p>
        </w:tc>
        <w:tc>
          <w:tcPr>
            <w:tcW w:w="829" w:type="dxa"/>
            <w:tcBorders>
              <w:top w:val="single" w:color="auto" w:sz="10" w:space="0"/>
              <w:left w:val="single" w:color="auto" w:sz="10" w:space="0"/>
              <w:bottom w:val="single" w:color="auto" w:sz="10" w:space="0"/>
              <w:right w:val="single" w:color="auto" w:sz="10" w:space="0"/>
              <w:insideV w:val="single" w:sz="10" w:space="0"/>
            </w:tcBorders>
            <w:vAlign w:val="center"/>
          </w:tcPr>
          <w:p w14:paraId="283CCDA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B4BF85">
            <w:pPr>
              <w:jc w:val="center"/>
            </w:pPr>
            <w:r>
              <w:rPr>
                <w:rFonts w:ascii="宋体" w:hAnsi="宋体" w:eastAsia="宋体"/>
                <w:sz w:val="16"/>
              </w:rPr>
              <w:t>40人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E8D0E6">
            <w:pPr>
              <w:jc w:val="center"/>
            </w:pPr>
            <w:r>
              <w:rPr>
                <w:rFonts w:ascii="宋体" w:hAnsi="宋体" w:eastAsia="宋体"/>
                <w:sz w:val="16"/>
              </w:rPr>
              <w:t>15</w:t>
            </w:r>
          </w:p>
        </w:tc>
      </w:tr>
    </w:tbl>
    <w:p w14:paraId="1FC905E9">
      <w:r>
        <w:br w:type="page"/>
      </w:r>
    </w:p>
    <w:p w14:paraId="284505BF">
      <w:pPr>
        <w:spacing w:line="640" w:lineRule="exact"/>
        <w:ind w:firstLine="640"/>
        <w:jc w:val="both"/>
        <w:outlineLvl w:val="2"/>
      </w:pPr>
      <w:r>
        <w:rPr>
          <w:rFonts w:ascii="黑体" w:hAnsi="黑体" w:eastAsia="黑体"/>
          <w:sz w:val="32"/>
        </w:rPr>
        <w:t>十二、其他需说明的事项</w:t>
      </w:r>
    </w:p>
    <w:p w14:paraId="5759155E">
      <w:pPr>
        <w:spacing w:line="580" w:lineRule="exact"/>
        <w:ind w:firstLine="640"/>
        <w:jc w:val="both"/>
      </w:pPr>
      <w:r>
        <w:rPr>
          <w:rFonts w:ascii="仿宋_GB2312" w:hAnsi="仿宋_GB2312" w:eastAsia="仿宋_GB2312"/>
          <w:b w:val="0"/>
          <w:sz w:val="32"/>
        </w:rPr>
        <w:t>本单位无其他需说明的事项。</w:t>
      </w:r>
    </w:p>
    <w:p w14:paraId="4EA81C70">
      <w:r>
        <w:br w:type="page"/>
      </w:r>
    </w:p>
    <w:p w14:paraId="4BFC4EE0">
      <w:pPr>
        <w:spacing w:line="240" w:lineRule="auto"/>
        <w:jc w:val="center"/>
        <w:outlineLvl w:val="1"/>
      </w:pPr>
      <w:r>
        <w:rPr>
          <w:rFonts w:ascii="黑体" w:hAnsi="黑体" w:eastAsia="黑体"/>
          <w:sz w:val="32"/>
        </w:rPr>
        <w:t>第三部分 专业名词解释</w:t>
      </w:r>
    </w:p>
    <w:p w14:paraId="6F6AD93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B69F36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28824C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502408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A89D19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F6668E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1F44FB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5B30DF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A23111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03D883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009AB4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C0C139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C0DF3E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634AF8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3CFA210">
      <w:r>
        <w:br w:type="page"/>
      </w:r>
    </w:p>
    <w:p w14:paraId="4DC05A5C">
      <w:pPr>
        <w:spacing w:line="240" w:lineRule="auto"/>
        <w:jc w:val="center"/>
        <w:outlineLvl w:val="1"/>
      </w:pPr>
      <w:r>
        <w:rPr>
          <w:rFonts w:ascii="黑体" w:hAnsi="黑体" w:eastAsia="黑体"/>
          <w:sz w:val="32"/>
        </w:rPr>
        <w:t>第四部分 部门决算报表（见附表）</w:t>
      </w:r>
    </w:p>
    <w:p w14:paraId="5C8BC19F">
      <w:pPr>
        <w:spacing w:line="240" w:lineRule="auto"/>
        <w:ind w:firstLine="640"/>
        <w:jc w:val="both"/>
      </w:pPr>
      <w:r>
        <w:rPr>
          <w:rFonts w:ascii="仿宋_GB2312" w:hAnsi="仿宋_GB2312" w:eastAsia="仿宋_GB2312"/>
          <w:b w:val="0"/>
          <w:sz w:val="32"/>
        </w:rPr>
        <w:t>一、《收入支出决算总表》</w:t>
      </w:r>
    </w:p>
    <w:p w14:paraId="1F34FC4D">
      <w:pPr>
        <w:spacing w:line="240" w:lineRule="auto"/>
        <w:ind w:firstLine="640"/>
        <w:jc w:val="both"/>
      </w:pPr>
      <w:r>
        <w:rPr>
          <w:rFonts w:ascii="仿宋_GB2312" w:hAnsi="仿宋_GB2312" w:eastAsia="仿宋_GB2312"/>
          <w:b w:val="0"/>
          <w:sz w:val="32"/>
        </w:rPr>
        <w:t>二、《收入决算表》</w:t>
      </w:r>
    </w:p>
    <w:p w14:paraId="70AACAD0">
      <w:pPr>
        <w:spacing w:line="240" w:lineRule="auto"/>
        <w:ind w:firstLine="640"/>
        <w:jc w:val="both"/>
      </w:pPr>
      <w:r>
        <w:rPr>
          <w:rFonts w:ascii="仿宋_GB2312" w:hAnsi="仿宋_GB2312" w:eastAsia="仿宋_GB2312"/>
          <w:b w:val="0"/>
          <w:sz w:val="32"/>
        </w:rPr>
        <w:t>三、《支出决算表》</w:t>
      </w:r>
    </w:p>
    <w:p w14:paraId="5AE4177F">
      <w:pPr>
        <w:spacing w:line="240" w:lineRule="auto"/>
        <w:ind w:firstLine="640"/>
        <w:jc w:val="both"/>
      </w:pPr>
      <w:r>
        <w:rPr>
          <w:rFonts w:ascii="仿宋_GB2312" w:hAnsi="仿宋_GB2312" w:eastAsia="仿宋_GB2312"/>
          <w:b w:val="0"/>
          <w:sz w:val="32"/>
        </w:rPr>
        <w:t>四、《财政拨款收入支出决算总表》</w:t>
      </w:r>
    </w:p>
    <w:p w14:paraId="022CD93D">
      <w:pPr>
        <w:spacing w:line="240" w:lineRule="auto"/>
        <w:ind w:firstLine="640"/>
        <w:jc w:val="both"/>
      </w:pPr>
      <w:r>
        <w:rPr>
          <w:rFonts w:ascii="仿宋_GB2312" w:hAnsi="仿宋_GB2312" w:eastAsia="仿宋_GB2312"/>
          <w:b w:val="0"/>
          <w:sz w:val="32"/>
        </w:rPr>
        <w:t>五、《一般公共预算财政拨款支出决算表》</w:t>
      </w:r>
    </w:p>
    <w:p w14:paraId="143D513B">
      <w:pPr>
        <w:spacing w:line="240" w:lineRule="auto"/>
        <w:ind w:firstLine="640"/>
        <w:jc w:val="both"/>
      </w:pPr>
      <w:r>
        <w:rPr>
          <w:rFonts w:ascii="仿宋_GB2312" w:hAnsi="仿宋_GB2312" w:eastAsia="仿宋_GB2312"/>
          <w:b w:val="0"/>
          <w:sz w:val="32"/>
        </w:rPr>
        <w:t>六、《一般公共预算财政拨款基本支出决算表》</w:t>
      </w:r>
    </w:p>
    <w:p w14:paraId="51D36DD9">
      <w:pPr>
        <w:spacing w:line="240" w:lineRule="auto"/>
        <w:ind w:firstLine="640"/>
        <w:jc w:val="both"/>
      </w:pPr>
      <w:r>
        <w:rPr>
          <w:rFonts w:ascii="仿宋_GB2312" w:hAnsi="仿宋_GB2312" w:eastAsia="仿宋_GB2312"/>
          <w:b w:val="0"/>
          <w:sz w:val="32"/>
        </w:rPr>
        <w:t>七、《政府性基金预算财政拨款收入支出决算表》</w:t>
      </w:r>
    </w:p>
    <w:p w14:paraId="31D2D3C6">
      <w:pPr>
        <w:spacing w:line="240" w:lineRule="auto"/>
        <w:ind w:firstLine="640"/>
        <w:jc w:val="both"/>
      </w:pPr>
      <w:r>
        <w:rPr>
          <w:rFonts w:ascii="仿宋_GB2312" w:hAnsi="仿宋_GB2312" w:eastAsia="仿宋_GB2312"/>
          <w:b w:val="0"/>
          <w:sz w:val="32"/>
        </w:rPr>
        <w:t>八、《国有资本经营预算财政拨款收入支出决算表》</w:t>
      </w:r>
    </w:p>
    <w:p w14:paraId="51A106A9">
      <w:pPr>
        <w:spacing w:line="240" w:lineRule="auto"/>
        <w:ind w:firstLine="640"/>
        <w:jc w:val="both"/>
      </w:pPr>
      <w:r>
        <w:rPr>
          <w:rFonts w:ascii="仿宋_GB2312" w:hAnsi="仿宋_GB2312" w:eastAsia="仿宋_GB2312"/>
          <w:b w:val="0"/>
          <w:sz w:val="32"/>
        </w:rPr>
        <w:t>九、《财政拨款“三公”经费支出决算表》</w:t>
      </w:r>
    </w:p>
    <w:p w14:paraId="3265094A">
      <w:pPr>
        <w:spacing w:line="240" w:lineRule="auto"/>
        <w:ind w:firstLine="640"/>
        <w:jc w:val="both"/>
      </w:pPr>
    </w:p>
    <w:p w14:paraId="048E5337">
      <w:pPr>
        <w:spacing w:line="240" w:lineRule="auto"/>
        <w:ind w:firstLine="640"/>
        <w:jc w:val="both"/>
      </w:pPr>
    </w:p>
    <w:p w14:paraId="0C35923C">
      <w:pPr>
        <w:spacing w:line="240" w:lineRule="auto"/>
        <w:ind w:firstLine="640"/>
        <w:jc w:val="both"/>
      </w:pPr>
    </w:p>
    <w:p w14:paraId="57B03BA6">
      <w:pPr>
        <w:spacing w:line="240" w:lineRule="auto"/>
        <w:ind w:firstLine="640"/>
        <w:jc w:val="both"/>
      </w:pPr>
    </w:p>
    <w:p w14:paraId="7998A06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1BD639C-C5A8-4C5F-A935-52ADB3A6FFF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E975B2B-3014-466B-A498-04FA31EF7252}"/>
  </w:font>
  <w:font w:name="仿宋_GB2312">
    <w:panose1 w:val="02010609030101010101"/>
    <w:charset w:val="86"/>
    <w:family w:val="modern"/>
    <w:pitch w:val="default"/>
    <w:sig w:usb0="00000001" w:usb1="080E0000" w:usb2="00000000" w:usb3="00000000" w:csb0="00040000" w:csb1="00000000"/>
    <w:embedRegular r:id="rId3" w:fontKey="{FC286775-B718-4F84-8BD3-CA694F1E41DB}"/>
  </w:font>
  <w:font w:name="楷体_GB2312">
    <w:panose1 w:val="02010609030101010101"/>
    <w:charset w:val="86"/>
    <w:family w:val="auto"/>
    <w:pitch w:val="default"/>
    <w:sig w:usb0="00000001" w:usb1="080E0000" w:usb2="00000000" w:usb3="00000000" w:csb0="00040000" w:csb1="00000000"/>
    <w:embedRegular r:id="rId4" w:fontKey="{CA627F57-7E3E-4326-BA4F-DDCF4BEBB58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6F98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0121FD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0121FD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8E5C10"/>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895AFA"/>
    <w:rsid w:val="55DA564E"/>
    <w:rsid w:val="56E07045"/>
    <w:rsid w:val="5753689C"/>
    <w:rsid w:val="583059FA"/>
    <w:rsid w:val="587E6212"/>
    <w:rsid w:val="5AFC6609"/>
    <w:rsid w:val="5D341804"/>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ce5b733f-cab5-458d-83c3-3e7c8c30380f</errorID>
      <errorWord>法规法规</errorWord>
      <group>L1_Word</group>
      <groupName>字词问题</groupName>
      <ability>L2_Typo</ability>
      <abilityName>字词错误</abilityName>
      <candidateList>
        <item>法规</item>
      </candidateList>
      <explain/>
      <paraID>33816330</paraID>
      <start>42</start>
      <end>44</end>
      <status>modified</status>
      <modifiedWord>法规</modifiedWord>
      <trackRevisions>false</trackRevisions>
    </reviewItem>
    <reviewItem>
      <errorID>a4a10a41-b6c6-466b-beda-d72cb7e3e0ae</errorID>
      <errorWord>2月31日</errorWord>
      <group>L1_Sensitive</group>
      <groupName>敏感问题</groupName>
      <ability>L2_UserSensitive</ability>
      <abilityName>自定义敏感词</abilityName>
      <candidateList/>
      <explain>来自自定义敏感词库。</explain>
      <paraID>4FD240B8</paraID>
      <start>8</start>
      <end>13</end>
      <status>unmodified</status>
      <modifiedWord/>
      <trackRevisions>false</trackRevisions>
    </reviewItem>
    <reviewItem>
      <errorID>097ff44e-ac7c-4046-9c62-81027a24175d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363CD75A</paraID>
      <start>0</start>
      <end>2</end>
      <status>ignored</status>
      <modifiedWord/>
      <trackRevisions>false</trackRevisions>
    </reviewItem>
    <reviewItem>
      <errorID>a86cfa5e-f0c8-4cdb-b4a4-3bc870d894b5</errorID>
      <errorWord>.</errorWord>
      <group>L1_Format</group>
      <groupName>格式问题</groupName>
      <ability>L2_HalfPunc</ability>
      <abilityName>全半角检查</abilityName>
      <candidateList>
        <item>。</item>
      </candidateList>
      <explain>文本全半角错误。</explain>
      <paraID>363CD75A</paraID>
      <start>13</start>
      <end>14</end>
      <status>modified</status>
      <modifiedWord>。</modifiedWord>
      <trackRevisions>false</trackRevisions>
    </reviewItem>
    <reviewItem>
      <errorID>29723355-d31f-4832-aed1-2c41c3b9c353</errorID>
      <errorWord>风险</errorWord>
      <group>L1_Word</group>
      <groupName>字词问题</groupName>
      <ability>L2_Typo</ability>
      <abilityName>字词错误</abilityName>
      <candidateList>
        <item>奉献</item>
      </candidateList>
      <explain/>
      <paraID>57699675</paraID>
      <start>56</start>
      <end>58</end>
      <status>modified</status>
      <modifiedWord>奉献</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3535cb-5790-4443-aa62-f7a474658281}">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5987</Words>
  <Characters>6669</Characters>
  <Lines>0</Lines>
  <Paragraphs>0</Paragraphs>
  <TotalTime>8</TotalTime>
  <ScaleCrop>false</ScaleCrop>
  <LinksUpToDate>false</LinksUpToDate>
  <CharactersWithSpaces>6679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2025-11-07T08:14:36Z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