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66E3B2">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118B085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1121B3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714A0D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E5DC32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2E1BB7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裕民县第三幼儿园2024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67B2760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055FDAF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4CEB4B1A">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62CC096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3E70D91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45262A60">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786B5F7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305815D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24BD694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77F6E2E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5F56A5F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EF02C2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4761807D">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905F4BD">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5E04D2A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300A977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C2C94C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65E6323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5487B3B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159FCEC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7773D8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0526C83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27B8E9F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5F31094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3D9FC5C4">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110C7494">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1DB4019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5230A67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009ACAE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0E93873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1A1DC0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693E9EF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1D616ED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75E117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1FD0886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2300937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88F99DF">
      <w:r>
        <w:br w:type="page"/>
      </w:r>
    </w:p>
    <w:p w14:paraId="128F9A5C">
      <w:pPr>
        <w:spacing w:line="640" w:lineRule="exact"/>
        <w:jc w:val="center"/>
        <w:outlineLvl w:val="1"/>
      </w:pPr>
      <w:r>
        <w:rPr>
          <w:rFonts w:ascii="黑体" w:hAnsi="黑体" w:eastAsia="黑体"/>
          <w:sz w:val="32"/>
        </w:rPr>
        <w:t>第一部分 单位概况</w:t>
      </w:r>
    </w:p>
    <w:p w14:paraId="5A8F6202">
      <w:pPr>
        <w:spacing w:line="640" w:lineRule="exact"/>
        <w:ind w:firstLine="640"/>
        <w:jc w:val="both"/>
        <w:outlineLvl w:val="2"/>
      </w:pPr>
      <w:r>
        <w:rPr>
          <w:rFonts w:ascii="黑体" w:hAnsi="黑体" w:eastAsia="黑体"/>
          <w:sz w:val="32"/>
        </w:rPr>
        <w:t>一、主要职能</w:t>
      </w:r>
    </w:p>
    <w:p w14:paraId="2786BB4C">
      <w:pPr>
        <w:spacing w:line="580" w:lineRule="exact"/>
        <w:ind w:firstLine="640"/>
        <w:jc w:val="both"/>
      </w:pPr>
      <w:r>
        <w:rPr>
          <w:rFonts w:ascii="仿宋_GB2312" w:hAnsi="仿宋_GB2312" w:eastAsia="仿宋_GB2312"/>
          <w:sz w:val="32"/>
        </w:rPr>
        <w:t>以现代文化为引领，推进学前教育。切实执行教育方针和各项政策，对3-6岁幼儿实行保教相结合的原则，实施体、智、德、美教育，促进幼儿身心全面发展。根据上级教育部门的要求和幼儿园的实际，制定幼儿园的发展规划、年度计划、教育教学、安全保健卫生等计划。合理使用各项经费，规划幼儿园建设。督促检查本园班组教学计划、教学大纲的贯彻实施，组织总结交流教学经验。开展教研活动和课题研究，进行教育改革，推广新的幼儿教育训练方案、教材等科研成果，提高教育质量。开展多项活动，有计划、有组织</w:t>
      </w:r>
      <w:r>
        <w:rPr>
          <w:rFonts w:hint="eastAsia" w:ascii="仿宋_GB2312" w:hAnsi="仿宋_GB2312" w:eastAsia="仿宋_GB2312"/>
          <w:sz w:val="32"/>
          <w:lang w:eastAsia="zh-CN"/>
        </w:rPr>
        <w:t>地提升</w:t>
      </w:r>
      <w:r>
        <w:rPr>
          <w:rFonts w:ascii="仿宋_GB2312" w:hAnsi="仿宋_GB2312" w:eastAsia="仿宋_GB2312"/>
          <w:sz w:val="32"/>
        </w:rPr>
        <w:t>提高教师的业务水平和教学能力。</w:t>
      </w:r>
    </w:p>
    <w:p w14:paraId="54C3C421">
      <w:pPr>
        <w:spacing w:line="640" w:lineRule="exact"/>
        <w:ind w:firstLine="640"/>
        <w:jc w:val="both"/>
        <w:outlineLvl w:val="2"/>
      </w:pPr>
      <w:r>
        <w:rPr>
          <w:rFonts w:ascii="黑体" w:hAnsi="黑体" w:eastAsia="黑体"/>
          <w:sz w:val="32"/>
        </w:rPr>
        <w:t>二、机构设置及人员情况</w:t>
      </w:r>
    </w:p>
    <w:p w14:paraId="5C4F4CFB">
      <w:pPr>
        <w:spacing w:line="580" w:lineRule="exact"/>
        <w:ind w:firstLine="640"/>
        <w:jc w:val="both"/>
      </w:pPr>
      <w:r>
        <w:rPr>
          <w:rFonts w:ascii="仿宋_GB2312" w:hAnsi="仿宋_GB2312" w:eastAsia="仿宋_GB2312"/>
          <w:sz w:val="32"/>
        </w:rPr>
        <w:t>裕民县第三幼儿园2024年度，实有人数17人，其中：在职人员16人，减少1人；离休人员0人，增加0人；退休人员1人,增加1人。</w:t>
      </w:r>
    </w:p>
    <w:p w14:paraId="0E42B842">
      <w:pPr>
        <w:spacing w:line="580" w:lineRule="exact"/>
        <w:ind w:firstLine="640"/>
        <w:jc w:val="both"/>
      </w:pPr>
      <w:r>
        <w:rPr>
          <w:rFonts w:ascii="仿宋_GB2312" w:hAnsi="仿宋_GB2312" w:eastAsia="仿宋_GB2312"/>
          <w:sz w:val="32"/>
        </w:rPr>
        <w:t>裕民县第三幼儿园无下属预算单位，下设6个科室，分别是：办公室、党支部、教研室、后勤处、财务室、工会。</w:t>
      </w:r>
    </w:p>
    <w:p w14:paraId="2ECD02F8">
      <w:r>
        <w:br w:type="page"/>
      </w:r>
    </w:p>
    <w:p w14:paraId="2705221F">
      <w:pPr>
        <w:spacing w:line="240" w:lineRule="auto"/>
        <w:jc w:val="center"/>
        <w:outlineLvl w:val="1"/>
      </w:pPr>
      <w:r>
        <w:rPr>
          <w:rFonts w:ascii="黑体" w:hAnsi="黑体" w:eastAsia="黑体"/>
          <w:sz w:val="32"/>
        </w:rPr>
        <w:t>第二部分 部门决算情况说明</w:t>
      </w:r>
    </w:p>
    <w:p w14:paraId="76D87B52">
      <w:pPr>
        <w:spacing w:line="640" w:lineRule="exact"/>
        <w:ind w:firstLine="640"/>
        <w:jc w:val="both"/>
        <w:outlineLvl w:val="2"/>
      </w:pPr>
      <w:r>
        <w:rPr>
          <w:rFonts w:ascii="黑体" w:hAnsi="黑体" w:eastAsia="黑体"/>
          <w:sz w:val="32"/>
        </w:rPr>
        <w:t>一、收入支出决算总体情况说明</w:t>
      </w:r>
    </w:p>
    <w:p w14:paraId="496060D8">
      <w:pPr>
        <w:spacing w:line="580" w:lineRule="exact"/>
        <w:ind w:firstLine="640"/>
        <w:jc w:val="both"/>
      </w:pPr>
      <w:r>
        <w:rPr>
          <w:rFonts w:ascii="仿宋_GB2312" w:hAnsi="仿宋_GB2312" w:eastAsia="仿宋_GB2312"/>
          <w:b/>
          <w:sz w:val="32"/>
        </w:rPr>
        <w:t>2024年度收入总计339.24万元，</w:t>
      </w:r>
      <w:r>
        <w:rPr>
          <w:rFonts w:ascii="仿宋_GB2312" w:hAnsi="仿宋_GB2312" w:eastAsia="仿宋_GB2312"/>
          <w:b w:val="0"/>
          <w:sz w:val="32"/>
        </w:rPr>
        <w:t>其中：本年收入合计339.24万元，使用非财政拨款结余（含专用结余）0.00万元，年初结转和结余0.00万元。</w:t>
      </w:r>
    </w:p>
    <w:p w14:paraId="010DAEC8">
      <w:pPr>
        <w:spacing w:line="580" w:lineRule="exact"/>
        <w:ind w:firstLine="640"/>
        <w:jc w:val="both"/>
      </w:pPr>
      <w:r>
        <w:rPr>
          <w:rFonts w:ascii="仿宋_GB2312" w:hAnsi="仿宋_GB2312" w:eastAsia="仿宋_GB2312"/>
          <w:b/>
          <w:sz w:val="32"/>
        </w:rPr>
        <w:t>2024年度支出总计339.24万元，</w:t>
      </w:r>
      <w:r>
        <w:rPr>
          <w:rFonts w:ascii="仿宋_GB2312" w:hAnsi="仿宋_GB2312" w:eastAsia="仿宋_GB2312"/>
          <w:b w:val="0"/>
          <w:sz w:val="32"/>
        </w:rPr>
        <w:t>其中：本年支出合计339.24万元，结余分配0.00万元，年末结转和结余0.00万元。</w:t>
      </w:r>
    </w:p>
    <w:p w14:paraId="753A5BD2">
      <w:pPr>
        <w:spacing w:line="580" w:lineRule="exact"/>
        <w:ind w:firstLine="640"/>
        <w:jc w:val="both"/>
      </w:pPr>
      <w:r>
        <w:rPr>
          <w:rFonts w:ascii="仿宋_GB2312" w:hAnsi="仿宋_GB2312" w:eastAsia="仿宋_GB2312"/>
          <w:b w:val="0"/>
          <w:sz w:val="32"/>
        </w:rPr>
        <w:t>收入支出总体与上年相比，增加276.86万元，增长443.83%，主要原因是：本单位为2023年10月新成立单位，</w:t>
      </w:r>
      <w:r>
        <w:rPr>
          <w:rFonts w:hint="eastAsia" w:ascii="仿宋_GB2312" w:hAnsi="仿宋_GB2312" w:eastAsia="仿宋_GB2312"/>
          <w:b w:val="0"/>
          <w:sz w:val="32"/>
          <w:lang w:val="en-US" w:eastAsia="zh-CN"/>
        </w:rPr>
        <w:t>本年</w:t>
      </w:r>
      <w:r>
        <w:rPr>
          <w:rFonts w:ascii="仿宋_GB2312" w:hAnsi="仿宋_GB2312" w:eastAsia="仿宋_GB2312"/>
          <w:b w:val="0"/>
          <w:sz w:val="32"/>
        </w:rPr>
        <w:t>增加人员经费及2024年农村学前三年免费教育保障机制补助经费、2024年用教育费附加安排的各学校取暖费、2024年新疆西藏等地区教育特殊补助资金等。</w:t>
      </w:r>
    </w:p>
    <w:p w14:paraId="7021604D">
      <w:pPr>
        <w:spacing w:line="640" w:lineRule="exact"/>
        <w:ind w:firstLine="640"/>
        <w:jc w:val="both"/>
        <w:outlineLvl w:val="2"/>
      </w:pPr>
      <w:r>
        <w:rPr>
          <w:rFonts w:ascii="黑体" w:hAnsi="黑体" w:eastAsia="黑体"/>
          <w:sz w:val="32"/>
        </w:rPr>
        <w:t>二、收入决算情况说明</w:t>
      </w:r>
    </w:p>
    <w:p w14:paraId="1626C0EF">
      <w:pPr>
        <w:spacing w:line="580" w:lineRule="exact"/>
        <w:ind w:firstLine="640"/>
        <w:jc w:val="both"/>
      </w:pPr>
      <w:r>
        <w:rPr>
          <w:rFonts w:ascii="仿宋_GB2312" w:hAnsi="仿宋_GB2312" w:eastAsia="仿宋_GB2312"/>
          <w:b/>
          <w:sz w:val="32"/>
        </w:rPr>
        <w:t>本年收入339.24万元，</w:t>
      </w:r>
      <w:r>
        <w:rPr>
          <w:rFonts w:ascii="仿宋_GB2312" w:hAnsi="仿宋_GB2312" w:eastAsia="仿宋_GB2312"/>
          <w:b w:val="0"/>
          <w:sz w:val="32"/>
        </w:rPr>
        <w:t>其中：财政拨款收入339.24万元，占100.00%；上级补助收入0.00万元，占0.00%；事业收入0.00万元，占0.00%；经营收入0.00万元，占0.00%；附属单位上缴收入0.00万元，占0.00%；其他收入0.00万元，占0.00%。</w:t>
      </w:r>
    </w:p>
    <w:p w14:paraId="41D38D5A">
      <w:pPr>
        <w:spacing w:line="640" w:lineRule="exact"/>
        <w:ind w:firstLine="640"/>
        <w:jc w:val="both"/>
        <w:outlineLvl w:val="2"/>
      </w:pPr>
      <w:r>
        <w:rPr>
          <w:rFonts w:ascii="黑体" w:hAnsi="黑体" w:eastAsia="黑体"/>
          <w:sz w:val="32"/>
        </w:rPr>
        <w:t>三、支出决算情况说明</w:t>
      </w:r>
    </w:p>
    <w:p w14:paraId="0128A424">
      <w:pPr>
        <w:spacing w:line="580" w:lineRule="exact"/>
        <w:ind w:firstLine="640"/>
        <w:jc w:val="both"/>
      </w:pPr>
      <w:r>
        <w:rPr>
          <w:rFonts w:ascii="仿宋_GB2312" w:hAnsi="仿宋_GB2312" w:eastAsia="仿宋_GB2312"/>
          <w:b/>
          <w:sz w:val="32"/>
        </w:rPr>
        <w:t>本年支出339.24万元，</w:t>
      </w:r>
      <w:r>
        <w:rPr>
          <w:rFonts w:ascii="仿宋_GB2312" w:hAnsi="仿宋_GB2312" w:eastAsia="仿宋_GB2312"/>
          <w:b w:val="0"/>
          <w:sz w:val="32"/>
        </w:rPr>
        <w:t>其中：基本支出284.21万元，占83.78%；项目支出55.03万元，占16.22%；上缴上级支出0.00万元，占0.00%；经营支出0.00万元，占0.00%；对附属单位补助支出0.00万元，占0.00%。</w:t>
      </w:r>
    </w:p>
    <w:p w14:paraId="3281D9FD">
      <w:pPr>
        <w:spacing w:line="640" w:lineRule="exact"/>
        <w:ind w:firstLine="640"/>
        <w:jc w:val="both"/>
        <w:outlineLvl w:val="2"/>
      </w:pPr>
      <w:r>
        <w:rPr>
          <w:rFonts w:ascii="黑体" w:hAnsi="黑体" w:eastAsia="黑体"/>
          <w:sz w:val="32"/>
        </w:rPr>
        <w:t>四、财政拨款收入支出决算总体情况说明</w:t>
      </w:r>
    </w:p>
    <w:p w14:paraId="03D833B3">
      <w:pPr>
        <w:spacing w:line="580" w:lineRule="exact"/>
        <w:ind w:firstLine="640"/>
        <w:jc w:val="both"/>
      </w:pPr>
      <w:r>
        <w:rPr>
          <w:rFonts w:ascii="仿宋_GB2312" w:hAnsi="仿宋_GB2312" w:eastAsia="仿宋_GB2312"/>
          <w:b/>
          <w:sz w:val="32"/>
        </w:rPr>
        <w:t>2024年度财政拨款收入总计339.24万元，</w:t>
      </w:r>
      <w:r>
        <w:rPr>
          <w:rFonts w:ascii="仿宋_GB2312" w:hAnsi="仿宋_GB2312" w:eastAsia="仿宋_GB2312"/>
          <w:b w:val="0"/>
          <w:sz w:val="32"/>
        </w:rPr>
        <w:t>其中：年初财政拨款结转和结余0.00万元，本年财政拨款收入339.24万元。</w:t>
      </w:r>
      <w:r>
        <w:rPr>
          <w:rFonts w:ascii="仿宋_GB2312" w:hAnsi="仿宋_GB2312" w:eastAsia="仿宋_GB2312"/>
          <w:b/>
          <w:sz w:val="32"/>
        </w:rPr>
        <w:t>财政拨款支出总计339.24万元，</w:t>
      </w:r>
      <w:r>
        <w:rPr>
          <w:rFonts w:ascii="仿宋_GB2312" w:hAnsi="仿宋_GB2312" w:eastAsia="仿宋_GB2312"/>
          <w:b w:val="0"/>
          <w:sz w:val="32"/>
        </w:rPr>
        <w:t>其中：年末财政拨款结转和结余0.00万元，本年财政拨款支出339.24万元。</w:t>
      </w:r>
    </w:p>
    <w:p w14:paraId="439140B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增加276.86万元，增长443.83%，主要原因是：本单位为2023年10月新成立单位，</w:t>
      </w:r>
      <w:r>
        <w:rPr>
          <w:rFonts w:hint="eastAsia" w:ascii="仿宋_GB2312" w:hAnsi="仿宋_GB2312" w:eastAsia="仿宋_GB2312"/>
          <w:b w:val="0"/>
          <w:sz w:val="32"/>
          <w:lang w:val="en-US" w:eastAsia="zh-CN"/>
        </w:rPr>
        <w:t>本年</w:t>
      </w:r>
      <w:r>
        <w:rPr>
          <w:rFonts w:ascii="仿宋_GB2312" w:hAnsi="仿宋_GB2312" w:eastAsia="仿宋_GB2312"/>
          <w:b w:val="0"/>
          <w:sz w:val="32"/>
        </w:rPr>
        <w:t>增加人员经费及2024年农村学前三年免费教育保障机制补助经费、2024年用教育费附加安排的各学校取暖费、2024年新疆西藏等地区教育特殊补助资金等。</w:t>
      </w:r>
      <w:r>
        <w:rPr>
          <w:rFonts w:ascii="仿宋_GB2312" w:hAnsi="仿宋_GB2312" w:eastAsia="仿宋_GB2312"/>
          <w:b/>
          <w:sz w:val="32"/>
        </w:rPr>
        <w:t>与年初预算相比，</w:t>
      </w:r>
      <w:r>
        <w:rPr>
          <w:rFonts w:ascii="仿宋_GB2312" w:hAnsi="仿宋_GB2312" w:eastAsia="仿宋_GB2312"/>
          <w:b w:val="0"/>
          <w:sz w:val="32"/>
        </w:rPr>
        <w:t>年初预算数334.85万元，决算数339.24万元，预决算差异率1.31%，主要原因是：本单位为2023年10月新成立单位，年中追加人员经费及2024年农村学前三年免费教育保障机制补助经费、2024年用教育费附加安排的各学校取暖费、2024年新疆西藏等地区教育特殊补助资金等。</w:t>
      </w:r>
    </w:p>
    <w:p w14:paraId="30EC8E94">
      <w:pPr>
        <w:spacing w:line="640" w:lineRule="exact"/>
        <w:ind w:firstLine="640"/>
        <w:jc w:val="both"/>
        <w:outlineLvl w:val="2"/>
      </w:pPr>
      <w:r>
        <w:rPr>
          <w:rFonts w:ascii="黑体" w:hAnsi="黑体" w:eastAsia="黑体"/>
          <w:sz w:val="32"/>
        </w:rPr>
        <w:t>五、一般公共预算财政拨款支出决算情况说明</w:t>
      </w:r>
    </w:p>
    <w:p w14:paraId="12AAD7C3">
      <w:pPr>
        <w:spacing w:line="640" w:lineRule="exact"/>
        <w:ind w:firstLine="640"/>
        <w:jc w:val="both"/>
        <w:outlineLvl w:val="3"/>
      </w:pPr>
      <w:r>
        <w:rPr>
          <w:rFonts w:ascii="楷体_GB2312" w:hAnsi="楷体_GB2312" w:eastAsia="楷体_GB2312"/>
          <w:b/>
          <w:sz w:val="32"/>
        </w:rPr>
        <w:t>（一）一般公共预算财政拨款支出决算总体情况</w:t>
      </w:r>
    </w:p>
    <w:p w14:paraId="30BAE771">
      <w:pPr>
        <w:spacing w:line="580" w:lineRule="exact"/>
        <w:ind w:firstLine="640"/>
        <w:jc w:val="both"/>
      </w:pPr>
      <w:r>
        <w:rPr>
          <w:rFonts w:ascii="仿宋_GB2312" w:hAnsi="仿宋_GB2312" w:eastAsia="仿宋_GB2312"/>
          <w:b/>
          <w:sz w:val="32"/>
        </w:rPr>
        <w:t>2024年度一般公共预算财政拨款支出339.24万元，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增加276.86万元，增长443.83%，主要原因是：本单位为2023年10月新成立单位，</w:t>
      </w:r>
      <w:r>
        <w:rPr>
          <w:rFonts w:hint="eastAsia" w:ascii="仿宋_GB2312" w:hAnsi="仿宋_GB2312" w:eastAsia="仿宋_GB2312"/>
          <w:b w:val="0"/>
          <w:sz w:val="32"/>
          <w:lang w:val="en-US" w:eastAsia="zh-CN"/>
        </w:rPr>
        <w:t>本年</w:t>
      </w:r>
      <w:r>
        <w:rPr>
          <w:rFonts w:ascii="仿宋_GB2312" w:hAnsi="仿宋_GB2312" w:eastAsia="仿宋_GB2312"/>
          <w:b w:val="0"/>
          <w:sz w:val="32"/>
        </w:rPr>
        <w:t>增加人员经费及2024年农村学前三年免费教育保障机制补助经费、2024年用教育费附加安排的各学校取暖费、2024年新疆西藏等地区教育特殊补助资金等。</w:t>
      </w:r>
      <w:r>
        <w:rPr>
          <w:rFonts w:ascii="仿宋_GB2312" w:hAnsi="仿宋_GB2312" w:eastAsia="仿宋_GB2312"/>
          <w:b/>
          <w:sz w:val="32"/>
        </w:rPr>
        <w:t>与年初预算相比,</w:t>
      </w:r>
      <w:r>
        <w:rPr>
          <w:rFonts w:ascii="仿宋_GB2312" w:hAnsi="仿宋_GB2312" w:eastAsia="仿宋_GB2312"/>
          <w:b w:val="0"/>
          <w:sz w:val="32"/>
        </w:rPr>
        <w:t>年初预算数334.85万元，决算数339.24万元，预决算差异率1.31%，主要原因是：本单位为2023年10月新成立单位，年中追加人员经费及2024年农村学前三年免费教育保障机制补助经费、2024年用教育费附加安排的各学校取暖费、2024年新疆西藏等地区教育特殊补助资金等。</w:t>
      </w:r>
    </w:p>
    <w:p w14:paraId="31326DBF">
      <w:pPr>
        <w:spacing w:line="640" w:lineRule="exact"/>
        <w:ind w:firstLine="640"/>
        <w:jc w:val="both"/>
        <w:outlineLvl w:val="3"/>
      </w:pPr>
      <w:r>
        <w:rPr>
          <w:rFonts w:ascii="楷体_GB2312" w:hAnsi="楷体_GB2312" w:eastAsia="楷体_GB2312"/>
          <w:b/>
          <w:sz w:val="32"/>
        </w:rPr>
        <w:t>（二）一般公共预算财政拨款支出决算结构情况</w:t>
      </w:r>
    </w:p>
    <w:p w14:paraId="1D9D52F7">
      <w:pPr>
        <w:spacing w:line="580" w:lineRule="exact"/>
        <w:ind w:firstLine="640"/>
        <w:jc w:val="both"/>
      </w:pPr>
      <w:r>
        <w:rPr>
          <w:rFonts w:ascii="仿宋_GB2312" w:hAnsi="仿宋_GB2312" w:eastAsia="仿宋_GB2312"/>
          <w:b w:val="0"/>
          <w:sz w:val="32"/>
        </w:rPr>
        <w:t>1.教育支出(类)275.05万元,占81.08%。</w:t>
      </w:r>
    </w:p>
    <w:p w14:paraId="745941AF">
      <w:pPr>
        <w:spacing w:line="580" w:lineRule="exact"/>
        <w:ind w:firstLine="640"/>
        <w:jc w:val="both"/>
      </w:pPr>
      <w:r>
        <w:rPr>
          <w:rFonts w:ascii="仿宋_GB2312" w:hAnsi="仿宋_GB2312" w:eastAsia="仿宋_GB2312"/>
          <w:b w:val="0"/>
          <w:sz w:val="32"/>
        </w:rPr>
        <w:t>2.社会保障和就业支出(类)33.84万元,占9.98%。</w:t>
      </w:r>
    </w:p>
    <w:p w14:paraId="2E9FA19C">
      <w:pPr>
        <w:spacing w:line="580" w:lineRule="exact"/>
        <w:ind w:firstLine="640"/>
        <w:jc w:val="both"/>
      </w:pPr>
      <w:r>
        <w:rPr>
          <w:rFonts w:ascii="仿宋_GB2312" w:hAnsi="仿宋_GB2312" w:eastAsia="仿宋_GB2312"/>
          <w:b w:val="0"/>
          <w:sz w:val="32"/>
        </w:rPr>
        <w:t>3.卫生健康支出(类)10.14万元,占2.99%。</w:t>
      </w:r>
    </w:p>
    <w:p w14:paraId="5B7E0463">
      <w:pPr>
        <w:spacing w:line="580" w:lineRule="exact"/>
        <w:ind w:firstLine="640"/>
        <w:jc w:val="both"/>
      </w:pPr>
      <w:r>
        <w:rPr>
          <w:rFonts w:ascii="仿宋_GB2312" w:hAnsi="仿宋_GB2312" w:eastAsia="仿宋_GB2312"/>
          <w:b w:val="0"/>
          <w:sz w:val="32"/>
        </w:rPr>
        <w:t>4.住房保障支出(类)20.21万元,占5.96%。</w:t>
      </w:r>
    </w:p>
    <w:p w14:paraId="2B81133C">
      <w:pPr>
        <w:spacing w:line="640" w:lineRule="exact"/>
        <w:ind w:firstLine="640"/>
        <w:jc w:val="both"/>
        <w:outlineLvl w:val="3"/>
      </w:pPr>
      <w:r>
        <w:rPr>
          <w:rFonts w:ascii="楷体_GB2312" w:hAnsi="楷体_GB2312" w:eastAsia="楷体_GB2312"/>
          <w:b/>
          <w:sz w:val="32"/>
        </w:rPr>
        <w:t>（三）一般公共预算财政拨款支出决算具体情况</w:t>
      </w:r>
    </w:p>
    <w:p w14:paraId="71ED6D81">
      <w:pPr>
        <w:spacing w:line="580" w:lineRule="exact"/>
        <w:ind w:firstLine="640"/>
        <w:jc w:val="both"/>
      </w:pPr>
      <w:r>
        <w:rPr>
          <w:rFonts w:ascii="仿宋_GB2312" w:hAnsi="仿宋_GB2312" w:eastAsia="仿宋_GB2312"/>
          <w:b w:val="0"/>
          <w:sz w:val="32"/>
        </w:rPr>
        <w:t>1.教育支出(类)普通教育(款)学前教育(项):支出决算数为275.05万元，比上年决算增加222.55万元，增长423.90%,主要原因是：本单位为2023年10月新成立单位，</w:t>
      </w:r>
      <w:r>
        <w:rPr>
          <w:rFonts w:hint="eastAsia" w:ascii="仿宋_GB2312" w:hAnsi="仿宋_GB2312" w:eastAsia="仿宋_GB2312"/>
          <w:b w:val="0"/>
          <w:sz w:val="32"/>
          <w:lang w:val="en-US" w:eastAsia="zh-CN"/>
        </w:rPr>
        <w:t>本年</w:t>
      </w:r>
      <w:r>
        <w:rPr>
          <w:rFonts w:ascii="仿宋_GB2312" w:hAnsi="仿宋_GB2312" w:eastAsia="仿宋_GB2312"/>
          <w:b w:val="0"/>
          <w:sz w:val="32"/>
        </w:rPr>
        <w:t>增加人员经费及2024年农村学前三年免费教育保障机制补助经费、2024年用教育费附加安排的各学校取暖费、2024年新疆西藏等地区教育特殊补助资金等。</w:t>
      </w:r>
    </w:p>
    <w:p w14:paraId="5B922F0F">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2.社会保障和就业支出(类)行政事业单位养老支出(款)事业单位离退休(项):支出决算数为0.54万元，比上年决算增加0.54万元，增长100.00%,主要原因是：本单位为2023年10月新成立单位，</w:t>
      </w:r>
      <w:r>
        <w:rPr>
          <w:rFonts w:hint="eastAsia" w:ascii="仿宋_GB2312" w:hAnsi="仿宋_GB2312" w:eastAsia="仿宋_GB2312"/>
          <w:b w:val="0"/>
          <w:sz w:val="32"/>
          <w:lang w:val="en-US" w:eastAsia="zh-CN"/>
        </w:rPr>
        <w:t>本年</w:t>
      </w:r>
      <w:r>
        <w:rPr>
          <w:rFonts w:ascii="仿宋_GB2312" w:hAnsi="仿宋_GB2312" w:eastAsia="仿宋_GB2312"/>
          <w:b w:val="0"/>
          <w:sz w:val="32"/>
        </w:rPr>
        <w:t>增加退休人员经费。</w:t>
      </w:r>
    </w:p>
    <w:p w14:paraId="3516B342">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3.社会保障和就业支出(类)行政事业单位养老支出(款)机关事业单位基本养老保险缴费支出(项):支出决算数为24.43万元，比上年决算增加20.15万元，增长470.79%,主要原因是：本单位为2023年10月新成立单位，</w:t>
      </w:r>
      <w:r>
        <w:rPr>
          <w:rFonts w:hint="eastAsia" w:ascii="仿宋_GB2312" w:hAnsi="仿宋_GB2312" w:eastAsia="仿宋_GB2312"/>
          <w:b w:val="0"/>
          <w:sz w:val="32"/>
          <w:lang w:val="en-US" w:eastAsia="zh-CN"/>
        </w:rPr>
        <w:t>本年</w:t>
      </w:r>
      <w:r>
        <w:rPr>
          <w:rFonts w:ascii="仿宋_GB2312" w:hAnsi="仿宋_GB2312" w:eastAsia="仿宋_GB2312"/>
          <w:b w:val="0"/>
          <w:sz w:val="32"/>
        </w:rPr>
        <w:t>增加人员养老保险缴费支出。</w:t>
      </w:r>
    </w:p>
    <w:p w14:paraId="78578731">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4.社会保障和就业支出(类)行政事业单位养老支出(款)机关事业单位职业年金缴费支出(项):支出决算数为8.86万元，比上年决算增加8.86万元，增长100.00%,主要原因是：本单位为2023年10月新成立单位，</w:t>
      </w:r>
      <w:r>
        <w:rPr>
          <w:rFonts w:hint="eastAsia" w:ascii="仿宋_GB2312" w:hAnsi="仿宋_GB2312" w:eastAsia="仿宋_GB2312"/>
          <w:b w:val="0"/>
          <w:sz w:val="32"/>
          <w:lang w:val="en-US" w:eastAsia="zh-CN"/>
        </w:rPr>
        <w:t>本年</w:t>
      </w:r>
      <w:r>
        <w:rPr>
          <w:rFonts w:ascii="仿宋_GB2312" w:hAnsi="仿宋_GB2312" w:eastAsia="仿宋_GB2312"/>
          <w:b w:val="0"/>
          <w:sz w:val="32"/>
        </w:rPr>
        <w:t>增加退休人员职业年金缴费支出。</w:t>
      </w:r>
    </w:p>
    <w:p w14:paraId="4CB9252E">
      <w:pPr>
        <w:spacing w:line="580" w:lineRule="exact"/>
        <w:ind w:firstLine="640"/>
        <w:jc w:val="both"/>
      </w:pPr>
      <w:r>
        <w:rPr>
          <w:rFonts w:ascii="仿宋_GB2312" w:hAnsi="仿宋_GB2312" w:eastAsia="仿宋_GB2312"/>
          <w:b w:val="0"/>
          <w:sz w:val="32"/>
        </w:rPr>
        <w:t>5.卫生健康支出(类)行政事业单位医疗(款)事业单位医疗(项):支出决算数为10.14万元，比上年决算增加8.28万元，增长445.16%,主要原因是：本单位为2023年10月新成立单位，</w:t>
      </w:r>
      <w:r>
        <w:rPr>
          <w:rFonts w:hint="eastAsia" w:ascii="仿宋_GB2312" w:hAnsi="仿宋_GB2312" w:eastAsia="仿宋_GB2312"/>
          <w:b w:val="0"/>
          <w:sz w:val="32"/>
          <w:lang w:val="en-US" w:eastAsia="zh-CN"/>
        </w:rPr>
        <w:t>本年</w:t>
      </w:r>
      <w:r>
        <w:rPr>
          <w:rFonts w:ascii="仿宋_GB2312" w:hAnsi="仿宋_GB2312" w:eastAsia="仿宋_GB2312"/>
          <w:b w:val="0"/>
          <w:sz w:val="32"/>
        </w:rPr>
        <w:t>增加人员事业单位医疗缴费支出。</w:t>
      </w:r>
    </w:p>
    <w:p w14:paraId="3C31896D">
      <w:pPr>
        <w:spacing w:line="580" w:lineRule="exact"/>
        <w:ind w:firstLine="640"/>
        <w:jc w:val="both"/>
      </w:pPr>
      <w:r>
        <w:rPr>
          <w:rFonts w:ascii="仿宋_GB2312" w:hAnsi="仿宋_GB2312" w:eastAsia="仿宋_GB2312"/>
          <w:b w:val="0"/>
          <w:sz w:val="32"/>
        </w:rPr>
        <w:t>6.住房保障支出(类)住房改革支出(款)住房公积金(项):支出决算数为20.21万元，比上年决算增加16.47万元，增长440.37%,主要原因是：本单位为2023年10月新成立单位，</w:t>
      </w:r>
      <w:r>
        <w:rPr>
          <w:rFonts w:hint="eastAsia" w:ascii="仿宋_GB2312" w:hAnsi="仿宋_GB2312" w:eastAsia="仿宋_GB2312"/>
          <w:b w:val="0"/>
          <w:sz w:val="32"/>
          <w:lang w:val="en-US" w:eastAsia="zh-CN"/>
        </w:rPr>
        <w:t>本年</w:t>
      </w:r>
      <w:r>
        <w:rPr>
          <w:rFonts w:ascii="仿宋_GB2312" w:hAnsi="仿宋_GB2312" w:eastAsia="仿宋_GB2312"/>
          <w:b w:val="0"/>
          <w:sz w:val="32"/>
        </w:rPr>
        <w:t>增加人员住房公积金缴费支出。</w:t>
      </w:r>
    </w:p>
    <w:p w14:paraId="33A2BE6B">
      <w:pPr>
        <w:spacing w:line="640" w:lineRule="exact"/>
        <w:ind w:firstLine="640"/>
        <w:jc w:val="both"/>
        <w:outlineLvl w:val="2"/>
      </w:pPr>
      <w:r>
        <w:rPr>
          <w:rFonts w:ascii="黑体" w:hAnsi="黑体" w:eastAsia="黑体"/>
          <w:sz w:val="32"/>
        </w:rPr>
        <w:t>六、一般公共预算财政拨款基本支出决算情况说明</w:t>
      </w:r>
    </w:p>
    <w:p w14:paraId="637D4D8E">
      <w:pPr>
        <w:spacing w:line="580" w:lineRule="exact"/>
        <w:ind w:firstLine="640"/>
        <w:jc w:val="both"/>
      </w:pPr>
      <w:r>
        <w:rPr>
          <w:rFonts w:ascii="仿宋_GB2312" w:hAnsi="仿宋_GB2312" w:eastAsia="仿宋_GB2312"/>
          <w:b w:val="0"/>
          <w:sz w:val="32"/>
        </w:rPr>
        <w:t>2024年度一般公共预算财政拨款基本支出284.21万元，其中：</w:t>
      </w:r>
      <w:r>
        <w:rPr>
          <w:rFonts w:ascii="仿宋_GB2312" w:hAnsi="仿宋_GB2312" w:eastAsia="仿宋_GB2312"/>
          <w:b/>
          <w:sz w:val="32"/>
        </w:rPr>
        <w:t>人员经费262.05万元，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w:t>
      </w:r>
    </w:p>
    <w:p w14:paraId="0726B1BA">
      <w:pPr>
        <w:spacing w:line="580" w:lineRule="exact"/>
        <w:ind w:firstLine="640"/>
        <w:jc w:val="both"/>
      </w:pPr>
      <w:r>
        <w:rPr>
          <w:rFonts w:ascii="仿宋_GB2312" w:hAnsi="仿宋_GB2312" w:eastAsia="仿宋_GB2312"/>
          <w:b/>
          <w:sz w:val="32"/>
        </w:rPr>
        <w:t>公用经费22.16万元，</w:t>
      </w:r>
      <w:r>
        <w:rPr>
          <w:rFonts w:ascii="仿宋_GB2312" w:hAnsi="仿宋_GB2312" w:eastAsia="仿宋_GB2312"/>
          <w:b w:val="0"/>
          <w:sz w:val="32"/>
        </w:rPr>
        <w:t>包括：取暖费、工会经费、福利费。</w:t>
      </w:r>
    </w:p>
    <w:p w14:paraId="1C6054EC">
      <w:pPr>
        <w:spacing w:line="640" w:lineRule="exact"/>
        <w:ind w:firstLine="640"/>
        <w:jc w:val="both"/>
        <w:outlineLvl w:val="2"/>
      </w:pPr>
      <w:r>
        <w:rPr>
          <w:rFonts w:ascii="黑体" w:hAnsi="黑体" w:eastAsia="黑体"/>
          <w:sz w:val="32"/>
        </w:rPr>
        <w:t>七、政府性基金预算财政拨款收入支出决算情况说明</w:t>
      </w:r>
    </w:p>
    <w:p w14:paraId="7407807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4664EB3">
      <w:pPr>
        <w:spacing w:line="640" w:lineRule="exact"/>
        <w:ind w:firstLine="640"/>
        <w:jc w:val="both"/>
        <w:outlineLvl w:val="2"/>
      </w:pPr>
      <w:r>
        <w:rPr>
          <w:rFonts w:ascii="黑体" w:hAnsi="黑体" w:eastAsia="黑体"/>
          <w:sz w:val="32"/>
        </w:rPr>
        <w:t>八、国有资本经营预算财政拨款收入支出决算情况说明</w:t>
      </w:r>
    </w:p>
    <w:p w14:paraId="253C459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CDC510F">
      <w:pPr>
        <w:spacing w:line="640" w:lineRule="exact"/>
        <w:ind w:firstLine="640"/>
        <w:jc w:val="both"/>
        <w:outlineLvl w:val="2"/>
      </w:pPr>
      <w:r>
        <w:rPr>
          <w:rFonts w:ascii="黑体" w:hAnsi="黑体" w:eastAsia="黑体"/>
          <w:sz w:val="32"/>
        </w:rPr>
        <w:t>九、财政拨款“三公”经费支出决算情况说明</w:t>
      </w:r>
    </w:p>
    <w:p w14:paraId="2B97C58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465A4D1">
      <w:pPr>
        <w:spacing w:line="580" w:lineRule="exact"/>
        <w:ind w:firstLine="640"/>
        <w:jc w:val="both"/>
      </w:pPr>
      <w:r>
        <w:rPr>
          <w:rFonts w:ascii="仿宋_GB2312" w:hAnsi="仿宋_GB2312" w:eastAsia="仿宋_GB2312"/>
          <w:b/>
          <w:sz w:val="32"/>
        </w:rPr>
        <w:t>具体情况如下：</w:t>
      </w:r>
    </w:p>
    <w:p w14:paraId="7F95E9B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D574B8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D3E75A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5F056C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C6437CB">
      <w:pPr>
        <w:spacing w:line="640" w:lineRule="exact"/>
        <w:ind w:firstLine="640"/>
        <w:jc w:val="both"/>
        <w:outlineLvl w:val="2"/>
      </w:pPr>
      <w:r>
        <w:rPr>
          <w:rFonts w:ascii="黑体" w:hAnsi="黑体" w:eastAsia="黑体"/>
          <w:sz w:val="32"/>
        </w:rPr>
        <w:t>十、其他重要事项的情况说明</w:t>
      </w:r>
    </w:p>
    <w:p w14:paraId="2B0753B0">
      <w:pPr>
        <w:spacing w:line="640" w:lineRule="exact"/>
        <w:ind w:firstLine="640"/>
        <w:jc w:val="both"/>
        <w:outlineLvl w:val="3"/>
      </w:pPr>
      <w:r>
        <w:rPr>
          <w:rFonts w:ascii="楷体_GB2312" w:hAnsi="楷体_GB2312" w:eastAsia="楷体_GB2312"/>
          <w:b/>
          <w:sz w:val="32"/>
        </w:rPr>
        <w:t>（一）机关运行经费及公用经费支出情况</w:t>
      </w:r>
    </w:p>
    <w:p w14:paraId="7527FB36">
      <w:pPr>
        <w:spacing w:line="580" w:lineRule="exact"/>
        <w:ind w:firstLine="640"/>
        <w:jc w:val="both"/>
      </w:pPr>
      <w:r>
        <w:rPr>
          <w:rFonts w:ascii="仿宋_GB2312" w:hAnsi="仿宋_GB2312" w:eastAsia="仿宋_GB2312"/>
          <w:b w:val="0"/>
          <w:sz w:val="32"/>
        </w:rPr>
        <w:t>2024年度裕民县第三幼儿园（事业单位）公用经费支出22.16万元，比上年增加22.16万元，增长100.00%，主要原因是：本单位为2023年10月新成立单位，本年增加取暖费、工会经费、福利费，</w:t>
      </w:r>
      <w:r>
        <w:rPr>
          <w:rFonts w:hint="eastAsia" w:ascii="仿宋_GB2312" w:hAnsi="仿宋_GB2312" w:eastAsia="仿宋_GB2312"/>
          <w:b w:val="0"/>
          <w:sz w:val="32"/>
          <w:lang w:val="en-US" w:eastAsia="zh-CN"/>
        </w:rPr>
        <w:t>导致</w:t>
      </w:r>
      <w:r>
        <w:rPr>
          <w:rFonts w:ascii="仿宋_GB2312" w:hAnsi="仿宋_GB2312" w:eastAsia="仿宋_GB2312"/>
          <w:b w:val="0"/>
          <w:sz w:val="32"/>
        </w:rPr>
        <w:t>公用经费增加。</w:t>
      </w:r>
    </w:p>
    <w:p w14:paraId="2EEA59DE">
      <w:pPr>
        <w:spacing w:line="640" w:lineRule="exact"/>
        <w:ind w:firstLine="640"/>
        <w:jc w:val="both"/>
        <w:outlineLvl w:val="3"/>
      </w:pPr>
      <w:r>
        <w:rPr>
          <w:rFonts w:ascii="楷体_GB2312" w:hAnsi="楷体_GB2312" w:eastAsia="楷体_GB2312"/>
          <w:b/>
          <w:sz w:val="32"/>
        </w:rPr>
        <w:t>（二）政府采购情况</w:t>
      </w:r>
    </w:p>
    <w:p w14:paraId="0C63969F">
      <w:pPr>
        <w:spacing w:line="580" w:lineRule="exact"/>
        <w:ind w:firstLine="640"/>
        <w:jc w:val="both"/>
      </w:pPr>
      <w:r>
        <w:rPr>
          <w:rFonts w:ascii="仿宋_GB2312" w:hAnsi="仿宋_GB2312" w:eastAsia="仿宋_GB2312"/>
          <w:b w:val="0"/>
          <w:sz w:val="32"/>
        </w:rPr>
        <w:t>2024年度政府采购支出总额1.19万元，其中：政府采购货物支出1.19万元、政府采购工程支出0.00万元、政府采购服务支出0.00万元。</w:t>
      </w:r>
    </w:p>
    <w:p w14:paraId="1BBF3353">
      <w:pPr>
        <w:spacing w:line="580" w:lineRule="exact"/>
        <w:ind w:firstLine="640"/>
        <w:jc w:val="both"/>
      </w:pPr>
      <w:r>
        <w:rPr>
          <w:rFonts w:ascii="仿宋_GB2312" w:hAnsi="仿宋_GB2312" w:eastAsia="仿宋_GB2312"/>
          <w:b w:val="0"/>
          <w:sz w:val="32"/>
        </w:rPr>
        <w:t>授予中小企业合同金额1.19万元，占政府采购支出总额的100.00%，其中：授予小微企业合同金额1.19万元，占政府采购支出总额的100.00%。</w:t>
      </w:r>
    </w:p>
    <w:p w14:paraId="3DF18540">
      <w:pPr>
        <w:spacing w:line="640" w:lineRule="exact"/>
        <w:ind w:firstLine="640"/>
        <w:jc w:val="both"/>
        <w:outlineLvl w:val="3"/>
      </w:pPr>
      <w:r>
        <w:rPr>
          <w:rFonts w:ascii="楷体_GB2312" w:hAnsi="楷体_GB2312" w:eastAsia="楷体_GB2312"/>
          <w:b/>
          <w:sz w:val="32"/>
        </w:rPr>
        <w:t>（三）国有资产占用情况说明</w:t>
      </w:r>
    </w:p>
    <w:p w14:paraId="6BECEBD0">
      <w:pPr>
        <w:spacing w:line="580" w:lineRule="exact"/>
        <w:ind w:firstLine="640"/>
        <w:jc w:val="both"/>
      </w:pPr>
      <w:r>
        <w:rPr>
          <w:rFonts w:hint="eastAsia" w:ascii="仿宋_GB2312" w:hAnsi="仿宋_GB2312" w:eastAsia="仿宋_GB2312"/>
          <w:b w:val="0"/>
          <w:sz w:val="32"/>
          <w:lang w:eastAsia="zh-CN"/>
        </w:rPr>
        <w:t>截至2024</w:t>
      </w:r>
      <w:r>
        <w:rPr>
          <w:rFonts w:ascii="仿宋_GB2312" w:hAnsi="仿宋_GB2312" w:eastAsia="仿宋_GB2312"/>
          <w:b w:val="0"/>
          <w:sz w:val="32"/>
        </w:rPr>
        <w:t>年12月31日，房屋8,041.63平方米，价值3,093.31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E31195A">
      <w:pPr>
        <w:spacing w:line="640" w:lineRule="exact"/>
        <w:ind w:firstLine="640"/>
        <w:jc w:val="both"/>
        <w:outlineLvl w:val="2"/>
      </w:pPr>
      <w:r>
        <w:rPr>
          <w:rFonts w:ascii="黑体" w:hAnsi="黑体" w:eastAsia="黑体"/>
          <w:sz w:val="32"/>
        </w:rPr>
        <w:t>十一、预算绩效的情况说明</w:t>
      </w:r>
    </w:p>
    <w:p w14:paraId="325AAE4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339.24万元，实际执行总额339.24万元；预算绩效评价项目3个，全年预算数55.02万元，全年执行数55.02万元。预算绩效管理取得的成效：一是财政资金使用效益提升，通过设定清晰的绩效目</w:t>
      </w:r>
      <w:r>
        <w:rPr>
          <w:rFonts w:hint="eastAsia" w:ascii="仿宋_GB2312" w:hAnsi="仿宋_GB2312" w:eastAsia="仿宋_GB2312"/>
          <w:b w:val="0"/>
          <w:sz w:val="32"/>
          <w:lang w:eastAsia="zh-CN"/>
        </w:rPr>
        <w:t>标让</w:t>
      </w:r>
      <w:r>
        <w:rPr>
          <w:rFonts w:ascii="仿宋_GB2312" w:hAnsi="仿宋_GB2312" w:eastAsia="仿宋_GB2312"/>
          <w:b w:val="0"/>
          <w:sz w:val="32"/>
        </w:rPr>
        <w:t>资金使用更精准高效；二是履职责任更加明确具体，将绩效目标与岗位责任挂钩。发现的问题及原因：一是年初预算与年终决算有差距；二是绩效评价结果应用不足，人员专业能力不足，业务人员不懂财务逻辑，财务人员不了解业务实际。下一步改进措施：一是完善预算绩效管理制度，明确岗位职责，完善人员岗位责任制、财务管理制度以及绩效评价制度等内容，充分实现工作目标，按照绩效制度要求，针对具体的分工、职责划</w:t>
      </w:r>
      <w:r>
        <w:rPr>
          <w:rFonts w:hint="eastAsia" w:ascii="仿宋_GB2312" w:hAnsi="仿宋_GB2312" w:eastAsia="仿宋_GB2312"/>
          <w:b w:val="0"/>
          <w:sz w:val="32"/>
          <w:lang w:eastAsia="zh-CN"/>
        </w:rPr>
        <w:t>分和</w:t>
      </w:r>
      <w:r>
        <w:rPr>
          <w:rFonts w:ascii="仿宋_GB2312" w:hAnsi="仿宋_GB2312" w:eastAsia="仿宋_GB2312"/>
          <w:b w:val="0"/>
          <w:sz w:val="32"/>
        </w:rPr>
        <w:t>管理制度进行全面有效的健全和完善，充分有效发挥绩效评价制度的优势和作用。二是增强预算绩效管理的理念，多管齐下宣讲预算绩效管理相关政策，重视绩效预算管理工作，建立预算</w:t>
      </w:r>
      <w:r>
        <w:rPr>
          <w:rFonts w:hint="eastAsia" w:ascii="仿宋_GB2312" w:hAnsi="仿宋_GB2312" w:eastAsia="仿宋_GB2312"/>
          <w:b w:val="0"/>
          <w:sz w:val="32"/>
          <w:lang w:eastAsia="zh-CN"/>
        </w:rPr>
        <w:t>管理</w:t>
      </w:r>
      <w:r>
        <w:rPr>
          <w:rFonts w:ascii="仿宋_GB2312" w:hAnsi="仿宋_GB2312" w:eastAsia="仿宋_GB2312"/>
          <w:b w:val="0"/>
          <w:sz w:val="32"/>
        </w:rPr>
        <w:t>的氛</w:t>
      </w:r>
      <w:r>
        <w:rPr>
          <w:rFonts w:hint="eastAsia" w:ascii="仿宋_GB2312" w:hAnsi="仿宋_GB2312" w:eastAsia="仿宋_GB2312"/>
          <w:b w:val="0"/>
          <w:sz w:val="32"/>
          <w:lang w:eastAsia="zh-CN"/>
        </w:rPr>
        <w:t>围和</w:t>
      </w:r>
      <w:r>
        <w:rPr>
          <w:rFonts w:ascii="仿宋_GB2312" w:hAnsi="仿宋_GB2312" w:eastAsia="仿宋_GB2312"/>
          <w:b w:val="0"/>
          <w:sz w:val="32"/>
        </w:rPr>
        <w:t>文化，领导要带头重视，相关科室协调参与，明确科室责任，增强工作人员和领导的绩效管理意识。具体附整体支出绩效自评表，项目支出绩效自评表和评价报告。</w:t>
      </w:r>
    </w:p>
    <w:p w14:paraId="2E00FD6F">
      <w:r>
        <w:br w:type="page"/>
      </w:r>
    </w:p>
    <w:tbl>
      <w:tblPr>
        <w:tblStyle w:val="9"/>
        <w:tblW w:w="8840" w:type="dxa"/>
        <w:tblInd w:w="0" w:type="dxa"/>
        <w:tblLayout w:type="fixed"/>
        <w:tblCellMar>
          <w:top w:w="0" w:type="dxa"/>
          <w:left w:w="108" w:type="dxa"/>
          <w:bottom w:w="0" w:type="dxa"/>
          <w:right w:w="108" w:type="dxa"/>
        </w:tblCellMar>
      </w:tblPr>
      <w:tblGrid>
        <w:gridCol w:w="1105"/>
        <w:gridCol w:w="878"/>
        <w:gridCol w:w="227"/>
        <w:gridCol w:w="1105"/>
        <w:gridCol w:w="415"/>
        <w:gridCol w:w="690"/>
        <w:gridCol w:w="217"/>
        <w:gridCol w:w="533"/>
        <w:gridCol w:w="355"/>
        <w:gridCol w:w="965"/>
        <w:gridCol w:w="140"/>
        <w:gridCol w:w="607"/>
        <w:gridCol w:w="498"/>
        <w:gridCol w:w="462"/>
        <w:gridCol w:w="643"/>
      </w:tblGrid>
      <w:tr w14:paraId="13130F4A">
        <w:tblPrEx>
          <w:tblCellMar>
            <w:top w:w="0" w:type="dxa"/>
            <w:left w:w="108" w:type="dxa"/>
            <w:bottom w:w="0" w:type="dxa"/>
            <w:right w:w="108" w:type="dxa"/>
          </w:tblCellMar>
        </w:tblPrEx>
        <w:tc>
          <w:tcPr>
            <w:tcW w:w="8840" w:type="dxa"/>
            <w:gridSpan w:val="15"/>
            <w:vAlign w:val="center"/>
          </w:tcPr>
          <w:p w14:paraId="652F5675">
            <w:pPr>
              <w:jc w:val="center"/>
            </w:pPr>
            <w:r>
              <w:rPr>
                <w:rFonts w:ascii="宋体" w:hAnsi="宋体" w:eastAsia="宋体"/>
                <w:sz w:val="24"/>
              </w:rPr>
              <w:t>单位整体支出绩效自评表</w:t>
            </w:r>
          </w:p>
        </w:tc>
      </w:tr>
      <w:tr w14:paraId="75374665">
        <w:tblPrEx>
          <w:tblCellMar>
            <w:top w:w="0" w:type="dxa"/>
            <w:left w:w="108" w:type="dxa"/>
            <w:bottom w:w="0" w:type="dxa"/>
            <w:right w:w="108" w:type="dxa"/>
          </w:tblCellMar>
        </w:tblPrEx>
        <w:tc>
          <w:tcPr>
            <w:tcW w:w="8840" w:type="dxa"/>
            <w:gridSpan w:val="15"/>
            <w:vAlign w:val="center"/>
          </w:tcPr>
          <w:p w14:paraId="2B462556">
            <w:pPr>
              <w:jc w:val="center"/>
            </w:pPr>
            <w:r>
              <w:rPr>
                <w:rFonts w:ascii="宋体" w:hAnsi="宋体" w:eastAsia="宋体"/>
                <w:sz w:val="24"/>
              </w:rPr>
              <w:t>（2024年度）</w:t>
            </w:r>
          </w:p>
        </w:tc>
      </w:tr>
      <w:tr w14:paraId="4526077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644564">
            <w:pPr>
              <w:jc w:val="center"/>
            </w:pPr>
            <w:r>
              <w:rPr>
                <w:rFonts w:ascii="宋体" w:hAnsi="宋体" w:eastAsia="宋体"/>
                <w:sz w:val="16"/>
              </w:rPr>
              <w:t>单位名称</w:t>
            </w:r>
          </w:p>
        </w:tc>
        <w:tc>
          <w:tcPr>
            <w:tcW w:w="7735"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0ADC1B7">
            <w:pPr>
              <w:jc w:val="center"/>
            </w:pPr>
            <w:r>
              <w:rPr>
                <w:rFonts w:ascii="宋体" w:hAnsi="宋体" w:eastAsia="宋体"/>
                <w:sz w:val="16"/>
              </w:rPr>
              <w:t>裕民县第三幼儿园</w:t>
            </w:r>
          </w:p>
        </w:tc>
      </w:tr>
      <w:tr w14:paraId="7A04444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86FF65">
            <w:pPr>
              <w:jc w:val="center"/>
            </w:pPr>
            <w:r>
              <w:rPr>
                <w:rFonts w:ascii="宋体" w:hAnsi="宋体" w:eastAsia="宋体"/>
                <w:sz w:val="16"/>
              </w:rPr>
              <w:t>部门资金（万元）</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3FCC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35CBFB">
            <w:pPr>
              <w:jc w:val="center"/>
            </w:pPr>
            <w:r>
              <w:rPr>
                <w:rFonts w:ascii="宋体" w:hAnsi="宋体" w:eastAsia="宋体"/>
                <w:sz w:val="16"/>
              </w:rPr>
              <w:t>年初预算数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469E1">
            <w:pPr>
              <w:jc w:val="center"/>
            </w:pPr>
            <w:r>
              <w:rPr>
                <w:rFonts w:ascii="宋体" w:hAnsi="宋体" w:eastAsia="宋体"/>
                <w:sz w:val="16"/>
              </w:rPr>
              <w:t>全年预算数</w:t>
            </w:r>
          </w:p>
        </w:tc>
        <w:tc>
          <w:tcPr>
            <w:tcW w:w="110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F6E12CE">
            <w:pPr>
              <w:jc w:val="center"/>
            </w:pPr>
            <w:r>
              <w:rPr>
                <w:rFonts w:ascii="宋体" w:hAnsi="宋体" w:eastAsia="宋体"/>
                <w:sz w:val="16"/>
              </w:rPr>
              <w:t>全年执行数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CC2F0">
            <w:pPr>
              <w:jc w:val="center"/>
            </w:pPr>
            <w:r>
              <w:rPr>
                <w:rFonts w:ascii="宋体" w:hAnsi="宋体" w:eastAsia="宋体"/>
                <w:sz w:val="16"/>
              </w:rPr>
              <w:t>分值权重</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1F627">
            <w:pPr>
              <w:jc w:val="center"/>
            </w:pPr>
            <w:r>
              <w:rPr>
                <w:rFonts w:ascii="宋体" w:hAnsi="宋体" w:eastAsia="宋体"/>
                <w:sz w:val="16"/>
              </w:rPr>
              <w:t>执行率</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2E608">
            <w:pPr>
              <w:jc w:val="center"/>
            </w:pPr>
            <w:r>
              <w:rPr>
                <w:rFonts w:ascii="宋体" w:hAnsi="宋体" w:eastAsia="宋体"/>
                <w:sz w:val="16"/>
              </w:rPr>
              <w:t>得分</w:t>
            </w:r>
          </w:p>
        </w:tc>
      </w:tr>
      <w:tr w14:paraId="290A4D5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29EEFE"/>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7B31A">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C9D543">
            <w:pPr>
              <w:jc w:val="center"/>
            </w:pPr>
            <w:r>
              <w:rPr>
                <w:rFonts w:ascii="宋体" w:hAnsi="宋体" w:eastAsia="宋体"/>
                <w:sz w:val="16"/>
              </w:rPr>
              <w:t>334.85</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2E842">
            <w:pPr>
              <w:jc w:val="center"/>
            </w:pPr>
            <w:r>
              <w:rPr>
                <w:rFonts w:ascii="宋体" w:hAnsi="宋体" w:eastAsia="宋体"/>
                <w:sz w:val="16"/>
              </w:rPr>
              <w:t>339.24</w:t>
            </w:r>
          </w:p>
        </w:tc>
        <w:tc>
          <w:tcPr>
            <w:tcW w:w="110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6E5D16">
            <w:pPr>
              <w:jc w:val="center"/>
            </w:pPr>
            <w:r>
              <w:rPr>
                <w:rFonts w:ascii="宋体" w:hAnsi="宋体" w:eastAsia="宋体"/>
                <w:sz w:val="16"/>
              </w:rPr>
              <w:t>339.24</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A2FB5">
            <w:pPr>
              <w:jc w:val="center"/>
            </w:pPr>
            <w:r>
              <w:rPr>
                <w:rFonts w:ascii="宋体" w:hAnsi="宋体" w:eastAsia="宋体"/>
                <w:sz w:val="16"/>
              </w:rPr>
              <w:t>10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B8F4A">
            <w:pPr>
              <w:jc w:val="center"/>
            </w:pPr>
            <w:r>
              <w:rPr>
                <w:rFonts w:ascii="宋体" w:hAnsi="宋体" w:eastAsia="宋体"/>
                <w:sz w:val="16"/>
              </w:rPr>
              <w:t>100%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857A2">
            <w:pPr>
              <w:jc w:val="center"/>
            </w:pPr>
            <w:r>
              <w:rPr>
                <w:rFonts w:ascii="宋体" w:hAnsi="宋体" w:eastAsia="宋体"/>
                <w:sz w:val="16"/>
              </w:rPr>
              <w:t>10</w:t>
            </w:r>
          </w:p>
        </w:tc>
      </w:tr>
      <w:tr w14:paraId="16006B0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CAD5F6"/>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858ED">
            <w:pPr>
              <w:jc w:val="center"/>
            </w:pPr>
            <w:r>
              <w:rPr>
                <w:rFonts w:ascii="宋体" w:hAnsi="宋体" w:eastAsia="宋体"/>
                <w:sz w:val="16"/>
              </w:rPr>
              <w:t>其中</w:t>
            </w:r>
            <w:r>
              <w:rPr>
                <w:rFonts w:hint="eastAsia" w:ascii="宋体" w:hAnsi="宋体"/>
                <w:sz w:val="16"/>
                <w:lang w:eastAsia="zh-CN"/>
              </w:rPr>
              <w:t>：</w:t>
            </w:r>
            <w:r>
              <w:rPr>
                <w:rFonts w:ascii="宋体" w:hAnsi="宋体" w:eastAsia="宋体"/>
                <w:sz w:val="16"/>
              </w:rPr>
              <w:t>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DABA12">
            <w:pPr>
              <w:jc w:val="center"/>
            </w:pPr>
            <w:r>
              <w:rPr>
                <w:rFonts w:ascii="宋体" w:hAnsi="宋体" w:eastAsia="宋体"/>
                <w:sz w:val="16"/>
              </w:rPr>
              <w:t>12.00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441A0">
            <w:pPr>
              <w:jc w:val="center"/>
            </w:pPr>
            <w:r>
              <w:rPr>
                <w:rFonts w:ascii="宋体" w:hAnsi="宋体" w:eastAsia="宋体"/>
                <w:sz w:val="16"/>
              </w:rPr>
              <w:t>12.00</w:t>
            </w:r>
          </w:p>
        </w:tc>
        <w:tc>
          <w:tcPr>
            <w:tcW w:w="110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A63A145">
            <w:pPr>
              <w:jc w:val="center"/>
            </w:pPr>
            <w:r>
              <w:rPr>
                <w:rFonts w:ascii="宋体" w:hAnsi="宋体" w:eastAsia="宋体"/>
                <w:sz w:val="16"/>
              </w:rPr>
              <w:t>12.00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40C7B">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9B2BC">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C02A4">
            <w:pPr>
              <w:jc w:val="center"/>
            </w:pPr>
            <w:r>
              <w:rPr>
                <w:rFonts w:ascii="宋体" w:hAnsi="宋体" w:eastAsia="宋体"/>
                <w:sz w:val="16"/>
              </w:rPr>
              <w:t>-</w:t>
            </w:r>
          </w:p>
        </w:tc>
      </w:tr>
      <w:tr w14:paraId="036BED3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10ACD1"/>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E5CC9">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A2AA27">
            <w:pPr>
              <w:jc w:val="center"/>
            </w:pPr>
            <w:r>
              <w:rPr>
                <w:rFonts w:ascii="宋体" w:hAnsi="宋体" w:eastAsia="宋体"/>
                <w:sz w:val="16"/>
              </w:rPr>
              <w:t>320.85</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EC121">
            <w:pPr>
              <w:jc w:val="center"/>
            </w:pPr>
            <w:r>
              <w:rPr>
                <w:rFonts w:ascii="宋体" w:hAnsi="宋体" w:eastAsia="宋体"/>
                <w:sz w:val="16"/>
              </w:rPr>
              <w:t>327.24</w:t>
            </w:r>
          </w:p>
        </w:tc>
        <w:tc>
          <w:tcPr>
            <w:tcW w:w="110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D75ECD">
            <w:pPr>
              <w:jc w:val="center"/>
            </w:pPr>
            <w:r>
              <w:rPr>
                <w:rFonts w:ascii="宋体" w:hAnsi="宋体" w:eastAsia="宋体"/>
                <w:sz w:val="16"/>
              </w:rPr>
              <w:t>327.24</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875AB">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5DEC3">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5753F">
            <w:pPr>
              <w:jc w:val="center"/>
            </w:pPr>
            <w:r>
              <w:rPr>
                <w:rFonts w:ascii="宋体" w:hAnsi="宋体" w:eastAsia="宋体"/>
                <w:sz w:val="16"/>
              </w:rPr>
              <w:t>-</w:t>
            </w:r>
          </w:p>
        </w:tc>
      </w:tr>
      <w:tr w14:paraId="6B3A7F2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0C9FD4"/>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3AC37">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58A299">
            <w:pPr>
              <w:jc w:val="center"/>
            </w:pPr>
            <w:r>
              <w:rPr>
                <w:rFonts w:ascii="宋体" w:hAnsi="宋体" w:eastAsia="宋体"/>
                <w:sz w:val="16"/>
              </w:rPr>
              <w:t>2.00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5FBDF">
            <w:pPr>
              <w:jc w:val="center"/>
            </w:pPr>
            <w:r>
              <w:rPr>
                <w:rFonts w:ascii="宋体" w:hAnsi="宋体" w:eastAsia="宋体"/>
                <w:sz w:val="16"/>
              </w:rPr>
              <w:t>0.00</w:t>
            </w:r>
          </w:p>
        </w:tc>
        <w:tc>
          <w:tcPr>
            <w:tcW w:w="110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7ED010">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1566B">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A1E3A">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0FE55">
            <w:pPr>
              <w:jc w:val="center"/>
            </w:pPr>
            <w:r>
              <w:rPr>
                <w:rFonts w:ascii="宋体" w:hAnsi="宋体" w:eastAsia="宋体"/>
                <w:sz w:val="16"/>
              </w:rPr>
              <w:t>-</w:t>
            </w:r>
          </w:p>
        </w:tc>
      </w:tr>
      <w:tr w14:paraId="4F0FDD0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E6D0BF">
            <w:pPr>
              <w:jc w:val="center"/>
            </w:pPr>
            <w:r>
              <w:rPr>
                <w:rFonts w:ascii="宋体" w:hAnsi="宋体" w:eastAsia="宋体"/>
                <w:sz w:val="16"/>
              </w:rPr>
              <w:t>年度总体目标</w:t>
            </w:r>
          </w:p>
        </w:tc>
        <w:tc>
          <w:tcPr>
            <w:tcW w:w="406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7C0EDB">
            <w:pPr>
              <w:jc w:val="center"/>
            </w:pPr>
            <w:r>
              <w:rPr>
                <w:rFonts w:ascii="宋体" w:hAnsi="宋体" w:eastAsia="宋体"/>
                <w:sz w:val="16"/>
              </w:rPr>
              <w:t>预期目标</w:t>
            </w:r>
          </w:p>
        </w:tc>
        <w:tc>
          <w:tcPr>
            <w:tcW w:w="367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65E75A">
            <w:pPr>
              <w:jc w:val="center"/>
            </w:pPr>
            <w:r>
              <w:rPr>
                <w:rFonts w:ascii="宋体" w:hAnsi="宋体" w:eastAsia="宋体"/>
                <w:sz w:val="16"/>
              </w:rPr>
              <w:t>实际完成情况</w:t>
            </w:r>
          </w:p>
        </w:tc>
      </w:tr>
      <w:tr w14:paraId="4A41807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C2A683"/>
        </w:tc>
        <w:tc>
          <w:tcPr>
            <w:tcW w:w="406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2ABA1B">
            <w:pPr>
              <w:jc w:val="left"/>
              <w:rPr>
                <w:rFonts w:ascii="宋体" w:hAnsi="宋体" w:eastAsia="宋体"/>
                <w:sz w:val="16"/>
              </w:rPr>
            </w:pPr>
            <w:r>
              <w:rPr>
                <w:rFonts w:ascii="宋体" w:hAnsi="宋体" w:eastAsia="宋体"/>
                <w:sz w:val="16"/>
              </w:rPr>
              <w:t>目标1：根据幼儿园一般公共预算基本支出情况，按时发放基本工资津贴补贴、奖金、绩效工资、机关事业单位基本养老保险缴费、职业年金缴费、职工基本医疗保险缴费、其他社会保障缴费、住房公积金、医疗费、其他工资福利支出、其他对个人和家庭的补助等费用。</w:t>
            </w:r>
          </w:p>
          <w:p w14:paraId="1DD6532B">
            <w:pPr>
              <w:jc w:val="left"/>
              <w:rPr>
                <w:rFonts w:ascii="宋体" w:hAnsi="宋体" w:eastAsia="宋体"/>
                <w:sz w:val="16"/>
              </w:rPr>
            </w:pPr>
            <w:r>
              <w:rPr>
                <w:rFonts w:ascii="宋体" w:hAnsi="宋体" w:eastAsia="宋体"/>
                <w:sz w:val="16"/>
              </w:rPr>
              <w:t>目标2：根据我园每学期幼儿的入园人数预算我园的幼儿伙食补助和幼儿公用经费。</w:t>
            </w:r>
          </w:p>
          <w:p w14:paraId="07F1A1A5">
            <w:pPr>
              <w:jc w:val="left"/>
              <w:rPr>
                <w:rFonts w:ascii="宋体" w:hAnsi="宋体" w:eastAsia="宋体"/>
                <w:sz w:val="16"/>
              </w:rPr>
            </w:pPr>
            <w:r>
              <w:rPr>
                <w:rFonts w:ascii="宋体" w:hAnsi="宋体" w:eastAsia="宋体"/>
                <w:sz w:val="16"/>
              </w:rPr>
              <w:t>目标3：及时完成安排的教师外培训产生的培训费、班主任支出预算工作，对费用支出落实到位。通过教师培训，更新教师陈旧知识，把教育与社会实践相结合，造就一批有理想、有道德、有文化、有纪律的青少年人才，从德育、智育、体育、美育等方面全面提升学生素质，</w:t>
            </w:r>
            <w:r>
              <w:rPr>
                <w:rFonts w:hint="eastAsia" w:ascii="宋体" w:hAnsi="宋体"/>
                <w:sz w:val="16"/>
                <w:lang w:eastAsia="zh-CN"/>
              </w:rPr>
              <w:t>办好人民满意的教育</w:t>
            </w:r>
            <w:r>
              <w:rPr>
                <w:rFonts w:ascii="宋体" w:hAnsi="宋体" w:eastAsia="宋体"/>
                <w:sz w:val="16"/>
              </w:rPr>
              <w:t>。</w:t>
            </w:r>
          </w:p>
          <w:p w14:paraId="41FFDF07">
            <w:pPr>
              <w:jc w:val="left"/>
            </w:pPr>
            <w:r>
              <w:rPr>
                <w:rFonts w:ascii="宋体" w:hAnsi="宋体" w:eastAsia="宋体"/>
                <w:sz w:val="16"/>
              </w:rPr>
              <w:t>目标4：及时完成幼儿伙食补助支出。</w:t>
            </w:r>
          </w:p>
        </w:tc>
        <w:tc>
          <w:tcPr>
            <w:tcW w:w="367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D657FF">
            <w:pPr>
              <w:jc w:val="left"/>
              <w:rPr>
                <w:rFonts w:ascii="宋体" w:hAnsi="宋体" w:eastAsia="宋体"/>
                <w:sz w:val="16"/>
              </w:rPr>
            </w:pPr>
            <w:r>
              <w:rPr>
                <w:rFonts w:ascii="宋体" w:hAnsi="宋体" w:eastAsia="宋体"/>
                <w:sz w:val="16"/>
              </w:rPr>
              <w:t>按时发放基本工资津贴补贴、奖金、绩效工资、机关事业单位基本养老保险缴费、职业年金缴费、职工基本医疗保险缴费、其他社会保障缴费、住房公积金、医疗费、其他工资福利支出、其他对个人和家庭的补助等费用。</w:t>
            </w:r>
          </w:p>
          <w:p w14:paraId="7CCF4C96">
            <w:pPr>
              <w:jc w:val="left"/>
              <w:rPr>
                <w:rFonts w:ascii="宋体" w:hAnsi="宋体" w:eastAsia="宋体"/>
                <w:sz w:val="16"/>
              </w:rPr>
            </w:pPr>
            <w:r>
              <w:rPr>
                <w:rFonts w:ascii="宋体" w:hAnsi="宋体" w:eastAsia="宋体"/>
                <w:sz w:val="16"/>
              </w:rPr>
              <w:t>目标2：根据我园每学期幼儿的入园人数预算我园的幼儿伙食补助和幼儿公用经费。</w:t>
            </w:r>
          </w:p>
          <w:p w14:paraId="5FA0502B">
            <w:pPr>
              <w:jc w:val="left"/>
              <w:rPr>
                <w:rFonts w:ascii="宋体" w:hAnsi="宋体" w:eastAsia="宋体"/>
                <w:sz w:val="16"/>
              </w:rPr>
            </w:pPr>
            <w:r>
              <w:rPr>
                <w:rFonts w:ascii="宋体" w:hAnsi="宋体" w:eastAsia="宋体"/>
                <w:sz w:val="16"/>
              </w:rPr>
              <w:t>目标3：及时完成安排的教师外培训产生的培训费、班主任支出预算工作，对费用支出落实到位。通过教师培训，更新教师陈旧知识，把教育与社会实践相结合，造就一批有理想、有道德、有文化、有纪律的青少年人才，从德育、智育、体育、美育等方面全面提升学生素质，</w:t>
            </w:r>
            <w:bookmarkStart w:id="0" w:name="_GoBack"/>
            <w:r>
              <w:rPr>
                <w:rFonts w:hint="eastAsia" w:ascii="宋体" w:hAnsi="宋体"/>
                <w:sz w:val="16"/>
                <w:lang w:eastAsia="zh-CN"/>
              </w:rPr>
              <w:t>办好人民满意的教育</w:t>
            </w:r>
            <w:bookmarkEnd w:id="0"/>
            <w:r>
              <w:rPr>
                <w:rFonts w:ascii="宋体" w:hAnsi="宋体" w:eastAsia="宋体"/>
                <w:sz w:val="16"/>
              </w:rPr>
              <w:t>。</w:t>
            </w:r>
          </w:p>
          <w:p w14:paraId="7E90036C">
            <w:pPr>
              <w:jc w:val="left"/>
              <w:rPr>
                <w:rFonts w:ascii="宋体" w:hAnsi="宋体" w:eastAsia="宋体"/>
                <w:sz w:val="16"/>
              </w:rPr>
            </w:pPr>
            <w:r>
              <w:rPr>
                <w:rFonts w:ascii="宋体" w:hAnsi="宋体" w:eastAsia="宋体"/>
                <w:sz w:val="16"/>
              </w:rPr>
              <w:t>目标4：及时完成幼儿伙食补助支出。</w:t>
            </w:r>
          </w:p>
        </w:tc>
      </w:tr>
      <w:tr w14:paraId="0117A6D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9E8B79">
            <w:pPr>
              <w:jc w:val="center"/>
            </w:pPr>
            <w:r>
              <w:rPr>
                <w:rFonts w:ascii="宋体" w:hAnsi="宋体" w:eastAsia="宋体"/>
                <w:sz w:val="16"/>
              </w:rPr>
              <w:t>一级指标</w:t>
            </w:r>
          </w:p>
        </w:tc>
        <w:tc>
          <w:tcPr>
            <w:tcW w:w="878" w:type="dxa"/>
            <w:tcBorders>
              <w:top w:val="single" w:color="auto" w:sz="10" w:space="0"/>
              <w:left w:val="single" w:color="auto" w:sz="10" w:space="0"/>
              <w:bottom w:val="single" w:color="auto" w:sz="10" w:space="0"/>
              <w:right w:val="single" w:color="auto" w:sz="10" w:space="0"/>
              <w:insideV w:val="single" w:sz="10" w:space="0"/>
            </w:tcBorders>
            <w:vAlign w:val="center"/>
          </w:tcPr>
          <w:p w14:paraId="46E2F33C">
            <w:pPr>
              <w:jc w:val="center"/>
            </w:pPr>
            <w:r>
              <w:rPr>
                <w:rFonts w:ascii="宋体" w:hAnsi="宋体" w:eastAsia="宋体"/>
                <w:sz w:val="16"/>
              </w:rPr>
              <w:t>二级指标</w:t>
            </w:r>
          </w:p>
        </w:tc>
        <w:tc>
          <w:tcPr>
            <w:tcW w:w="174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804944">
            <w:pPr>
              <w:jc w:val="center"/>
            </w:pPr>
            <w:r>
              <w:rPr>
                <w:rFonts w:ascii="宋体" w:hAnsi="宋体" w:eastAsia="宋体"/>
                <w:sz w:val="16"/>
              </w:rPr>
              <w:t>三级指标</w:t>
            </w:r>
          </w:p>
        </w:tc>
        <w:tc>
          <w:tcPr>
            <w:tcW w:w="9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760F0">
            <w:pPr>
              <w:jc w:val="center"/>
            </w:pPr>
            <w:r>
              <w:rPr>
                <w:rFonts w:ascii="宋体" w:hAnsi="宋体" w:eastAsia="宋体"/>
                <w:sz w:val="16"/>
              </w:rPr>
              <w:t>预期指标值</w:t>
            </w:r>
          </w:p>
        </w:tc>
        <w:tc>
          <w:tcPr>
            <w:tcW w:w="185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5AA51A">
            <w:pPr>
              <w:jc w:val="center"/>
            </w:pPr>
            <w:r>
              <w:rPr>
                <w:rFonts w:ascii="宋体" w:hAnsi="宋体" w:eastAsia="宋体"/>
                <w:sz w:val="16"/>
              </w:rPr>
              <w:t>指标值设定依据</w:t>
            </w:r>
          </w:p>
        </w:tc>
        <w:tc>
          <w:tcPr>
            <w:tcW w:w="7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3C958">
            <w:pPr>
              <w:jc w:val="center"/>
            </w:pPr>
            <w:r>
              <w:rPr>
                <w:rFonts w:ascii="宋体" w:hAnsi="宋体" w:eastAsia="宋体"/>
                <w:sz w:val="16"/>
              </w:rPr>
              <w:t>分值权重</w:t>
            </w:r>
          </w:p>
        </w:tc>
        <w:tc>
          <w:tcPr>
            <w:tcW w:w="9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31C06">
            <w:pPr>
              <w:jc w:val="center"/>
            </w:pPr>
            <w:r>
              <w:rPr>
                <w:rFonts w:ascii="宋体" w:hAnsi="宋体" w:eastAsia="宋体"/>
                <w:sz w:val="16"/>
              </w:rPr>
              <w:t>实际完成指标值</w:t>
            </w:r>
          </w:p>
        </w:tc>
        <w:tc>
          <w:tcPr>
            <w:tcW w:w="643" w:type="dxa"/>
            <w:tcBorders>
              <w:top w:val="single" w:color="auto" w:sz="10" w:space="0"/>
              <w:left w:val="single" w:color="auto" w:sz="10" w:space="0"/>
              <w:bottom w:val="single" w:color="auto" w:sz="10" w:space="0"/>
              <w:right w:val="single" w:color="auto" w:sz="10" w:space="0"/>
              <w:insideV w:val="single" w:sz="10" w:space="0"/>
            </w:tcBorders>
            <w:vAlign w:val="center"/>
          </w:tcPr>
          <w:p w14:paraId="4D0FB4A9">
            <w:pPr>
              <w:jc w:val="center"/>
            </w:pPr>
            <w:r>
              <w:rPr>
                <w:rFonts w:ascii="宋体" w:hAnsi="宋体" w:eastAsia="宋体"/>
                <w:sz w:val="16"/>
              </w:rPr>
              <w:t>得分</w:t>
            </w:r>
          </w:p>
        </w:tc>
      </w:tr>
      <w:tr w14:paraId="0A02B3F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21B396">
            <w:pPr>
              <w:jc w:val="center"/>
            </w:pPr>
            <w:r>
              <w:rPr>
                <w:rFonts w:ascii="宋体" w:hAnsi="宋体" w:eastAsia="宋体"/>
                <w:sz w:val="16"/>
              </w:rPr>
              <w:t>履职效能</w:t>
            </w:r>
          </w:p>
        </w:tc>
        <w:tc>
          <w:tcPr>
            <w:tcW w:w="8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21AD22">
            <w:pPr>
              <w:jc w:val="center"/>
            </w:pPr>
            <w:r>
              <w:rPr>
                <w:rFonts w:ascii="宋体" w:hAnsi="宋体" w:eastAsia="宋体"/>
                <w:sz w:val="16"/>
              </w:rPr>
              <w:t>数量指标</w:t>
            </w:r>
          </w:p>
        </w:tc>
        <w:tc>
          <w:tcPr>
            <w:tcW w:w="174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DF03D8">
            <w:pPr>
              <w:jc w:val="center"/>
            </w:pPr>
            <w:r>
              <w:rPr>
                <w:rFonts w:ascii="宋体" w:hAnsi="宋体" w:eastAsia="宋体"/>
                <w:sz w:val="16"/>
              </w:rPr>
              <w:t>在职教职工人数</w:t>
            </w:r>
          </w:p>
        </w:tc>
        <w:tc>
          <w:tcPr>
            <w:tcW w:w="9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9F775">
            <w:pPr>
              <w:jc w:val="center"/>
            </w:pPr>
            <w:r>
              <w:rPr>
                <w:rFonts w:hint="eastAsia" w:ascii="宋体" w:hAnsi="宋体"/>
                <w:sz w:val="16"/>
                <w:lang w:val="en-US" w:eastAsia="zh-CN"/>
              </w:rPr>
              <w:t>16</w:t>
            </w:r>
            <w:r>
              <w:rPr>
                <w:rFonts w:ascii="宋体" w:hAnsi="宋体" w:eastAsia="宋体"/>
                <w:sz w:val="16"/>
              </w:rPr>
              <w:t>人</w:t>
            </w:r>
          </w:p>
        </w:tc>
        <w:tc>
          <w:tcPr>
            <w:tcW w:w="185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079CE4">
            <w:pPr>
              <w:jc w:val="center"/>
            </w:pPr>
            <w:r>
              <w:rPr>
                <w:rFonts w:ascii="宋体" w:hAnsi="宋体" w:eastAsia="宋体"/>
                <w:sz w:val="16"/>
              </w:rPr>
              <w:t>2024年重点工作计划</w:t>
            </w:r>
          </w:p>
        </w:tc>
        <w:tc>
          <w:tcPr>
            <w:tcW w:w="7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538D8">
            <w:pPr>
              <w:jc w:val="center"/>
            </w:pPr>
            <w:r>
              <w:rPr>
                <w:rFonts w:ascii="宋体" w:hAnsi="宋体" w:eastAsia="宋体"/>
                <w:sz w:val="16"/>
              </w:rPr>
              <w:t>15</w:t>
            </w:r>
          </w:p>
        </w:tc>
        <w:tc>
          <w:tcPr>
            <w:tcW w:w="9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98CD7">
            <w:pPr>
              <w:jc w:val="center"/>
            </w:pPr>
            <w:r>
              <w:rPr>
                <w:rFonts w:hint="eastAsia" w:ascii="宋体" w:hAnsi="宋体"/>
                <w:sz w:val="16"/>
                <w:lang w:val="en-US" w:eastAsia="zh-CN"/>
              </w:rPr>
              <w:t>16</w:t>
            </w:r>
            <w:r>
              <w:rPr>
                <w:rFonts w:ascii="宋体" w:hAnsi="宋体" w:eastAsia="宋体"/>
                <w:sz w:val="16"/>
              </w:rPr>
              <w:t>人</w:t>
            </w:r>
          </w:p>
        </w:tc>
        <w:tc>
          <w:tcPr>
            <w:tcW w:w="643" w:type="dxa"/>
            <w:tcBorders>
              <w:top w:val="single" w:color="auto" w:sz="10" w:space="0"/>
              <w:left w:val="single" w:color="auto" w:sz="10" w:space="0"/>
              <w:bottom w:val="single" w:color="auto" w:sz="10" w:space="0"/>
              <w:right w:val="single" w:color="auto" w:sz="10" w:space="0"/>
              <w:insideV w:val="single" w:sz="10" w:space="0"/>
            </w:tcBorders>
            <w:vAlign w:val="center"/>
          </w:tcPr>
          <w:p w14:paraId="45BBCD39">
            <w:pPr>
              <w:jc w:val="center"/>
            </w:pPr>
            <w:r>
              <w:rPr>
                <w:rFonts w:ascii="宋体" w:hAnsi="宋体" w:eastAsia="宋体"/>
                <w:sz w:val="16"/>
              </w:rPr>
              <w:t>15</w:t>
            </w:r>
          </w:p>
        </w:tc>
      </w:tr>
      <w:tr w14:paraId="55E96F1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DAC996"/>
        </w:tc>
        <w:tc>
          <w:tcPr>
            <w:tcW w:w="878" w:type="dxa"/>
            <w:vMerge w:val="continue"/>
            <w:tcBorders>
              <w:top w:val="single" w:color="auto" w:sz="10" w:space="0"/>
              <w:left w:val="single" w:color="auto" w:sz="10" w:space="0"/>
              <w:bottom w:val="single" w:color="auto" w:sz="10" w:space="0"/>
              <w:right w:val="single" w:color="auto" w:sz="10" w:space="0"/>
              <w:insideV w:val="single" w:sz="10" w:space="0"/>
            </w:tcBorders>
          </w:tcPr>
          <w:p w14:paraId="4CFA0B7D"/>
        </w:tc>
        <w:tc>
          <w:tcPr>
            <w:tcW w:w="174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39DD47">
            <w:pPr>
              <w:jc w:val="center"/>
            </w:pPr>
            <w:r>
              <w:rPr>
                <w:rFonts w:ascii="宋体" w:hAnsi="宋体" w:eastAsia="宋体"/>
                <w:sz w:val="16"/>
              </w:rPr>
              <w:t>学前三年免费教育补助幼儿人数</w:t>
            </w:r>
          </w:p>
        </w:tc>
        <w:tc>
          <w:tcPr>
            <w:tcW w:w="9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E6F2C">
            <w:pPr>
              <w:jc w:val="center"/>
            </w:pPr>
            <w:r>
              <w:rPr>
                <w:rFonts w:ascii="宋体" w:hAnsi="宋体" w:eastAsia="宋体"/>
                <w:sz w:val="16"/>
              </w:rPr>
              <w:t>131人</w:t>
            </w:r>
          </w:p>
        </w:tc>
        <w:tc>
          <w:tcPr>
            <w:tcW w:w="185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A5F642">
            <w:pPr>
              <w:jc w:val="center"/>
            </w:pPr>
            <w:r>
              <w:rPr>
                <w:rFonts w:ascii="宋体" w:hAnsi="宋体" w:eastAsia="宋体"/>
                <w:sz w:val="16"/>
              </w:rPr>
              <w:t>2024年重点工作计划</w:t>
            </w:r>
          </w:p>
        </w:tc>
        <w:tc>
          <w:tcPr>
            <w:tcW w:w="7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A62B3">
            <w:pPr>
              <w:jc w:val="center"/>
            </w:pPr>
            <w:r>
              <w:rPr>
                <w:rFonts w:ascii="宋体" w:hAnsi="宋体" w:eastAsia="宋体"/>
                <w:sz w:val="16"/>
              </w:rPr>
              <w:t>15</w:t>
            </w:r>
          </w:p>
        </w:tc>
        <w:tc>
          <w:tcPr>
            <w:tcW w:w="9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FB20F">
            <w:pPr>
              <w:jc w:val="center"/>
            </w:pPr>
            <w:r>
              <w:rPr>
                <w:rFonts w:ascii="宋体" w:hAnsi="宋体" w:eastAsia="宋体"/>
                <w:sz w:val="16"/>
              </w:rPr>
              <w:t>131人</w:t>
            </w:r>
          </w:p>
        </w:tc>
        <w:tc>
          <w:tcPr>
            <w:tcW w:w="643" w:type="dxa"/>
            <w:tcBorders>
              <w:top w:val="single" w:color="auto" w:sz="10" w:space="0"/>
              <w:left w:val="single" w:color="auto" w:sz="10" w:space="0"/>
              <w:bottom w:val="single" w:color="auto" w:sz="10" w:space="0"/>
              <w:right w:val="single" w:color="auto" w:sz="10" w:space="0"/>
              <w:insideV w:val="single" w:sz="10" w:space="0"/>
            </w:tcBorders>
            <w:vAlign w:val="center"/>
          </w:tcPr>
          <w:p w14:paraId="6E7236A1">
            <w:pPr>
              <w:jc w:val="center"/>
            </w:pPr>
            <w:r>
              <w:rPr>
                <w:rFonts w:ascii="宋体" w:hAnsi="宋体" w:eastAsia="宋体"/>
                <w:sz w:val="16"/>
              </w:rPr>
              <w:t>15</w:t>
            </w:r>
          </w:p>
        </w:tc>
      </w:tr>
      <w:tr w14:paraId="208820D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824EFB"/>
        </w:tc>
        <w:tc>
          <w:tcPr>
            <w:tcW w:w="878" w:type="dxa"/>
            <w:vMerge w:val="continue"/>
            <w:tcBorders>
              <w:top w:val="single" w:color="auto" w:sz="10" w:space="0"/>
              <w:left w:val="single" w:color="auto" w:sz="10" w:space="0"/>
              <w:bottom w:val="single" w:color="auto" w:sz="10" w:space="0"/>
              <w:right w:val="single" w:color="auto" w:sz="10" w:space="0"/>
              <w:insideV w:val="single" w:sz="10" w:space="0"/>
            </w:tcBorders>
          </w:tcPr>
          <w:p w14:paraId="43624035"/>
        </w:tc>
        <w:tc>
          <w:tcPr>
            <w:tcW w:w="174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7E64CC1">
            <w:pPr>
              <w:jc w:val="center"/>
            </w:pPr>
            <w:r>
              <w:rPr>
                <w:rFonts w:ascii="宋体" w:hAnsi="宋体" w:eastAsia="宋体"/>
                <w:sz w:val="16"/>
              </w:rPr>
              <w:t>享受班主任津贴补贴人数</w:t>
            </w:r>
          </w:p>
        </w:tc>
        <w:tc>
          <w:tcPr>
            <w:tcW w:w="9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3B2D7">
            <w:pPr>
              <w:jc w:val="center"/>
            </w:pPr>
            <w:r>
              <w:rPr>
                <w:rFonts w:ascii="宋体" w:hAnsi="宋体" w:eastAsia="宋体"/>
                <w:sz w:val="16"/>
              </w:rPr>
              <w:t>5人</w:t>
            </w:r>
          </w:p>
        </w:tc>
        <w:tc>
          <w:tcPr>
            <w:tcW w:w="185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7572CD">
            <w:pPr>
              <w:jc w:val="center"/>
            </w:pPr>
            <w:r>
              <w:rPr>
                <w:rFonts w:ascii="宋体" w:hAnsi="宋体" w:eastAsia="宋体"/>
                <w:sz w:val="16"/>
              </w:rPr>
              <w:t>2024年重点工作计划</w:t>
            </w:r>
          </w:p>
        </w:tc>
        <w:tc>
          <w:tcPr>
            <w:tcW w:w="7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FBF02">
            <w:pPr>
              <w:jc w:val="center"/>
            </w:pPr>
            <w:r>
              <w:rPr>
                <w:rFonts w:ascii="宋体" w:hAnsi="宋体" w:eastAsia="宋体"/>
                <w:sz w:val="16"/>
              </w:rPr>
              <w:t>15</w:t>
            </w:r>
          </w:p>
        </w:tc>
        <w:tc>
          <w:tcPr>
            <w:tcW w:w="9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A1559">
            <w:pPr>
              <w:jc w:val="center"/>
            </w:pPr>
            <w:r>
              <w:rPr>
                <w:rFonts w:ascii="宋体" w:hAnsi="宋体" w:eastAsia="宋体"/>
                <w:sz w:val="16"/>
              </w:rPr>
              <w:t>5人</w:t>
            </w:r>
          </w:p>
        </w:tc>
        <w:tc>
          <w:tcPr>
            <w:tcW w:w="643" w:type="dxa"/>
            <w:tcBorders>
              <w:top w:val="single" w:color="auto" w:sz="10" w:space="0"/>
              <w:left w:val="single" w:color="auto" w:sz="10" w:space="0"/>
              <w:bottom w:val="single" w:color="auto" w:sz="10" w:space="0"/>
              <w:right w:val="single" w:color="auto" w:sz="10" w:space="0"/>
              <w:insideV w:val="single" w:sz="10" w:space="0"/>
            </w:tcBorders>
            <w:vAlign w:val="center"/>
          </w:tcPr>
          <w:p w14:paraId="744EBC18">
            <w:pPr>
              <w:jc w:val="center"/>
            </w:pPr>
            <w:r>
              <w:rPr>
                <w:rFonts w:ascii="宋体" w:hAnsi="宋体" w:eastAsia="宋体"/>
                <w:sz w:val="16"/>
              </w:rPr>
              <w:t>15</w:t>
            </w:r>
          </w:p>
        </w:tc>
      </w:tr>
      <w:tr w14:paraId="0DCC373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114363"/>
        </w:tc>
        <w:tc>
          <w:tcPr>
            <w:tcW w:w="878" w:type="dxa"/>
            <w:vMerge w:val="continue"/>
            <w:tcBorders>
              <w:top w:val="single" w:color="auto" w:sz="10" w:space="0"/>
              <w:left w:val="single" w:color="auto" w:sz="10" w:space="0"/>
              <w:bottom w:val="single" w:color="auto" w:sz="10" w:space="0"/>
              <w:right w:val="single" w:color="auto" w:sz="10" w:space="0"/>
              <w:insideV w:val="single" w:sz="10" w:space="0"/>
            </w:tcBorders>
          </w:tcPr>
          <w:p w14:paraId="409E4B53"/>
        </w:tc>
        <w:tc>
          <w:tcPr>
            <w:tcW w:w="174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D589EC">
            <w:pPr>
              <w:jc w:val="center"/>
            </w:pPr>
            <w:r>
              <w:rPr>
                <w:rFonts w:ascii="宋体" w:hAnsi="宋体" w:eastAsia="宋体"/>
                <w:sz w:val="16"/>
              </w:rPr>
              <w:t>幼儿伙食补助覆盖率</w:t>
            </w:r>
          </w:p>
        </w:tc>
        <w:tc>
          <w:tcPr>
            <w:tcW w:w="9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2C64F">
            <w:pPr>
              <w:jc w:val="center"/>
            </w:pPr>
            <w:r>
              <w:rPr>
                <w:rFonts w:ascii="宋体" w:hAnsi="宋体" w:eastAsia="宋体"/>
                <w:sz w:val="16"/>
              </w:rPr>
              <w:t>100%</w:t>
            </w:r>
          </w:p>
        </w:tc>
        <w:tc>
          <w:tcPr>
            <w:tcW w:w="185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FB81B6C">
            <w:pPr>
              <w:jc w:val="center"/>
            </w:pPr>
            <w:r>
              <w:rPr>
                <w:rFonts w:ascii="宋体" w:hAnsi="宋体" w:eastAsia="宋体"/>
                <w:sz w:val="16"/>
              </w:rPr>
              <w:t>2024年重点工作计划</w:t>
            </w:r>
          </w:p>
        </w:tc>
        <w:tc>
          <w:tcPr>
            <w:tcW w:w="7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C0EC6">
            <w:pPr>
              <w:jc w:val="center"/>
            </w:pPr>
            <w:r>
              <w:rPr>
                <w:rFonts w:ascii="宋体" w:hAnsi="宋体" w:eastAsia="宋体"/>
                <w:sz w:val="16"/>
              </w:rPr>
              <w:t>15</w:t>
            </w:r>
          </w:p>
        </w:tc>
        <w:tc>
          <w:tcPr>
            <w:tcW w:w="9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ECC74">
            <w:pPr>
              <w:jc w:val="center"/>
            </w:pPr>
            <w:r>
              <w:rPr>
                <w:rFonts w:ascii="宋体" w:hAnsi="宋体" w:eastAsia="宋体"/>
                <w:sz w:val="16"/>
              </w:rPr>
              <w:t>100%</w:t>
            </w:r>
          </w:p>
        </w:tc>
        <w:tc>
          <w:tcPr>
            <w:tcW w:w="643" w:type="dxa"/>
            <w:tcBorders>
              <w:top w:val="single" w:color="auto" w:sz="10" w:space="0"/>
              <w:left w:val="single" w:color="auto" w:sz="10" w:space="0"/>
              <w:bottom w:val="single" w:color="auto" w:sz="10" w:space="0"/>
              <w:right w:val="single" w:color="auto" w:sz="10" w:space="0"/>
              <w:insideV w:val="single" w:sz="10" w:space="0"/>
            </w:tcBorders>
            <w:vAlign w:val="center"/>
          </w:tcPr>
          <w:p w14:paraId="0F282BB7">
            <w:pPr>
              <w:jc w:val="center"/>
            </w:pPr>
            <w:r>
              <w:rPr>
                <w:rFonts w:ascii="宋体" w:hAnsi="宋体" w:eastAsia="宋体"/>
                <w:sz w:val="16"/>
              </w:rPr>
              <w:t>15</w:t>
            </w:r>
          </w:p>
        </w:tc>
      </w:tr>
      <w:tr w14:paraId="5D2EDF0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E32DCE"/>
        </w:tc>
        <w:tc>
          <w:tcPr>
            <w:tcW w:w="878" w:type="dxa"/>
            <w:vMerge w:val="continue"/>
            <w:tcBorders>
              <w:top w:val="single" w:color="auto" w:sz="10" w:space="0"/>
              <w:left w:val="single" w:color="auto" w:sz="10" w:space="0"/>
              <w:bottom w:val="single" w:color="auto" w:sz="10" w:space="0"/>
              <w:right w:val="single" w:color="auto" w:sz="10" w:space="0"/>
              <w:insideV w:val="single" w:sz="10" w:space="0"/>
            </w:tcBorders>
          </w:tcPr>
          <w:p w14:paraId="1D591358"/>
        </w:tc>
        <w:tc>
          <w:tcPr>
            <w:tcW w:w="174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CA1C3B">
            <w:pPr>
              <w:jc w:val="center"/>
            </w:pPr>
            <w:r>
              <w:rPr>
                <w:rFonts w:ascii="宋体" w:hAnsi="宋体" w:eastAsia="宋体"/>
                <w:sz w:val="16"/>
              </w:rPr>
              <w:t>学前教育毛入园率</w:t>
            </w:r>
          </w:p>
        </w:tc>
        <w:tc>
          <w:tcPr>
            <w:tcW w:w="9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98013">
            <w:pPr>
              <w:jc w:val="center"/>
            </w:pPr>
            <w:r>
              <w:rPr>
                <w:rFonts w:ascii="宋体" w:hAnsi="宋体" w:eastAsia="宋体"/>
                <w:sz w:val="16"/>
              </w:rPr>
              <w:t>100%</w:t>
            </w:r>
          </w:p>
        </w:tc>
        <w:tc>
          <w:tcPr>
            <w:tcW w:w="185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96949F">
            <w:pPr>
              <w:jc w:val="center"/>
            </w:pPr>
            <w:r>
              <w:rPr>
                <w:rFonts w:ascii="宋体" w:hAnsi="宋体" w:eastAsia="宋体"/>
                <w:sz w:val="16"/>
              </w:rPr>
              <w:t>2024年重点工作计划</w:t>
            </w:r>
          </w:p>
        </w:tc>
        <w:tc>
          <w:tcPr>
            <w:tcW w:w="7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5F7A6">
            <w:pPr>
              <w:jc w:val="center"/>
            </w:pPr>
            <w:r>
              <w:rPr>
                <w:rFonts w:ascii="宋体" w:hAnsi="宋体" w:eastAsia="宋体"/>
                <w:sz w:val="16"/>
              </w:rPr>
              <w:t>15</w:t>
            </w:r>
          </w:p>
        </w:tc>
        <w:tc>
          <w:tcPr>
            <w:tcW w:w="9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600C4">
            <w:pPr>
              <w:jc w:val="center"/>
            </w:pPr>
            <w:r>
              <w:rPr>
                <w:rFonts w:ascii="宋体" w:hAnsi="宋体" w:eastAsia="宋体"/>
                <w:sz w:val="16"/>
              </w:rPr>
              <w:t>100%</w:t>
            </w:r>
          </w:p>
        </w:tc>
        <w:tc>
          <w:tcPr>
            <w:tcW w:w="643" w:type="dxa"/>
            <w:tcBorders>
              <w:top w:val="single" w:color="auto" w:sz="10" w:space="0"/>
              <w:left w:val="single" w:color="auto" w:sz="10" w:space="0"/>
              <w:bottom w:val="single" w:color="auto" w:sz="10" w:space="0"/>
              <w:right w:val="single" w:color="auto" w:sz="10" w:space="0"/>
              <w:insideV w:val="single" w:sz="10" w:space="0"/>
            </w:tcBorders>
            <w:vAlign w:val="center"/>
          </w:tcPr>
          <w:p w14:paraId="0EE9E38D">
            <w:pPr>
              <w:jc w:val="center"/>
            </w:pPr>
            <w:r>
              <w:rPr>
                <w:rFonts w:ascii="宋体" w:hAnsi="宋体" w:eastAsia="宋体"/>
                <w:sz w:val="16"/>
              </w:rPr>
              <w:t>15</w:t>
            </w:r>
          </w:p>
        </w:tc>
      </w:tr>
      <w:tr w14:paraId="46757BA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F7E1EA"/>
        </w:tc>
        <w:tc>
          <w:tcPr>
            <w:tcW w:w="878" w:type="dxa"/>
            <w:vMerge w:val="continue"/>
            <w:tcBorders>
              <w:top w:val="single" w:color="auto" w:sz="10" w:space="0"/>
              <w:left w:val="single" w:color="auto" w:sz="10" w:space="0"/>
              <w:bottom w:val="single" w:color="auto" w:sz="10" w:space="0"/>
              <w:right w:val="single" w:color="auto" w:sz="10" w:space="0"/>
              <w:insideV w:val="single" w:sz="10" w:space="0"/>
            </w:tcBorders>
          </w:tcPr>
          <w:p w14:paraId="0799DED5"/>
        </w:tc>
        <w:tc>
          <w:tcPr>
            <w:tcW w:w="174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10A28C6">
            <w:pPr>
              <w:jc w:val="center"/>
            </w:pPr>
            <w:r>
              <w:rPr>
                <w:rFonts w:ascii="宋体" w:hAnsi="宋体" w:eastAsia="宋体"/>
                <w:sz w:val="16"/>
              </w:rPr>
              <w:t>推广国家通用语言教学</w:t>
            </w:r>
          </w:p>
        </w:tc>
        <w:tc>
          <w:tcPr>
            <w:tcW w:w="9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38AE5">
            <w:pPr>
              <w:jc w:val="center"/>
            </w:pPr>
            <w:r>
              <w:rPr>
                <w:rFonts w:ascii="宋体" w:hAnsi="宋体" w:eastAsia="宋体"/>
                <w:sz w:val="16"/>
              </w:rPr>
              <w:t>100%</w:t>
            </w:r>
          </w:p>
        </w:tc>
        <w:tc>
          <w:tcPr>
            <w:tcW w:w="185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5A6F18">
            <w:pPr>
              <w:jc w:val="center"/>
            </w:pPr>
            <w:r>
              <w:rPr>
                <w:rFonts w:ascii="宋体" w:hAnsi="宋体" w:eastAsia="宋体"/>
                <w:sz w:val="16"/>
              </w:rPr>
              <w:t>2024年重点工作计划</w:t>
            </w:r>
          </w:p>
        </w:tc>
        <w:tc>
          <w:tcPr>
            <w:tcW w:w="7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AD3C3">
            <w:pPr>
              <w:jc w:val="center"/>
            </w:pPr>
            <w:r>
              <w:rPr>
                <w:rFonts w:ascii="宋体" w:hAnsi="宋体" w:eastAsia="宋体"/>
                <w:sz w:val="16"/>
              </w:rPr>
              <w:t>15</w:t>
            </w:r>
          </w:p>
        </w:tc>
        <w:tc>
          <w:tcPr>
            <w:tcW w:w="9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92E34">
            <w:pPr>
              <w:jc w:val="center"/>
            </w:pPr>
            <w:r>
              <w:rPr>
                <w:rFonts w:ascii="宋体" w:hAnsi="宋体" w:eastAsia="宋体"/>
                <w:sz w:val="16"/>
              </w:rPr>
              <w:t>100%</w:t>
            </w:r>
          </w:p>
        </w:tc>
        <w:tc>
          <w:tcPr>
            <w:tcW w:w="643" w:type="dxa"/>
            <w:tcBorders>
              <w:top w:val="single" w:color="auto" w:sz="10" w:space="0"/>
              <w:left w:val="single" w:color="auto" w:sz="10" w:space="0"/>
              <w:bottom w:val="single" w:color="auto" w:sz="10" w:space="0"/>
              <w:right w:val="single" w:color="auto" w:sz="10" w:space="0"/>
              <w:insideV w:val="single" w:sz="10" w:space="0"/>
            </w:tcBorders>
            <w:vAlign w:val="center"/>
          </w:tcPr>
          <w:p w14:paraId="7000167D">
            <w:pPr>
              <w:jc w:val="center"/>
            </w:pPr>
            <w:r>
              <w:rPr>
                <w:rFonts w:ascii="宋体" w:hAnsi="宋体" w:eastAsia="宋体"/>
                <w:sz w:val="16"/>
              </w:rPr>
              <w:t>15</w:t>
            </w:r>
          </w:p>
        </w:tc>
      </w:tr>
    </w:tbl>
    <w:p w14:paraId="2C4A3F3B">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A67F0D0">
        <w:tblPrEx>
          <w:tblCellMar>
            <w:top w:w="0" w:type="dxa"/>
            <w:left w:w="108" w:type="dxa"/>
            <w:bottom w:w="0" w:type="dxa"/>
            <w:right w:w="108" w:type="dxa"/>
          </w:tblCellMar>
        </w:tblPrEx>
        <w:tc>
          <w:tcPr>
            <w:tcW w:w="8848" w:type="dxa"/>
            <w:gridSpan w:val="14"/>
            <w:vAlign w:val="center"/>
          </w:tcPr>
          <w:p w14:paraId="1F43032C">
            <w:pPr>
              <w:jc w:val="center"/>
            </w:pPr>
            <w:r>
              <w:rPr>
                <w:rFonts w:ascii="宋体" w:hAnsi="宋体" w:eastAsia="宋体"/>
                <w:sz w:val="24"/>
              </w:rPr>
              <w:t>项目支出绩效自评表</w:t>
            </w:r>
          </w:p>
        </w:tc>
      </w:tr>
      <w:tr w14:paraId="34BF6627">
        <w:tblPrEx>
          <w:tblCellMar>
            <w:top w:w="0" w:type="dxa"/>
            <w:left w:w="108" w:type="dxa"/>
            <w:bottom w:w="0" w:type="dxa"/>
            <w:right w:w="108" w:type="dxa"/>
          </w:tblCellMar>
        </w:tblPrEx>
        <w:tc>
          <w:tcPr>
            <w:tcW w:w="8848" w:type="dxa"/>
            <w:gridSpan w:val="14"/>
            <w:vAlign w:val="center"/>
          </w:tcPr>
          <w:p w14:paraId="6D86F760">
            <w:pPr>
              <w:jc w:val="center"/>
            </w:pPr>
            <w:r>
              <w:rPr>
                <w:rFonts w:ascii="宋体" w:hAnsi="宋体" w:eastAsia="宋体"/>
                <w:sz w:val="24"/>
              </w:rPr>
              <w:t>(2024年度)</w:t>
            </w:r>
          </w:p>
        </w:tc>
      </w:tr>
      <w:tr w14:paraId="64248E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64FD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FB04B2">
            <w:pPr>
              <w:jc w:val="center"/>
            </w:pPr>
            <w:r>
              <w:rPr>
                <w:rFonts w:ascii="宋体" w:hAnsi="宋体" w:eastAsia="宋体"/>
                <w:sz w:val="16"/>
              </w:rPr>
              <w:t>2024年教育费附加安排的支出（取暖费）</w:t>
            </w:r>
          </w:p>
        </w:tc>
      </w:tr>
      <w:tr w14:paraId="32B1C4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05FF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82521F">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FE21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9A087D">
            <w:pPr>
              <w:jc w:val="center"/>
            </w:pPr>
            <w:r>
              <w:rPr>
                <w:rFonts w:ascii="宋体" w:hAnsi="宋体" w:eastAsia="宋体"/>
                <w:sz w:val="16"/>
              </w:rPr>
              <w:t>裕民县第三幼儿园</w:t>
            </w:r>
          </w:p>
        </w:tc>
      </w:tr>
      <w:tr w14:paraId="40F6BC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2CAFF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678A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C1FE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8FE4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0199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1483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3D37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02889">
            <w:pPr>
              <w:jc w:val="center"/>
            </w:pPr>
            <w:r>
              <w:rPr>
                <w:rFonts w:ascii="宋体" w:hAnsi="宋体" w:eastAsia="宋体"/>
                <w:sz w:val="16"/>
              </w:rPr>
              <w:t>得分</w:t>
            </w:r>
          </w:p>
        </w:tc>
      </w:tr>
      <w:tr w14:paraId="61352B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5A8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356C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3757E">
            <w:pPr>
              <w:jc w:val="center"/>
            </w:pPr>
            <w:r>
              <w:rPr>
                <w:rFonts w:ascii="宋体" w:hAnsi="宋体" w:eastAsia="宋体"/>
                <w:sz w:val="16"/>
              </w:rPr>
              <w:t>17.53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D7FB6">
            <w:pPr>
              <w:jc w:val="center"/>
            </w:pPr>
            <w:r>
              <w:rPr>
                <w:rFonts w:ascii="宋体" w:hAnsi="宋体" w:eastAsia="宋体"/>
                <w:sz w:val="16"/>
              </w:rPr>
              <w:t>17.53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D030B">
            <w:pPr>
              <w:jc w:val="center"/>
            </w:pPr>
            <w:r>
              <w:rPr>
                <w:rFonts w:ascii="宋体" w:hAnsi="宋体" w:eastAsia="宋体"/>
                <w:sz w:val="16"/>
              </w:rPr>
              <w:t>17.53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BE8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04EA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438A8">
            <w:pPr>
              <w:jc w:val="center"/>
            </w:pPr>
            <w:r>
              <w:rPr>
                <w:rFonts w:ascii="宋体" w:hAnsi="宋体" w:eastAsia="宋体"/>
                <w:sz w:val="16"/>
              </w:rPr>
              <w:t>10.00</w:t>
            </w:r>
          </w:p>
        </w:tc>
      </w:tr>
      <w:tr w14:paraId="6F6CB6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0AA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AE24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14332">
            <w:pPr>
              <w:jc w:val="center"/>
            </w:pPr>
            <w:r>
              <w:rPr>
                <w:rFonts w:ascii="宋体" w:hAnsi="宋体" w:eastAsia="宋体"/>
                <w:sz w:val="16"/>
              </w:rPr>
              <w:t>17.53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46E8F">
            <w:pPr>
              <w:jc w:val="center"/>
            </w:pPr>
            <w:r>
              <w:rPr>
                <w:rFonts w:ascii="宋体" w:hAnsi="宋体" w:eastAsia="宋体"/>
                <w:sz w:val="16"/>
              </w:rPr>
              <w:t>17.53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C7D69">
            <w:pPr>
              <w:jc w:val="center"/>
            </w:pPr>
            <w:r>
              <w:rPr>
                <w:rFonts w:ascii="宋体" w:hAnsi="宋体" w:eastAsia="宋体"/>
                <w:sz w:val="16"/>
              </w:rPr>
              <w:t>17.53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5AE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CCD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D2530">
            <w:pPr>
              <w:jc w:val="center"/>
            </w:pPr>
            <w:r>
              <w:rPr>
                <w:rFonts w:ascii="宋体" w:hAnsi="宋体" w:eastAsia="宋体"/>
                <w:sz w:val="16"/>
              </w:rPr>
              <w:t>—</w:t>
            </w:r>
          </w:p>
        </w:tc>
      </w:tr>
      <w:tr w14:paraId="097BA1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BE0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EAD8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0E5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E09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769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829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B94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14B40">
            <w:pPr>
              <w:jc w:val="center"/>
            </w:pPr>
            <w:r>
              <w:rPr>
                <w:rFonts w:ascii="宋体" w:hAnsi="宋体" w:eastAsia="宋体"/>
                <w:sz w:val="16"/>
              </w:rPr>
              <w:t>—</w:t>
            </w:r>
          </w:p>
        </w:tc>
      </w:tr>
      <w:tr w14:paraId="5BA872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00A82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8C3F3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F53E79">
            <w:pPr>
              <w:jc w:val="center"/>
            </w:pPr>
            <w:r>
              <w:rPr>
                <w:rFonts w:ascii="宋体" w:hAnsi="宋体" w:eastAsia="宋体"/>
                <w:sz w:val="16"/>
              </w:rPr>
              <w:t>实际完成情况</w:t>
            </w:r>
          </w:p>
        </w:tc>
      </w:tr>
      <w:tr w14:paraId="2CC265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0149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77CFD4">
            <w:pPr>
              <w:jc w:val="both"/>
            </w:pPr>
            <w:r>
              <w:rPr>
                <w:rFonts w:ascii="宋体" w:hAnsi="宋体" w:eastAsia="宋体"/>
                <w:sz w:val="16"/>
              </w:rPr>
              <w:t>2024年教育费附加安排的支出（取暖费）项目，2024年计划支出17.53万元，主要用于我园取暖费的支出。该项目实施保障学校冬季取暖正常运转、最大限度保证园内完成教育教学活动，保障我园的日常供暖需求，丰富幼儿的课余生活，推动学校可持续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EEE0C5">
            <w:pPr>
              <w:jc w:val="both"/>
            </w:pPr>
            <w:r>
              <w:rPr>
                <w:rFonts w:ascii="宋体" w:hAnsi="宋体" w:eastAsia="宋体"/>
                <w:sz w:val="16"/>
              </w:rPr>
              <w:t>2024年教育费附加安排的支出（取暖费）严格执行预算管理，2024年实际支付取暖费资金17.53万元，主要用于我园取暖费的支出，取暖面积为6433.3平方米。执行率100%，资金支付合法合规，师生对供暖温度、稳定教职工和幼儿对园内温度的满意度。保障了学校工作的正常开展。</w:t>
            </w:r>
          </w:p>
        </w:tc>
      </w:tr>
      <w:tr w14:paraId="66DA40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8E76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9492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5F96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A69D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FACA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735B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87F7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0867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6F08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C337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4CEE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CAA3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B0D6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6BF14">
            <w:pPr>
              <w:jc w:val="center"/>
            </w:pPr>
            <w:r>
              <w:rPr>
                <w:rFonts w:ascii="宋体" w:hAnsi="宋体" w:eastAsia="宋体"/>
                <w:sz w:val="16"/>
              </w:rPr>
              <w:t>偏差原因分析及改进措施</w:t>
            </w:r>
          </w:p>
        </w:tc>
      </w:tr>
      <w:tr w14:paraId="25DE90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ADABC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E92BB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F55D8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206AA">
            <w:pPr>
              <w:jc w:val="center"/>
            </w:pPr>
            <w:r>
              <w:rPr>
                <w:rFonts w:ascii="宋体" w:hAnsi="宋体" w:eastAsia="宋体"/>
                <w:sz w:val="16"/>
              </w:rPr>
              <w:t>保障取暖费人数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F8FBC">
            <w:pPr>
              <w:jc w:val="center"/>
            </w:pPr>
            <w:r>
              <w:rPr>
                <w:rFonts w:ascii="宋体" w:hAnsi="宋体" w:eastAsia="宋体"/>
                <w:sz w:val="16"/>
              </w:rPr>
              <w:t>&gt;=131人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752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2B66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D848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025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42E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9AFD6">
            <w:pPr>
              <w:jc w:val="center"/>
            </w:pPr>
            <w:r>
              <w:rPr>
                <w:rFonts w:ascii="宋体" w:hAnsi="宋体" w:eastAsia="宋体"/>
                <w:sz w:val="16"/>
              </w:rPr>
              <w:t>131人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A83B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2FAE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398BD">
            <w:pPr>
              <w:jc w:val="center"/>
            </w:pPr>
          </w:p>
        </w:tc>
      </w:tr>
      <w:tr w14:paraId="16E1AE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BE4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494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ECF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F2026">
            <w:pPr>
              <w:jc w:val="center"/>
            </w:pPr>
            <w:r>
              <w:rPr>
                <w:rFonts w:ascii="宋体" w:hAnsi="宋体" w:eastAsia="宋体"/>
                <w:sz w:val="16"/>
              </w:rPr>
              <w:t>取暖费面积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F58A1">
            <w:pPr>
              <w:jc w:val="center"/>
            </w:pPr>
            <w:r>
              <w:rPr>
                <w:rFonts w:ascii="宋体" w:hAnsi="宋体" w:eastAsia="宋体"/>
                <w:sz w:val="16"/>
              </w:rPr>
              <w:t>&gt;=6433.30平方米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736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134E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BF8C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E68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4BBA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A6F28">
            <w:pPr>
              <w:jc w:val="center"/>
            </w:pPr>
            <w:r>
              <w:rPr>
                <w:rFonts w:ascii="宋体" w:hAnsi="宋体" w:eastAsia="宋体"/>
                <w:sz w:val="16"/>
              </w:rPr>
              <w:t>6433.3平方米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53A8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D54E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5C21A">
            <w:pPr>
              <w:jc w:val="center"/>
            </w:pPr>
          </w:p>
        </w:tc>
      </w:tr>
      <w:tr w14:paraId="50517C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58E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C40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780D8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64621">
            <w:pPr>
              <w:jc w:val="center"/>
            </w:pPr>
            <w:r>
              <w:rPr>
                <w:rFonts w:ascii="宋体" w:hAnsi="宋体" w:eastAsia="宋体"/>
                <w:sz w:val="16"/>
              </w:rPr>
              <w:t>公用取暖费面积覆盖率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194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C78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9EDB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84BC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2A6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AD3C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1B8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88AC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0183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039AD">
            <w:pPr>
              <w:jc w:val="center"/>
            </w:pPr>
          </w:p>
        </w:tc>
      </w:tr>
      <w:tr w14:paraId="6EFC1C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6C0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F7E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5B2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A9E40">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5AB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FE7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8922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FE7E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2A5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308A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FEA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05F8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09B1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F1F7A">
            <w:pPr>
              <w:jc w:val="center"/>
            </w:pPr>
          </w:p>
        </w:tc>
      </w:tr>
      <w:tr w14:paraId="724AD6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2F1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0995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6B7B1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F968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BE67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038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D891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3B8F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3E5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A052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30CB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2BE0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F145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FFC68">
            <w:pPr>
              <w:jc w:val="center"/>
            </w:pPr>
          </w:p>
        </w:tc>
      </w:tr>
      <w:tr w14:paraId="14B4FF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4AF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DC7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18A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CA0E4">
            <w:pPr>
              <w:jc w:val="center"/>
            </w:pPr>
            <w:r>
              <w:rPr>
                <w:rFonts w:ascii="宋体" w:hAnsi="宋体" w:eastAsia="宋体"/>
                <w:sz w:val="16"/>
              </w:rPr>
              <w:t>公用取暖费按期支付率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982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890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2204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9A04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86B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34D0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A69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45ED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4665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BFF9D">
            <w:pPr>
              <w:jc w:val="center"/>
            </w:pPr>
          </w:p>
        </w:tc>
      </w:tr>
      <w:tr w14:paraId="7B5337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710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1767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6782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E164E">
            <w:pPr>
              <w:jc w:val="center"/>
            </w:pPr>
            <w:r>
              <w:rPr>
                <w:rFonts w:ascii="宋体" w:hAnsi="宋体" w:eastAsia="宋体"/>
                <w:sz w:val="16"/>
              </w:rPr>
              <w:t>每平方米取暖成本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F3975">
            <w:pPr>
              <w:jc w:val="center"/>
            </w:pPr>
            <w:r>
              <w:rPr>
                <w:rFonts w:ascii="宋体" w:hAnsi="宋体" w:eastAsia="宋体"/>
                <w:sz w:val="16"/>
              </w:rPr>
              <w:t>&lt;=27.24元/㎡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368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6A0D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9BBA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16E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A3203">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39C00">
            <w:pPr>
              <w:jc w:val="center"/>
            </w:pPr>
            <w:r>
              <w:rPr>
                <w:rFonts w:ascii="宋体" w:hAnsi="宋体" w:eastAsia="宋体"/>
                <w:sz w:val="16"/>
              </w:rPr>
              <w:t>27.24元/㎡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12DD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6D16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FC627">
            <w:pPr>
              <w:jc w:val="center"/>
            </w:pPr>
          </w:p>
        </w:tc>
      </w:tr>
      <w:tr w14:paraId="517CDA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FE3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50EF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7B98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111F5">
            <w:pPr>
              <w:jc w:val="center"/>
            </w:pPr>
            <w:r>
              <w:rPr>
                <w:rFonts w:ascii="宋体" w:hAnsi="宋体" w:eastAsia="宋体"/>
                <w:sz w:val="16"/>
              </w:rPr>
              <w:t>保障学校工作正常开展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4881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35B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C391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BC27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60DE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7A11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D5C8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199A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C8F2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7FAA9">
            <w:pPr>
              <w:jc w:val="center"/>
            </w:pPr>
          </w:p>
        </w:tc>
      </w:tr>
      <w:tr w14:paraId="479C39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4A4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5305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29D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5017B">
            <w:pPr>
              <w:jc w:val="center"/>
            </w:pPr>
            <w:r>
              <w:rPr>
                <w:rFonts w:ascii="宋体" w:hAnsi="宋体" w:eastAsia="宋体"/>
                <w:sz w:val="16"/>
              </w:rPr>
              <w:t>教职工满意度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520B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6FC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354C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1E4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71A2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4A33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72AE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FCC6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128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DB5F3">
            <w:pPr>
              <w:jc w:val="center"/>
            </w:pPr>
          </w:p>
        </w:tc>
      </w:tr>
      <w:tr w14:paraId="48AE43F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EB0406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CC34D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CA1C1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D7D3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E6F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BCC8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5CA5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70D7A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65FB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DBF8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715D94"/>
        </w:tc>
      </w:tr>
    </w:tbl>
    <w:p w14:paraId="7F6E4A27">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F177225">
        <w:tblPrEx>
          <w:tblCellMar>
            <w:top w:w="0" w:type="dxa"/>
            <w:left w:w="108" w:type="dxa"/>
            <w:bottom w:w="0" w:type="dxa"/>
            <w:right w:w="108" w:type="dxa"/>
          </w:tblCellMar>
        </w:tblPrEx>
        <w:tc>
          <w:tcPr>
            <w:tcW w:w="8848" w:type="dxa"/>
            <w:gridSpan w:val="14"/>
            <w:vAlign w:val="center"/>
          </w:tcPr>
          <w:p w14:paraId="03161FF4">
            <w:pPr>
              <w:jc w:val="center"/>
            </w:pPr>
            <w:r>
              <w:rPr>
                <w:rFonts w:ascii="宋体" w:hAnsi="宋体" w:eastAsia="宋体"/>
                <w:sz w:val="24"/>
              </w:rPr>
              <w:t>项目支出绩效自评表</w:t>
            </w:r>
          </w:p>
        </w:tc>
      </w:tr>
      <w:tr w14:paraId="4C7E69E3">
        <w:tblPrEx>
          <w:tblCellMar>
            <w:top w:w="0" w:type="dxa"/>
            <w:left w:w="108" w:type="dxa"/>
            <w:bottom w:w="0" w:type="dxa"/>
            <w:right w:w="108" w:type="dxa"/>
          </w:tblCellMar>
        </w:tblPrEx>
        <w:tc>
          <w:tcPr>
            <w:tcW w:w="8848" w:type="dxa"/>
            <w:gridSpan w:val="14"/>
            <w:vAlign w:val="center"/>
          </w:tcPr>
          <w:p w14:paraId="063AE1FC">
            <w:pPr>
              <w:jc w:val="center"/>
            </w:pPr>
            <w:r>
              <w:rPr>
                <w:rFonts w:ascii="宋体" w:hAnsi="宋体" w:eastAsia="宋体"/>
                <w:sz w:val="24"/>
              </w:rPr>
              <w:t>(2024年度)</w:t>
            </w:r>
          </w:p>
        </w:tc>
      </w:tr>
      <w:tr w14:paraId="06A8A5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B89E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30B081">
            <w:pPr>
              <w:jc w:val="center"/>
            </w:pPr>
            <w:r>
              <w:rPr>
                <w:rFonts w:ascii="宋体" w:hAnsi="宋体" w:eastAsia="宋体"/>
                <w:sz w:val="16"/>
              </w:rPr>
              <w:t>2024年教职工2%培训费项目</w:t>
            </w:r>
          </w:p>
        </w:tc>
      </w:tr>
      <w:tr w14:paraId="3907BB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4552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EAF464">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27C7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074A54">
            <w:pPr>
              <w:jc w:val="center"/>
            </w:pPr>
            <w:r>
              <w:rPr>
                <w:rFonts w:ascii="宋体" w:hAnsi="宋体" w:eastAsia="宋体"/>
                <w:sz w:val="16"/>
              </w:rPr>
              <w:t>裕民县第三幼儿园</w:t>
            </w:r>
          </w:p>
        </w:tc>
      </w:tr>
      <w:tr w14:paraId="5D4DFB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C7133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3360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2EB3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16E9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6C87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31AD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00AC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4E0D4">
            <w:pPr>
              <w:jc w:val="center"/>
            </w:pPr>
            <w:r>
              <w:rPr>
                <w:rFonts w:ascii="宋体" w:hAnsi="宋体" w:eastAsia="宋体"/>
                <w:sz w:val="16"/>
              </w:rPr>
              <w:t>得分</w:t>
            </w:r>
          </w:p>
        </w:tc>
      </w:tr>
      <w:tr w14:paraId="0D0129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9A5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73F5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1C6A7">
            <w:pPr>
              <w:jc w:val="center"/>
            </w:pPr>
            <w:r>
              <w:rPr>
                <w:rFonts w:ascii="宋体" w:hAnsi="宋体" w:eastAsia="宋体"/>
                <w:sz w:val="16"/>
              </w:rPr>
              <w:t>0.71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BCB06">
            <w:pPr>
              <w:jc w:val="center"/>
            </w:pPr>
            <w:r>
              <w:rPr>
                <w:rFonts w:ascii="宋体" w:hAnsi="宋体" w:eastAsia="宋体"/>
                <w:sz w:val="16"/>
              </w:rPr>
              <w:t>0.71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E8229">
            <w:pPr>
              <w:jc w:val="center"/>
            </w:pPr>
            <w:r>
              <w:rPr>
                <w:rFonts w:ascii="宋体" w:hAnsi="宋体" w:eastAsia="宋体"/>
                <w:sz w:val="16"/>
              </w:rPr>
              <w:t>0.71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55F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12F5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BFBE8">
            <w:pPr>
              <w:jc w:val="center"/>
            </w:pPr>
            <w:r>
              <w:rPr>
                <w:rFonts w:ascii="宋体" w:hAnsi="宋体" w:eastAsia="宋体"/>
                <w:sz w:val="16"/>
              </w:rPr>
              <w:t>10.00</w:t>
            </w:r>
          </w:p>
        </w:tc>
      </w:tr>
      <w:tr w14:paraId="3265B5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324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FA8F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B3A54">
            <w:pPr>
              <w:jc w:val="center"/>
            </w:pPr>
            <w:r>
              <w:rPr>
                <w:rFonts w:ascii="宋体" w:hAnsi="宋体" w:eastAsia="宋体"/>
                <w:sz w:val="16"/>
              </w:rPr>
              <w:t>0.71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C0E81">
            <w:pPr>
              <w:jc w:val="center"/>
            </w:pPr>
            <w:r>
              <w:rPr>
                <w:rFonts w:ascii="宋体" w:hAnsi="宋体" w:eastAsia="宋体"/>
                <w:sz w:val="16"/>
              </w:rPr>
              <w:t>0.71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21E7E">
            <w:pPr>
              <w:jc w:val="center"/>
            </w:pPr>
            <w:r>
              <w:rPr>
                <w:rFonts w:ascii="宋体" w:hAnsi="宋体" w:eastAsia="宋体"/>
                <w:sz w:val="16"/>
              </w:rPr>
              <w:t>0.71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CC8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40A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66DEE">
            <w:pPr>
              <w:jc w:val="center"/>
            </w:pPr>
            <w:r>
              <w:rPr>
                <w:rFonts w:ascii="宋体" w:hAnsi="宋体" w:eastAsia="宋体"/>
                <w:sz w:val="16"/>
              </w:rPr>
              <w:t>—</w:t>
            </w:r>
          </w:p>
        </w:tc>
      </w:tr>
      <w:tr w14:paraId="7AB6A4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76F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D11B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9EE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5EA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3CF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38F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77E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DEF59">
            <w:pPr>
              <w:jc w:val="center"/>
            </w:pPr>
            <w:r>
              <w:rPr>
                <w:rFonts w:ascii="宋体" w:hAnsi="宋体" w:eastAsia="宋体"/>
                <w:sz w:val="16"/>
              </w:rPr>
              <w:t>—</w:t>
            </w:r>
          </w:p>
        </w:tc>
      </w:tr>
      <w:tr w14:paraId="4181FB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AF4FB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4F673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30F9F1">
            <w:pPr>
              <w:jc w:val="center"/>
            </w:pPr>
            <w:r>
              <w:rPr>
                <w:rFonts w:ascii="宋体" w:hAnsi="宋体" w:eastAsia="宋体"/>
                <w:sz w:val="16"/>
              </w:rPr>
              <w:t>实际完成情况</w:t>
            </w:r>
          </w:p>
        </w:tc>
      </w:tr>
      <w:tr w14:paraId="281560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8699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9D4454">
            <w:pPr>
              <w:jc w:val="both"/>
            </w:pPr>
            <w:r>
              <w:rPr>
                <w:rFonts w:ascii="宋体" w:hAnsi="宋体" w:eastAsia="宋体"/>
                <w:sz w:val="16"/>
              </w:rPr>
              <w:t>2024年度教师培训费项目经费我园共有16名教师享受此项政策，最大限度保证园内完成教育教学活动的支出。改善和优化农村的办学条件，丰富学生的课余生活，提高教师整体素质，推动学校可持续发展。教师培训费使用资金0.71万元用于教师日常培训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B16B3E">
            <w:pPr>
              <w:jc w:val="both"/>
            </w:pPr>
            <w:r>
              <w:rPr>
                <w:rFonts w:ascii="宋体" w:hAnsi="宋体" w:eastAsia="宋体"/>
                <w:sz w:val="16"/>
              </w:rPr>
              <w:t>2024年度教师培训费</w:t>
            </w:r>
            <w:r>
              <w:rPr>
                <w:rFonts w:hint="eastAsia" w:ascii="宋体" w:hAnsi="宋体"/>
                <w:sz w:val="16"/>
                <w:lang w:eastAsia="zh-CN"/>
              </w:rPr>
              <w:t>项目</w:t>
            </w:r>
            <w:r>
              <w:rPr>
                <w:rFonts w:ascii="宋体" w:hAnsi="宋体" w:eastAsia="宋体"/>
                <w:sz w:val="16"/>
              </w:rPr>
              <w:t>预算资金0.71万元，</w:t>
            </w:r>
            <w:r>
              <w:rPr>
                <w:rFonts w:hint="eastAsia" w:ascii="宋体" w:hAnsi="宋体"/>
                <w:sz w:val="16"/>
                <w:lang w:eastAsia="zh-CN"/>
              </w:rPr>
              <w:t>截至2024</w:t>
            </w:r>
            <w:r>
              <w:rPr>
                <w:rFonts w:ascii="宋体" w:hAnsi="宋体" w:eastAsia="宋体"/>
                <w:sz w:val="16"/>
              </w:rPr>
              <w:t>年12月25日，支付项目资金0.71万元，培训费项目,用于教职工外出培训费用支出，已完成16位教职工培训，通过项目实施提高教职工整体素质，教学质量有所提升，为教师整体素质的提高奠定坚实的基础。</w:t>
            </w:r>
          </w:p>
        </w:tc>
      </w:tr>
      <w:tr w14:paraId="6F28B8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B2CA6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4DCF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48FD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EA41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7225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67E5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BFF9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E048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65FA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7763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CD11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F1B4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2471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C6030">
            <w:pPr>
              <w:jc w:val="center"/>
            </w:pPr>
            <w:r>
              <w:rPr>
                <w:rFonts w:ascii="宋体" w:hAnsi="宋体" w:eastAsia="宋体"/>
                <w:sz w:val="16"/>
              </w:rPr>
              <w:t>偏差原因分析及改进措施</w:t>
            </w:r>
          </w:p>
        </w:tc>
      </w:tr>
      <w:tr w14:paraId="79A883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571D6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6CD0F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188C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AC3C1">
            <w:pPr>
              <w:jc w:val="center"/>
            </w:pPr>
            <w:r>
              <w:rPr>
                <w:rFonts w:ascii="宋体" w:hAnsi="宋体" w:eastAsia="宋体"/>
                <w:sz w:val="16"/>
              </w:rPr>
              <w:t>教职工培训人数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A55AB">
            <w:pPr>
              <w:jc w:val="center"/>
            </w:pPr>
            <w:r>
              <w:rPr>
                <w:rFonts w:ascii="宋体" w:hAnsi="宋体" w:eastAsia="宋体"/>
                <w:sz w:val="16"/>
              </w:rPr>
              <w:t>&gt;=16人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3AF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6F1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8F6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DA9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6E5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ACBAF">
            <w:pPr>
              <w:jc w:val="center"/>
            </w:pPr>
            <w:r>
              <w:rPr>
                <w:rFonts w:ascii="宋体" w:hAnsi="宋体" w:eastAsia="宋体"/>
                <w:sz w:val="16"/>
              </w:rPr>
              <w: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4CB4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E1A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28CD9">
            <w:pPr>
              <w:jc w:val="center"/>
            </w:pPr>
          </w:p>
        </w:tc>
      </w:tr>
      <w:tr w14:paraId="591847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D51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203E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72F78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1A453">
            <w:pPr>
              <w:jc w:val="center"/>
            </w:pPr>
            <w:r>
              <w:rPr>
                <w:rFonts w:ascii="宋体" w:hAnsi="宋体" w:eastAsia="宋体"/>
                <w:sz w:val="16"/>
              </w:rPr>
              <w:t>培训人数出勤率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516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330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8CF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726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3ED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B53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70B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7E61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43C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67184">
            <w:pPr>
              <w:jc w:val="center"/>
            </w:pPr>
          </w:p>
        </w:tc>
      </w:tr>
      <w:tr w14:paraId="34B681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FE4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2C8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18A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21978">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87A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BDD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3D1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6FE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142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E96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97F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8267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80E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00266">
            <w:pPr>
              <w:jc w:val="center"/>
            </w:pPr>
          </w:p>
        </w:tc>
      </w:tr>
      <w:tr w14:paraId="58FDFF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E47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F7D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9DC3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E4CAD">
            <w:pPr>
              <w:jc w:val="center"/>
            </w:pPr>
            <w:r>
              <w:rPr>
                <w:rFonts w:ascii="宋体" w:hAnsi="宋体" w:eastAsia="宋体"/>
                <w:sz w:val="16"/>
              </w:rPr>
              <w:t>培训按期完成率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529E1">
            <w:pPr>
              <w:jc w:val="center"/>
            </w:pPr>
            <w:r>
              <w:rPr>
                <w:rFonts w:ascii="宋体" w:hAnsi="宋体" w:eastAsia="宋体"/>
                <w:sz w:val="16"/>
              </w:rPr>
              <w:t>2025年12月25日前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73A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730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FDE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1DC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0A0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AE1E6">
            <w:pPr>
              <w:jc w:val="center"/>
            </w:pPr>
            <w:r>
              <w:rPr>
                <w:rFonts w:ascii="宋体" w:hAnsi="宋体" w:eastAsia="宋体"/>
                <w:sz w:val="16"/>
              </w:rPr>
              <w:tab/>
            </w:r>
            <w:r>
              <w:rPr>
                <w:rFonts w:ascii="宋体" w:hAnsi="宋体" w:eastAsia="宋体"/>
                <w:sz w:val="16"/>
              </w:rPr>
              <w:t>2025年12月25日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AAE8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D97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29BC6">
            <w:pPr>
              <w:jc w:val="center"/>
            </w:pPr>
          </w:p>
        </w:tc>
      </w:tr>
      <w:tr w14:paraId="089D37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67F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04DB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E912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D129C">
            <w:pPr>
              <w:jc w:val="center"/>
            </w:pPr>
            <w:r>
              <w:rPr>
                <w:rFonts w:ascii="宋体" w:hAnsi="宋体" w:eastAsia="宋体"/>
                <w:sz w:val="16"/>
              </w:rPr>
              <w:t>教师培训费资金总额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F8A65">
            <w:pPr>
              <w:jc w:val="center"/>
            </w:pPr>
            <w:r>
              <w:rPr>
                <w:rFonts w:ascii="宋体" w:hAnsi="宋体" w:eastAsia="宋体"/>
                <w:sz w:val="16"/>
              </w:rPr>
              <w:t>&lt;=0.71万元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46A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9EC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5373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243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135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C94F7">
            <w:pPr>
              <w:jc w:val="center"/>
            </w:pPr>
            <w:r>
              <w:rPr>
                <w:rFonts w:ascii="宋体" w:hAnsi="宋体" w:eastAsia="宋体"/>
                <w:sz w:val="16"/>
              </w:rPr>
              <w:t>0.71万元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D961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32D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B09D6">
            <w:pPr>
              <w:jc w:val="center"/>
            </w:pPr>
          </w:p>
        </w:tc>
      </w:tr>
      <w:tr w14:paraId="05EAB1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70E0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9959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6748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41B9B">
            <w:pPr>
              <w:jc w:val="center"/>
            </w:pPr>
            <w:r>
              <w:rPr>
                <w:rFonts w:ascii="宋体" w:hAnsi="宋体" w:eastAsia="宋体"/>
                <w:sz w:val="16"/>
              </w:rPr>
              <w:t>提高教职工整体素质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5739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E7D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77C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180C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A83F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15D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2F2C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C0D7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BF10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250A5">
            <w:pPr>
              <w:jc w:val="center"/>
            </w:pPr>
          </w:p>
        </w:tc>
      </w:tr>
      <w:tr w14:paraId="2415AB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E55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541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B5BD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27F80">
            <w:pPr>
              <w:jc w:val="center"/>
            </w:pPr>
            <w:r>
              <w:rPr>
                <w:rFonts w:ascii="宋体" w:hAnsi="宋体" w:eastAsia="宋体"/>
                <w:sz w:val="16"/>
              </w:rPr>
              <w:t>培训教师满意度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B0DA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581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4B0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0B3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5271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5CE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228A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6555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D61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AA375">
            <w:pPr>
              <w:jc w:val="center"/>
            </w:pPr>
          </w:p>
        </w:tc>
      </w:tr>
      <w:tr w14:paraId="25C5453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70A882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A4049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4853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5AAE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C18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D9F8B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1677A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F821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A4FF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C76A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BCBE9D"/>
        </w:tc>
      </w:tr>
    </w:tbl>
    <w:p w14:paraId="2E5A94D9">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9369EB1">
        <w:tblPrEx>
          <w:tblCellMar>
            <w:top w:w="0" w:type="dxa"/>
            <w:left w:w="108" w:type="dxa"/>
            <w:bottom w:w="0" w:type="dxa"/>
            <w:right w:w="108" w:type="dxa"/>
          </w:tblCellMar>
        </w:tblPrEx>
        <w:tc>
          <w:tcPr>
            <w:tcW w:w="8848" w:type="dxa"/>
            <w:gridSpan w:val="14"/>
            <w:vAlign w:val="center"/>
          </w:tcPr>
          <w:p w14:paraId="5DC52F2D">
            <w:pPr>
              <w:jc w:val="center"/>
            </w:pPr>
            <w:r>
              <w:rPr>
                <w:rFonts w:ascii="宋体" w:hAnsi="宋体" w:eastAsia="宋体"/>
                <w:sz w:val="24"/>
              </w:rPr>
              <w:t>项目支出绩效自评表</w:t>
            </w:r>
          </w:p>
        </w:tc>
      </w:tr>
      <w:tr w14:paraId="7C057EB5">
        <w:tblPrEx>
          <w:tblCellMar>
            <w:top w:w="0" w:type="dxa"/>
            <w:left w:w="108" w:type="dxa"/>
            <w:bottom w:w="0" w:type="dxa"/>
            <w:right w:w="108" w:type="dxa"/>
          </w:tblCellMar>
        </w:tblPrEx>
        <w:tc>
          <w:tcPr>
            <w:tcW w:w="8848" w:type="dxa"/>
            <w:gridSpan w:val="14"/>
            <w:vAlign w:val="center"/>
          </w:tcPr>
          <w:p w14:paraId="701CEB51">
            <w:pPr>
              <w:jc w:val="center"/>
            </w:pPr>
            <w:r>
              <w:rPr>
                <w:rFonts w:ascii="宋体" w:hAnsi="宋体" w:eastAsia="宋体"/>
                <w:sz w:val="24"/>
              </w:rPr>
              <w:t>(2024年度)</w:t>
            </w:r>
          </w:p>
        </w:tc>
      </w:tr>
      <w:tr w14:paraId="3345C6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C751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EB72A6">
            <w:pPr>
              <w:jc w:val="center"/>
            </w:pPr>
            <w:r>
              <w:rPr>
                <w:rFonts w:ascii="宋体" w:hAnsi="宋体" w:eastAsia="宋体"/>
                <w:sz w:val="16"/>
              </w:rPr>
              <w:t>2024年农村学前免费教育保障机制项目</w:t>
            </w:r>
          </w:p>
        </w:tc>
      </w:tr>
      <w:tr w14:paraId="4871C0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5D68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DE95EC">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44F9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B5D700">
            <w:pPr>
              <w:jc w:val="center"/>
            </w:pPr>
            <w:r>
              <w:rPr>
                <w:rFonts w:ascii="宋体" w:hAnsi="宋体" w:eastAsia="宋体"/>
                <w:sz w:val="16"/>
              </w:rPr>
              <w:t>裕民县第三幼儿园</w:t>
            </w:r>
          </w:p>
        </w:tc>
      </w:tr>
      <w:tr w14:paraId="65FA03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3AC2E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618F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4F78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EA0C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3380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ADB9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08C8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81CAE">
            <w:pPr>
              <w:jc w:val="center"/>
            </w:pPr>
            <w:r>
              <w:rPr>
                <w:rFonts w:ascii="宋体" w:hAnsi="宋体" w:eastAsia="宋体"/>
                <w:sz w:val="16"/>
              </w:rPr>
              <w:t>得分</w:t>
            </w:r>
          </w:p>
        </w:tc>
      </w:tr>
      <w:tr w14:paraId="7CA9F5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306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351D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C3093">
            <w:pPr>
              <w:jc w:val="center"/>
            </w:pPr>
            <w:r>
              <w:rPr>
                <w:rFonts w:ascii="宋体" w:hAnsi="宋体" w:eastAsia="宋体"/>
                <w:sz w:val="16"/>
              </w:rPr>
              <w:t>34.98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E739F">
            <w:pPr>
              <w:jc w:val="center"/>
            </w:pPr>
            <w:r>
              <w:rPr>
                <w:rFonts w:ascii="宋体" w:hAnsi="宋体" w:eastAsia="宋体"/>
                <w:sz w:val="16"/>
              </w:rPr>
              <w:t>36.78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7A606">
            <w:pPr>
              <w:jc w:val="center"/>
            </w:pPr>
            <w:r>
              <w:rPr>
                <w:rFonts w:ascii="宋体" w:hAnsi="宋体" w:eastAsia="宋体"/>
                <w:sz w:val="16"/>
              </w:rPr>
              <w:t>36.78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C21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F8A7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C24ED">
            <w:pPr>
              <w:jc w:val="center"/>
            </w:pPr>
            <w:r>
              <w:rPr>
                <w:rFonts w:ascii="宋体" w:hAnsi="宋体" w:eastAsia="宋体"/>
                <w:sz w:val="16"/>
              </w:rPr>
              <w:t>10.00</w:t>
            </w:r>
          </w:p>
        </w:tc>
      </w:tr>
      <w:tr w14:paraId="44A1FF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5C6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6276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6059D">
            <w:pPr>
              <w:jc w:val="center"/>
            </w:pPr>
            <w:r>
              <w:rPr>
                <w:rFonts w:ascii="宋体" w:hAnsi="宋体" w:eastAsia="宋体"/>
                <w:sz w:val="16"/>
              </w:rPr>
              <w:t>34.98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3339E">
            <w:pPr>
              <w:jc w:val="center"/>
            </w:pPr>
            <w:r>
              <w:rPr>
                <w:rFonts w:ascii="宋体" w:hAnsi="宋体" w:eastAsia="宋体"/>
                <w:sz w:val="16"/>
              </w:rPr>
              <w:t>36.78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7EA5F">
            <w:pPr>
              <w:jc w:val="center"/>
            </w:pPr>
            <w:r>
              <w:rPr>
                <w:rFonts w:ascii="宋体" w:hAnsi="宋体" w:eastAsia="宋体"/>
                <w:sz w:val="16"/>
              </w:rPr>
              <w:t>36.78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A85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DC5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3DB0E">
            <w:pPr>
              <w:jc w:val="center"/>
            </w:pPr>
            <w:r>
              <w:rPr>
                <w:rFonts w:ascii="宋体" w:hAnsi="宋体" w:eastAsia="宋体"/>
                <w:sz w:val="16"/>
              </w:rPr>
              <w:t>—</w:t>
            </w:r>
          </w:p>
        </w:tc>
      </w:tr>
      <w:tr w14:paraId="43E587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4EA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A6AA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2CA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57C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228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97B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2B7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72D6A">
            <w:pPr>
              <w:jc w:val="center"/>
            </w:pPr>
            <w:r>
              <w:rPr>
                <w:rFonts w:ascii="宋体" w:hAnsi="宋体" w:eastAsia="宋体"/>
                <w:sz w:val="16"/>
              </w:rPr>
              <w:t>—</w:t>
            </w:r>
          </w:p>
        </w:tc>
      </w:tr>
      <w:tr w14:paraId="39B730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BEC64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53C85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CC7BE5">
            <w:pPr>
              <w:jc w:val="center"/>
            </w:pPr>
            <w:r>
              <w:rPr>
                <w:rFonts w:ascii="宋体" w:hAnsi="宋体" w:eastAsia="宋体"/>
                <w:sz w:val="16"/>
              </w:rPr>
              <w:t>实际完成情况</w:t>
            </w:r>
          </w:p>
        </w:tc>
      </w:tr>
      <w:tr w14:paraId="76E7CC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2180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DF2BDE">
            <w:pPr>
              <w:jc w:val="both"/>
            </w:pPr>
            <w:r>
              <w:rPr>
                <w:rFonts w:ascii="宋体" w:hAnsi="宋体" w:eastAsia="宋体"/>
                <w:sz w:val="16"/>
              </w:rPr>
              <w:t>2024年教育保障补助经费（公用经费）年预算资金34.98万元，用于保障131名幼儿的伙食、取暖及正常运转，严格把握支付流程，严格遵守财务制度，领导们用走动管理的方式把握方向因为俯下身子才能发现问题及时解决问题。 一、严肃财经纪律，落实好补助政策，保障资金安全。 二、加大宣传力度，落实好农村三年免费教育。</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30BC7E">
            <w:pPr>
              <w:jc w:val="both"/>
            </w:pPr>
            <w:r>
              <w:rPr>
                <w:rFonts w:ascii="宋体" w:hAnsi="宋体" w:eastAsia="宋体"/>
                <w:sz w:val="16"/>
              </w:rPr>
              <w:t>2024年教育保障补助经费（公用经费）年预算资金34.98万元，用于保障131名幼儿的伙食、取暖及正常运转，严格把握支付流程，严格遵守财务制度，领导们用走动管理的方式把握方向因为俯下身子才能发现问题及时解决问题。 一、严肃财经纪律，落实好补助政策，保障资金安全。 二、加大宣传力度，落实好农村三年免费教育。</w:t>
            </w:r>
          </w:p>
        </w:tc>
      </w:tr>
      <w:tr w14:paraId="4BD601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8AC2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3BF2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41AF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33D7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2C9F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4D59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F4CB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FDE4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1A19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3589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F523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61AB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408A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2C314">
            <w:pPr>
              <w:jc w:val="center"/>
            </w:pPr>
            <w:r>
              <w:rPr>
                <w:rFonts w:ascii="宋体" w:hAnsi="宋体" w:eastAsia="宋体"/>
                <w:sz w:val="16"/>
              </w:rPr>
              <w:t>偏差原因分析及改进措施</w:t>
            </w:r>
          </w:p>
        </w:tc>
      </w:tr>
      <w:tr w14:paraId="5B176A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FE0FA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1F4EA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51267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D1320">
            <w:pPr>
              <w:jc w:val="center"/>
            </w:pPr>
            <w:r>
              <w:rPr>
                <w:rFonts w:ascii="宋体" w:hAnsi="宋体" w:eastAsia="宋体"/>
                <w:sz w:val="16"/>
              </w:rPr>
              <w:t>享受幼儿伙食补助学生人数（人）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B211">
            <w:pPr>
              <w:jc w:val="center"/>
            </w:pPr>
            <w:r>
              <w:rPr>
                <w:rFonts w:ascii="宋体" w:hAnsi="宋体" w:eastAsia="宋体"/>
                <w:sz w:val="16"/>
              </w:rPr>
              <w:t>=233人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4B1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0D38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F920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3E7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2F541">
            <w:pPr>
              <w:jc w:val="center"/>
            </w:pPr>
            <w:r>
              <w:rPr>
                <w:rFonts w:ascii="宋体" w:hAnsi="宋体" w:eastAsia="宋体"/>
                <w:sz w:val="16"/>
              </w:rPr>
              <w:t>正式材料,说明材料,工作资料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27C1B">
            <w:pPr>
              <w:jc w:val="center"/>
            </w:pPr>
            <w:r>
              <w:rPr>
                <w:rFonts w:ascii="宋体" w:hAnsi="宋体" w:eastAsia="宋体"/>
                <w:sz w:val="16"/>
              </w:rPr>
              <w:t>233人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25F0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168D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0D9A2">
            <w:pPr>
              <w:jc w:val="center"/>
            </w:pPr>
          </w:p>
        </w:tc>
      </w:tr>
      <w:tr w14:paraId="4C05AD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CE8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2F3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10E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7103D">
            <w:pPr>
              <w:jc w:val="center"/>
            </w:pPr>
            <w:r>
              <w:rPr>
                <w:rFonts w:ascii="宋体" w:hAnsi="宋体" w:eastAsia="宋体"/>
                <w:sz w:val="16"/>
              </w:rPr>
              <w:t>购置办公用品数量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EFA0F">
            <w:pPr>
              <w:jc w:val="center"/>
            </w:pPr>
            <w:r>
              <w:rPr>
                <w:rFonts w:ascii="宋体" w:hAnsi="宋体" w:eastAsia="宋体"/>
                <w:sz w:val="16"/>
              </w:rPr>
              <w:t>&gt;=1批次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F4B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C778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20BA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828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4134D">
            <w:pPr>
              <w:jc w:val="center"/>
            </w:pPr>
            <w:r>
              <w:rPr>
                <w:rFonts w:ascii="宋体" w:hAnsi="宋体" w:eastAsia="宋体"/>
                <w:sz w:val="16"/>
              </w:rPr>
              <w:t>正式材料,说明材料,工作资料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063CC">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A94B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001A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FC3DB">
            <w:pPr>
              <w:jc w:val="center"/>
            </w:pPr>
          </w:p>
        </w:tc>
      </w:tr>
      <w:tr w14:paraId="5ADBA3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18B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736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58B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2FC88">
            <w:pPr>
              <w:jc w:val="center"/>
            </w:pPr>
            <w:r>
              <w:rPr>
                <w:rFonts w:ascii="宋体" w:hAnsi="宋体" w:eastAsia="宋体"/>
                <w:sz w:val="16"/>
              </w:rPr>
              <w:t>享受供暖人数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FF7F2">
            <w:pPr>
              <w:jc w:val="center"/>
            </w:pPr>
            <w:r>
              <w:rPr>
                <w:rFonts w:ascii="宋体" w:hAnsi="宋体" w:eastAsia="宋体"/>
                <w:sz w:val="16"/>
              </w:rPr>
              <w:t>&gt;=233人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2D6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472F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BC3D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987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0281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E7737">
            <w:pPr>
              <w:jc w:val="center"/>
            </w:pPr>
            <w:r>
              <w:rPr>
                <w:rFonts w:ascii="宋体" w:hAnsi="宋体" w:eastAsia="宋体"/>
                <w:sz w:val="16"/>
              </w:rPr>
              <w:t>233人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CC77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984B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69EA3">
            <w:pPr>
              <w:jc w:val="center"/>
            </w:pPr>
          </w:p>
        </w:tc>
      </w:tr>
      <w:tr w14:paraId="60E94C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01B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CD6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2B207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213B4">
            <w:pPr>
              <w:jc w:val="center"/>
            </w:pPr>
            <w:r>
              <w:rPr>
                <w:rFonts w:ascii="宋体" w:hAnsi="宋体" w:eastAsia="宋体"/>
                <w:sz w:val="16"/>
              </w:rPr>
              <w:t>办公用品采购合格率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E57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7A0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664D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5F6C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5F4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2AB7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176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9975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1C8D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369EA">
            <w:pPr>
              <w:jc w:val="center"/>
            </w:pPr>
          </w:p>
        </w:tc>
      </w:tr>
      <w:tr w14:paraId="2FD029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CA6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97C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DC5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32A4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876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B0A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684C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0436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25D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EECD6">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F41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5BC6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31C7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F9F67">
            <w:pPr>
              <w:jc w:val="center"/>
            </w:pPr>
          </w:p>
        </w:tc>
      </w:tr>
      <w:tr w14:paraId="64D333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2F4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CC7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FB27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8608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B41F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28B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5DAE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1377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8CF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1CE6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9455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1C23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F79F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59F88">
            <w:pPr>
              <w:jc w:val="center"/>
            </w:pPr>
          </w:p>
        </w:tc>
      </w:tr>
      <w:tr w14:paraId="1EB20E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07E0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502A7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7D895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3904A">
            <w:pPr>
              <w:jc w:val="center"/>
            </w:pPr>
            <w:r>
              <w:rPr>
                <w:rFonts w:ascii="宋体" w:hAnsi="宋体" w:eastAsia="宋体"/>
                <w:sz w:val="16"/>
              </w:rPr>
              <w:t>幼儿公用经费补助标准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01013">
            <w:pPr>
              <w:jc w:val="center"/>
            </w:pPr>
            <w:r>
              <w:rPr>
                <w:rFonts w:ascii="宋体" w:hAnsi="宋体" w:eastAsia="宋体"/>
                <w:sz w:val="16"/>
              </w:rPr>
              <w:t>&lt;=1100元/人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168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6695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1155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9A5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11985">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74F07">
            <w:pPr>
              <w:jc w:val="center"/>
            </w:pPr>
            <w:r>
              <w:rPr>
                <w:rFonts w:ascii="宋体" w:hAnsi="宋体" w:eastAsia="宋体"/>
                <w:sz w:val="16"/>
              </w:rPr>
              <w:t>1100元/人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76BC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07E7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9ECD5">
            <w:pPr>
              <w:jc w:val="center"/>
            </w:pPr>
          </w:p>
        </w:tc>
      </w:tr>
      <w:tr w14:paraId="729030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B62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45C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20C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D12DD">
            <w:pPr>
              <w:jc w:val="center"/>
            </w:pPr>
            <w:r>
              <w:rPr>
                <w:rFonts w:ascii="宋体" w:hAnsi="宋体" w:eastAsia="宋体"/>
                <w:sz w:val="16"/>
              </w:rPr>
              <w:t>学前保障取暖补助标准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CE258">
            <w:pPr>
              <w:jc w:val="center"/>
            </w:pPr>
            <w:r>
              <w:rPr>
                <w:rFonts w:ascii="宋体" w:hAnsi="宋体" w:eastAsia="宋体"/>
                <w:sz w:val="16"/>
              </w:rPr>
              <w:t>&lt;=120元/人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7406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5125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41AA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BC6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4EB57">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AA38A">
            <w:pPr>
              <w:jc w:val="center"/>
            </w:pPr>
            <w:r>
              <w:rPr>
                <w:rFonts w:ascii="宋体" w:hAnsi="宋体" w:eastAsia="宋体"/>
                <w:sz w:val="16"/>
              </w:rPr>
              <w:t>120元/人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06AD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C212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70C51">
            <w:pPr>
              <w:jc w:val="center"/>
            </w:pPr>
          </w:p>
        </w:tc>
      </w:tr>
      <w:tr w14:paraId="470F67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C4B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E991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0EB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A0708">
            <w:pPr>
              <w:jc w:val="center"/>
            </w:pPr>
            <w:r>
              <w:rPr>
                <w:rFonts w:ascii="宋体" w:hAnsi="宋体" w:eastAsia="宋体"/>
                <w:sz w:val="16"/>
              </w:rPr>
              <w:t>幼儿伙食补助标准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57DF3">
            <w:pPr>
              <w:jc w:val="center"/>
            </w:pPr>
            <w:r>
              <w:rPr>
                <w:rFonts w:ascii="宋体" w:hAnsi="宋体" w:eastAsia="宋体"/>
                <w:sz w:val="16"/>
              </w:rPr>
              <w:t>&lt;=1450元/人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0B7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EFB1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AFCA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379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A7004">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2832B">
            <w:pPr>
              <w:jc w:val="center"/>
            </w:pPr>
            <w:r>
              <w:rPr>
                <w:rFonts w:ascii="宋体" w:hAnsi="宋体" w:eastAsia="宋体"/>
                <w:sz w:val="16"/>
              </w:rPr>
              <w:t>1450元/人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DF9A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8F4D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A0A84">
            <w:pPr>
              <w:jc w:val="center"/>
            </w:pPr>
          </w:p>
        </w:tc>
      </w:tr>
      <w:tr w14:paraId="39C3E3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EFD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DFDA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DEA3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F9F13">
            <w:pPr>
              <w:jc w:val="center"/>
            </w:pPr>
            <w:r>
              <w:rPr>
                <w:rFonts w:ascii="宋体" w:hAnsi="宋体" w:eastAsia="宋体"/>
                <w:sz w:val="16"/>
              </w:rPr>
              <w:t>保障学前教育教学工作正常开展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3965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FF8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13A9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CA97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C5CC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E603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F2412">
            <w:pPr>
              <w:jc w:val="center"/>
            </w:pPr>
            <w:r>
              <w:rPr>
                <w:rFonts w:ascii="宋体" w:hAnsi="宋体" w:eastAsia="宋体"/>
                <w:sz w:val="16"/>
              </w:rPr>
              <w:tab/>
            </w: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768A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F804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3C779">
            <w:pPr>
              <w:jc w:val="center"/>
            </w:pPr>
          </w:p>
        </w:tc>
      </w:tr>
      <w:tr w14:paraId="20F231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9A1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770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E10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92526">
            <w:pPr>
              <w:jc w:val="center"/>
            </w:pPr>
            <w:r>
              <w:rPr>
                <w:rFonts w:ascii="宋体" w:hAnsi="宋体" w:eastAsia="宋体"/>
                <w:sz w:val="16"/>
              </w:rPr>
              <w:t>幼儿家长满意度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5097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D01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DD27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80D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A084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AB88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A378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5AED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848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C8B6D">
            <w:pPr>
              <w:jc w:val="center"/>
            </w:pPr>
          </w:p>
        </w:tc>
      </w:tr>
      <w:tr w14:paraId="1DA363A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CBD2C4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1852D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A8DB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1AC9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2F6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BB61F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44214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B4BB0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0BAA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5EA4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5696EC"/>
        </w:tc>
      </w:tr>
    </w:tbl>
    <w:p w14:paraId="4340FBDA">
      <w:r>
        <w:br w:type="page"/>
      </w:r>
    </w:p>
    <w:p w14:paraId="79D5CAFC">
      <w:pPr>
        <w:spacing w:line="640" w:lineRule="exact"/>
        <w:ind w:firstLine="640"/>
        <w:jc w:val="both"/>
        <w:outlineLvl w:val="2"/>
      </w:pPr>
      <w:r>
        <w:rPr>
          <w:rFonts w:ascii="黑体" w:hAnsi="黑体" w:eastAsia="黑体"/>
          <w:sz w:val="32"/>
        </w:rPr>
        <w:t>十二、其他需说明的事项</w:t>
      </w:r>
    </w:p>
    <w:p w14:paraId="3CEEB5AE">
      <w:pPr>
        <w:spacing w:line="580" w:lineRule="exact"/>
        <w:ind w:firstLine="640"/>
        <w:jc w:val="both"/>
      </w:pPr>
      <w:r>
        <w:rPr>
          <w:rFonts w:ascii="仿宋_GB2312" w:hAnsi="仿宋_GB2312" w:eastAsia="仿宋_GB2312"/>
          <w:b w:val="0"/>
          <w:sz w:val="32"/>
        </w:rPr>
        <w:t>本单位无其他需说明的事项。</w:t>
      </w:r>
    </w:p>
    <w:p w14:paraId="0A6BEF34">
      <w:r>
        <w:br w:type="page"/>
      </w:r>
    </w:p>
    <w:p w14:paraId="457DFC8E">
      <w:pPr>
        <w:spacing w:line="240" w:lineRule="auto"/>
        <w:jc w:val="center"/>
        <w:outlineLvl w:val="1"/>
      </w:pPr>
      <w:r>
        <w:rPr>
          <w:rFonts w:ascii="黑体" w:hAnsi="黑体" w:eastAsia="黑体"/>
          <w:sz w:val="32"/>
        </w:rPr>
        <w:t>第三部分 专业名词解释</w:t>
      </w:r>
    </w:p>
    <w:p w14:paraId="180D48F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922249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9A5DD5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EE81DA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A5059C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36A607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687DB4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753ED0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A79987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D40572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413CA4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BCFCE3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0B3BBC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F18FDA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B83BF42">
      <w:r>
        <w:br w:type="page"/>
      </w:r>
    </w:p>
    <w:p w14:paraId="06ECE859">
      <w:pPr>
        <w:spacing w:line="240" w:lineRule="auto"/>
        <w:jc w:val="center"/>
        <w:outlineLvl w:val="1"/>
      </w:pPr>
      <w:r>
        <w:rPr>
          <w:rFonts w:ascii="黑体" w:hAnsi="黑体" w:eastAsia="黑体"/>
          <w:sz w:val="32"/>
        </w:rPr>
        <w:t>第四部分 部门决算报表（见附表）</w:t>
      </w:r>
    </w:p>
    <w:p w14:paraId="2B88136C">
      <w:pPr>
        <w:spacing w:line="240" w:lineRule="auto"/>
        <w:ind w:firstLine="640"/>
        <w:jc w:val="both"/>
      </w:pPr>
      <w:r>
        <w:rPr>
          <w:rFonts w:ascii="仿宋_GB2312" w:hAnsi="仿宋_GB2312" w:eastAsia="仿宋_GB2312"/>
          <w:b w:val="0"/>
          <w:sz w:val="32"/>
        </w:rPr>
        <w:t>一、《收入支出决算总表》</w:t>
      </w:r>
    </w:p>
    <w:p w14:paraId="5574FE92">
      <w:pPr>
        <w:spacing w:line="240" w:lineRule="auto"/>
        <w:ind w:firstLine="640"/>
        <w:jc w:val="both"/>
      </w:pPr>
      <w:r>
        <w:rPr>
          <w:rFonts w:ascii="仿宋_GB2312" w:hAnsi="仿宋_GB2312" w:eastAsia="仿宋_GB2312"/>
          <w:b w:val="0"/>
          <w:sz w:val="32"/>
        </w:rPr>
        <w:t>二、《收入决算表》</w:t>
      </w:r>
    </w:p>
    <w:p w14:paraId="16ECDA86">
      <w:pPr>
        <w:spacing w:line="240" w:lineRule="auto"/>
        <w:ind w:firstLine="640"/>
        <w:jc w:val="both"/>
      </w:pPr>
      <w:r>
        <w:rPr>
          <w:rFonts w:ascii="仿宋_GB2312" w:hAnsi="仿宋_GB2312" w:eastAsia="仿宋_GB2312"/>
          <w:b w:val="0"/>
          <w:sz w:val="32"/>
        </w:rPr>
        <w:t>三、《支出决算表》</w:t>
      </w:r>
    </w:p>
    <w:p w14:paraId="5B5ED945">
      <w:pPr>
        <w:spacing w:line="240" w:lineRule="auto"/>
        <w:ind w:firstLine="640"/>
        <w:jc w:val="both"/>
      </w:pPr>
      <w:r>
        <w:rPr>
          <w:rFonts w:ascii="仿宋_GB2312" w:hAnsi="仿宋_GB2312" w:eastAsia="仿宋_GB2312"/>
          <w:b w:val="0"/>
          <w:sz w:val="32"/>
        </w:rPr>
        <w:t>四、《财政拨款收入支出决算总表》</w:t>
      </w:r>
    </w:p>
    <w:p w14:paraId="682E6225">
      <w:pPr>
        <w:spacing w:line="240" w:lineRule="auto"/>
        <w:ind w:firstLine="640"/>
        <w:jc w:val="both"/>
      </w:pPr>
      <w:r>
        <w:rPr>
          <w:rFonts w:ascii="仿宋_GB2312" w:hAnsi="仿宋_GB2312" w:eastAsia="仿宋_GB2312"/>
          <w:b w:val="0"/>
          <w:sz w:val="32"/>
        </w:rPr>
        <w:t>五、《一般公共预算财政拨款支出决算表》</w:t>
      </w:r>
    </w:p>
    <w:p w14:paraId="2E3788D2">
      <w:pPr>
        <w:spacing w:line="240" w:lineRule="auto"/>
        <w:ind w:firstLine="640"/>
        <w:jc w:val="both"/>
      </w:pPr>
      <w:r>
        <w:rPr>
          <w:rFonts w:ascii="仿宋_GB2312" w:hAnsi="仿宋_GB2312" w:eastAsia="仿宋_GB2312"/>
          <w:b w:val="0"/>
          <w:sz w:val="32"/>
        </w:rPr>
        <w:t>六、《一般公共预算财政拨款基本支出决算表》</w:t>
      </w:r>
    </w:p>
    <w:p w14:paraId="30D11867">
      <w:pPr>
        <w:spacing w:line="240" w:lineRule="auto"/>
        <w:ind w:firstLine="640"/>
        <w:jc w:val="both"/>
      </w:pPr>
      <w:r>
        <w:rPr>
          <w:rFonts w:ascii="仿宋_GB2312" w:hAnsi="仿宋_GB2312" w:eastAsia="仿宋_GB2312"/>
          <w:b w:val="0"/>
          <w:sz w:val="32"/>
        </w:rPr>
        <w:t>七、《政府性基金预算财政拨款收入支出决算表》</w:t>
      </w:r>
    </w:p>
    <w:p w14:paraId="04DF6371">
      <w:pPr>
        <w:spacing w:line="240" w:lineRule="auto"/>
        <w:ind w:firstLine="640"/>
        <w:jc w:val="both"/>
      </w:pPr>
      <w:r>
        <w:rPr>
          <w:rFonts w:ascii="仿宋_GB2312" w:hAnsi="仿宋_GB2312" w:eastAsia="仿宋_GB2312"/>
          <w:b w:val="0"/>
          <w:sz w:val="32"/>
        </w:rPr>
        <w:t>八、《国有资本经营预算财政拨款收入支出决算表》</w:t>
      </w:r>
    </w:p>
    <w:p w14:paraId="4CF948DE">
      <w:pPr>
        <w:spacing w:line="240" w:lineRule="auto"/>
        <w:ind w:firstLine="640"/>
        <w:jc w:val="both"/>
      </w:pPr>
      <w:r>
        <w:rPr>
          <w:rFonts w:ascii="仿宋_GB2312" w:hAnsi="仿宋_GB2312" w:eastAsia="仿宋_GB2312"/>
          <w:b w:val="0"/>
          <w:sz w:val="32"/>
        </w:rPr>
        <w:t>九、《财政拨款“三公”经费支出决算表》</w:t>
      </w:r>
    </w:p>
    <w:p w14:paraId="5A69843C">
      <w:pPr>
        <w:spacing w:line="240" w:lineRule="auto"/>
        <w:ind w:firstLine="640"/>
        <w:jc w:val="both"/>
      </w:pPr>
    </w:p>
    <w:p w14:paraId="6D48E0C6">
      <w:pPr>
        <w:spacing w:line="240" w:lineRule="auto"/>
        <w:ind w:firstLine="640"/>
        <w:jc w:val="both"/>
      </w:pPr>
    </w:p>
    <w:p w14:paraId="3ADB94DE">
      <w:pPr>
        <w:spacing w:line="240" w:lineRule="auto"/>
        <w:ind w:firstLine="640"/>
        <w:jc w:val="both"/>
      </w:pPr>
    </w:p>
    <w:p w14:paraId="2E7CF55C">
      <w:pPr>
        <w:spacing w:line="240" w:lineRule="auto"/>
        <w:ind w:firstLine="640"/>
        <w:jc w:val="both"/>
      </w:pPr>
    </w:p>
    <w:p w14:paraId="6D9FB55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9946261-9B15-4204-A708-1C45D378E4A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822AC8D2-4643-4C00-B509-E1183EB29580}"/>
  </w:font>
  <w:font w:name="楷体_GB2312">
    <w:panose1 w:val="02010609030101010101"/>
    <w:charset w:val="86"/>
    <w:family w:val="auto"/>
    <w:pitch w:val="default"/>
    <w:sig w:usb0="00000001" w:usb1="080E0000" w:usb2="00000000" w:usb3="00000000" w:csb0="00040000" w:csb1="00000000"/>
    <w:embedRegular r:id="rId3" w:fontKey="{EE7AF1E2-2914-4AAE-9B3E-F8B65FCC9E95}"/>
  </w:font>
  <w:font w:name="方正小标宋_GBK">
    <w:panose1 w:val="02000000000000000000"/>
    <w:charset w:val="86"/>
    <w:family w:val="script"/>
    <w:pitch w:val="default"/>
    <w:sig w:usb0="A00002BF" w:usb1="38CF7CFA" w:usb2="00082016" w:usb3="00000000" w:csb0="00040001" w:csb1="00000000"/>
    <w:embedRegular r:id="rId4" w:fontKey="{5B0A2940-C1E2-4D9D-9169-D563240B6DC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719C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95EFBDA">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95EFBDA">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40622D"/>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721D94"/>
    <w:rsid w:val="2FD27414"/>
    <w:rsid w:val="313F1D52"/>
    <w:rsid w:val="318029AB"/>
    <w:rsid w:val="31C63837"/>
    <w:rsid w:val="326F0A17"/>
    <w:rsid w:val="3277581B"/>
    <w:rsid w:val="33E231CA"/>
    <w:rsid w:val="38006E2C"/>
    <w:rsid w:val="3914510A"/>
    <w:rsid w:val="3A2F48B7"/>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072BA2"/>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59558f1e-4f3a-44f3-8ed8-a40e70f75ed4</errorID>
      <errorWord>培养</errorWord>
      <group>L1_Word</group>
      <groupName>字词问题</groupName>
      <ability>L2_Typo</ability>
      <abilityName>字词错误</abilityName>
      <candidateList>
        <item>提升</item>
      </candidateList>
      <explain>“培养～水平”搭配不当，建议修改为“提升～水平”。</explain>
      <paraID>2786BB4C</paraID>
      <start>234</start>
      <end>236</end>
      <status>unmodified</status>
      <modifiedWord/>
      <trackRevisions>false</trackRevisions>
    </reviewItem>
    <reviewItem>
      <errorID>18f5da0c-cb8a-455d-801a-d898430216d9</errorID>
      <errorWord>2月31日</errorWord>
      <group>L1_Sensitive</group>
      <groupName>敏感问题</groupName>
      <ability>L2_UserSensitive</ability>
      <abilityName>自定义敏感词</abilityName>
      <candidateList/>
      <explain>来自自定义敏感词库。</explain>
      <paraID>6BECEBD0</paraID>
      <start>8</start>
      <end>13</end>
      <status>unmodified</status>
      <modifiedWord/>
      <trackRevisions>false</trackRevisions>
    </reviewItem>
    <reviewItem>
      <errorID>4336528a-1e2a-4395-ad52-06348f53ce9e</errorID>
      <errorWord>办人民满意的教育</errorWord>
      <group>L1_Political</group>
      <groupName>政治性问题</groupName>
      <ability>L2_Unpolitical</ability>
      <abilityName>政治敏感错误</abilityName>
      <candidateList>
        <item>办好人民满意的教育</item>
      </candidateList>
      <explain/>
      <paraID>41FFDF07</paraID>
      <start>364</start>
      <end>372</end>
      <status>unmodified</status>
      <modifiedWord/>
      <trackRevisions>false</trackRevisions>
    </reviewItem>
    <reviewItem>
      <errorID>4e6cdb37-af5b-4473-8075-1efecf6e8085</errorID>
      <errorWord>办人民满意的教育</errorWord>
      <group>L1_Political</group>
      <groupName>政治性问题</groupName>
      <ability>L2_Unpolitical</ability>
      <abilityName>政治敏感错误</abilityName>
      <candidateList>
        <item>办好人民满意的教育</item>
      </candidateList>
      <explain/>
      <paraID>7071DDB9</paraID>
      <start>342</start>
      <end>350</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d6fe6-e368-4e44-8ffd-1a42b9f0b101}">
  <ds:schemaRefs/>
</ds:datastoreItem>
</file>

<file path=docProps/app.xml><?xml version="1.0" encoding="utf-8"?>
<Properties xmlns="http://schemas.openxmlformats.org/officeDocument/2006/extended-properties" xmlns:vt="http://schemas.openxmlformats.org/officeDocument/2006/docPropsVTypes">
  <Template>Normal.dotm</Template>
  <Pages>25</Pages>
  <Words>9198</Words>
  <Characters>10654</Characters>
  <Lines>0</Lines>
  <Paragraphs>0</Paragraphs>
  <TotalTime>26</TotalTime>
  <ScaleCrop>false</ScaleCrop>
  <LinksUpToDate>false</LinksUpToDate>
  <CharactersWithSpaces>10679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2025-11-07T07:58:26Z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