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E6FD7"/>
    <w:p w14:paraId="2DCC6CB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5C818AEF">
      <w:pPr>
        <w:spacing w:line="540" w:lineRule="exact"/>
        <w:jc w:val="center"/>
        <w:rPr>
          <w:rFonts w:ascii="华文中宋" w:hAnsi="华文中宋" w:eastAsia="华文中宋" w:cs="宋体"/>
          <w:b/>
          <w:kern w:val="0"/>
          <w:sz w:val="52"/>
          <w:szCs w:val="52"/>
        </w:rPr>
      </w:pPr>
    </w:p>
    <w:p w14:paraId="5E27F02B">
      <w:pPr>
        <w:spacing w:line="540" w:lineRule="exact"/>
        <w:jc w:val="center"/>
        <w:rPr>
          <w:rFonts w:ascii="华文中宋" w:hAnsi="华文中宋" w:eastAsia="华文中宋" w:cs="宋体"/>
          <w:b/>
          <w:kern w:val="0"/>
          <w:sz w:val="52"/>
          <w:szCs w:val="52"/>
        </w:rPr>
      </w:pPr>
    </w:p>
    <w:p w14:paraId="70EA4F5F">
      <w:pPr>
        <w:spacing w:line="540" w:lineRule="exact"/>
        <w:jc w:val="center"/>
        <w:rPr>
          <w:rFonts w:ascii="华文中宋" w:hAnsi="华文中宋" w:eastAsia="华文中宋" w:cs="宋体"/>
          <w:b/>
          <w:kern w:val="0"/>
          <w:sz w:val="52"/>
          <w:szCs w:val="52"/>
        </w:rPr>
      </w:pPr>
    </w:p>
    <w:p w14:paraId="7C37D5E3">
      <w:pPr>
        <w:spacing w:line="540" w:lineRule="exact"/>
        <w:jc w:val="center"/>
        <w:rPr>
          <w:rFonts w:ascii="华文中宋" w:hAnsi="华文中宋" w:eastAsia="华文中宋" w:cs="宋体"/>
          <w:b/>
          <w:kern w:val="0"/>
          <w:sz w:val="52"/>
          <w:szCs w:val="52"/>
        </w:rPr>
      </w:pPr>
    </w:p>
    <w:p w14:paraId="1620F400">
      <w:pPr>
        <w:spacing w:line="540" w:lineRule="exact"/>
        <w:jc w:val="center"/>
        <w:rPr>
          <w:rFonts w:ascii="华文中宋" w:hAnsi="华文中宋" w:eastAsia="华文中宋" w:cs="宋体"/>
          <w:b/>
          <w:kern w:val="0"/>
          <w:sz w:val="52"/>
          <w:szCs w:val="52"/>
        </w:rPr>
      </w:pPr>
    </w:p>
    <w:p w14:paraId="4EA7F16B">
      <w:pPr>
        <w:spacing w:line="540" w:lineRule="exact"/>
        <w:jc w:val="center"/>
        <w:rPr>
          <w:rFonts w:ascii="华文中宋" w:hAnsi="华文中宋" w:eastAsia="华文中宋" w:cs="宋体"/>
          <w:b/>
          <w:kern w:val="0"/>
          <w:sz w:val="52"/>
          <w:szCs w:val="52"/>
        </w:rPr>
      </w:pPr>
    </w:p>
    <w:p w14:paraId="46E549C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34CC37A">
      <w:pPr>
        <w:spacing w:line="540" w:lineRule="exact"/>
        <w:jc w:val="center"/>
        <w:rPr>
          <w:rFonts w:ascii="华文中宋" w:hAnsi="华文中宋" w:eastAsia="华文中宋" w:cs="宋体"/>
          <w:b/>
          <w:kern w:val="0"/>
          <w:sz w:val="52"/>
          <w:szCs w:val="52"/>
        </w:rPr>
      </w:pPr>
    </w:p>
    <w:p w14:paraId="79096CBC">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FA9774F">
      <w:pPr>
        <w:spacing w:line="540" w:lineRule="exact"/>
        <w:jc w:val="center"/>
        <w:rPr>
          <w:rFonts w:hAnsi="宋体" w:eastAsia="仿宋_GB2312" w:cs="宋体"/>
          <w:kern w:val="0"/>
          <w:sz w:val="30"/>
          <w:szCs w:val="30"/>
        </w:rPr>
      </w:pPr>
    </w:p>
    <w:p w14:paraId="5CFD521B">
      <w:pPr>
        <w:spacing w:line="540" w:lineRule="exact"/>
        <w:jc w:val="center"/>
        <w:rPr>
          <w:rFonts w:hAnsi="宋体" w:eastAsia="仿宋_GB2312" w:cs="宋体"/>
          <w:kern w:val="0"/>
          <w:sz w:val="30"/>
          <w:szCs w:val="30"/>
        </w:rPr>
      </w:pPr>
    </w:p>
    <w:p w14:paraId="7FC43F9A">
      <w:pPr>
        <w:spacing w:line="540" w:lineRule="exact"/>
        <w:jc w:val="center"/>
        <w:rPr>
          <w:rFonts w:hAnsi="宋体" w:eastAsia="仿宋_GB2312" w:cs="宋体"/>
          <w:kern w:val="0"/>
          <w:sz w:val="30"/>
          <w:szCs w:val="30"/>
        </w:rPr>
      </w:pPr>
    </w:p>
    <w:p w14:paraId="7435AC9F">
      <w:pPr>
        <w:spacing w:line="540" w:lineRule="exact"/>
        <w:jc w:val="center"/>
        <w:rPr>
          <w:rFonts w:hAnsi="宋体" w:eastAsia="仿宋_GB2312" w:cs="宋体"/>
          <w:kern w:val="0"/>
          <w:sz w:val="30"/>
          <w:szCs w:val="30"/>
        </w:rPr>
      </w:pPr>
    </w:p>
    <w:p w14:paraId="2B9FF230">
      <w:pPr>
        <w:spacing w:line="540" w:lineRule="exact"/>
        <w:jc w:val="center"/>
        <w:rPr>
          <w:rFonts w:hAnsi="宋体" w:eastAsia="仿宋_GB2312" w:cs="宋体"/>
          <w:kern w:val="0"/>
          <w:sz w:val="30"/>
          <w:szCs w:val="30"/>
        </w:rPr>
      </w:pPr>
    </w:p>
    <w:p w14:paraId="3D484FFB">
      <w:pPr>
        <w:spacing w:line="540" w:lineRule="exact"/>
        <w:jc w:val="center"/>
        <w:rPr>
          <w:rFonts w:hAnsi="宋体" w:eastAsia="仿宋_GB2312" w:cs="宋体"/>
          <w:kern w:val="0"/>
          <w:sz w:val="30"/>
          <w:szCs w:val="30"/>
        </w:rPr>
      </w:pPr>
    </w:p>
    <w:p w14:paraId="0F2452C2">
      <w:pPr>
        <w:spacing w:line="540" w:lineRule="exact"/>
        <w:rPr>
          <w:rFonts w:hAnsi="宋体" w:eastAsia="仿宋_GB2312" w:cs="宋体"/>
          <w:kern w:val="0"/>
          <w:sz w:val="30"/>
          <w:szCs w:val="30"/>
        </w:rPr>
      </w:pPr>
    </w:p>
    <w:p w14:paraId="41CB0CFD">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5DD5476">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项目名称：2024年农村学前免费教育保障机制项目</w:t>
      </w:r>
    </w:p>
    <w:p w14:paraId="16FA5009">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实施单位（公章）：裕民县第三幼儿园</w:t>
      </w:r>
      <w:bookmarkStart w:id="0" w:name="_GoBack"/>
      <w:bookmarkEnd w:id="0"/>
    </w:p>
    <w:p w14:paraId="6078E1E5">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主管部门（公章）：裕民县教育和体育局</w:t>
      </w:r>
    </w:p>
    <w:p w14:paraId="2E1C9DE3">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项目负责人（签章）：李爱君</w:t>
      </w:r>
    </w:p>
    <w:p w14:paraId="5B95E34D">
      <w:pPr>
        <w:spacing w:line="700" w:lineRule="exact"/>
        <w:ind w:firstLine="800" w:firstLineChars="250"/>
        <w:jc w:val="left"/>
        <w:rPr>
          <w:rFonts w:hint="eastAsia" w:hAnsi="宋体" w:eastAsia="仿宋_GB2312" w:cs="宋体"/>
          <w:kern w:val="0"/>
          <w:sz w:val="32"/>
          <w:szCs w:val="32"/>
        </w:rPr>
      </w:pPr>
      <w:r>
        <w:rPr>
          <w:rFonts w:hint="eastAsia" w:hAnsi="宋体" w:eastAsia="仿宋_GB2312" w:cs="宋体"/>
          <w:kern w:val="0"/>
          <w:sz w:val="32"/>
          <w:szCs w:val="32"/>
        </w:rPr>
        <w:t>填报时间：2025年04月15日</w:t>
      </w:r>
    </w:p>
    <w:p w14:paraId="0FB1A00B">
      <w:pPr>
        <w:spacing w:line="540" w:lineRule="exact"/>
        <w:rPr>
          <w:rStyle w:val="19"/>
          <w:rFonts w:hint="eastAsia" w:ascii="黑体" w:hAnsi="黑体" w:eastAsia="黑体"/>
          <w:b w:val="0"/>
          <w:spacing w:val="-4"/>
          <w:sz w:val="32"/>
          <w:szCs w:val="32"/>
        </w:rPr>
      </w:pPr>
    </w:p>
    <w:p w14:paraId="719AB6A3">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5273A67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1E7F074C">
      <w:pPr>
        <w:spacing w:line="540" w:lineRule="exact"/>
        <w:ind w:left="638" w:leftChars="304"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（一）项目概况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依据2024年农村学前三年免费教育保障机制补助经费（伙</w:t>
      </w:r>
    </w:p>
    <w:p w14:paraId="4452F580">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食费）免费教育统计学生233人经费保障标准，设立了以裕党财办[2023]97号文件、裕财字[2023]1号文件要求，2024年农村三年免费教育保障机制补助经费（伙食补助和公用经费）项目预算资金总额36.78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覆盖我辖区100%的学前教育幼儿。保障机制经费的设立，是以解决辖区群众最关心、最直接、最现实的问题学前教育为导向，以千方百计解决学生接受教育为目的，贯彻落实党和政府的教育方针、政策。2024年农村三年免费教育保障机制补助经费（伙食补助和公用经费）项目资金优化教育结构、完成教育教学活动和其他日常工作任务等方面的支出。促进教育教学正常开展，是我园办好人民满意教育和培养“四有新人”的重要保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主要内容：2024年农村三年免费教育保障机制补助经费（伙食补助和公用经费）项目主要用于办公费、印刷费、邮电费、水费、培训费及伙食费等运转经费的支出。通过项目实施，完成教育教学活动和其他日常工作任务等方面的支出。不断提高教育教学水平，达到办好人民满意的幼儿教育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项目实施情况：本项目于2024年1月开始实施，截</w:t>
      </w:r>
      <w:r>
        <w:rPr>
          <w:rStyle w:val="19"/>
          <w:rFonts w:hint="eastAsia" w:ascii="楷体" w:hAnsi="楷体" w:eastAsia="楷体"/>
          <w:b w:val="0"/>
          <w:bCs w:val="0"/>
          <w:spacing w:val="-4"/>
          <w:sz w:val="32"/>
          <w:szCs w:val="32"/>
          <w:lang w:val="en-US" w:eastAsia="zh-CN"/>
        </w:rPr>
        <w:t>止</w:t>
      </w:r>
      <w:r>
        <w:rPr>
          <w:rStyle w:val="19"/>
          <w:rFonts w:hint="eastAsia" w:ascii="楷体" w:hAnsi="楷体" w:eastAsia="楷体"/>
          <w:b w:val="0"/>
          <w:bCs w:val="0"/>
          <w:spacing w:val="-4"/>
          <w:sz w:val="32"/>
          <w:szCs w:val="32"/>
        </w:rPr>
        <w:t>2024年12月，该项目已实施完成，各项任务指标全部完成。通过本项目的实施，有效解决了我园实施学前教育教学活动所需的经费支出，有了培训经费的支持极大的提升了教师教育教学水平，增强了教师的自信心，使其能够更好地服务与教育。</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该项目年初预算数34.98万元，全年预算数36.78万元，该项目资金已全部落实到位，资金来源为县财政拨款36.78万元，上级专项资金12万元。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34.98万元，全年预算数36.78万元，全年执行数36.78万元，预算执行率为100%，主要用于：项目资金主要用于支付办公费用7.06万元、印刷费用0.49万元、邮电费0.07万元、电费3万元、水费2.5万元、培训费0.69万元、维修费0.6万元、暖气费1.57万元、伙食费20.8万元。</w:t>
      </w:r>
    </w:p>
    <w:p w14:paraId="4F9C9A3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7E85D42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p>
    <w:p w14:paraId="6D684C5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依据2024年全园教育统计学生人数经费保障标准，设立了2024年农村三年免费教育保障机制补助经费（伙食补助和公用经费），项目立项依据上级和本级财政承担裕财字[2024]1号文件、塔地财教[2023]112号文件执行。2024年教育保障补助经费（公用经费）年支出36.78万元，用于幼儿园233人孩子伙食费、办公经费等方面的支出，确保学校正常运转，严格把握支付流程，严格遵守财务制度，领导们用走动管理的方式把握方向因为俯下身子才能发现问题及时解决问题。严肃财经纪律，落实好补助政策，保障资金安全。 加大宣传力度，落实好农村三年免费教育，完成教育教学活动和其他日常工作任务等方面的支出。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第一季度重点完成项目预算，精确测算用途及金额，形成项目目标。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第二、三季度重点支付了幼儿园水费、电费及邮电费，确保园内供电稳定、通信网络畅通，满足师生日常教学、办公及安全管理需求。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第四季度重点支付了办公费、专业材料费、印刷费、维修费及取暖费，满足了教育教学需求，维护了校园基础设施的正常运转，保障了幼儿教育教学活动工作的有序开展。</w:t>
      </w:r>
    </w:p>
    <w:p w14:paraId="02FE874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7562DFA3">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1C365E12">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p>
    <w:p w14:paraId="61B8ED7A">
      <w:pPr>
        <w:spacing w:line="540" w:lineRule="exact"/>
        <w:ind w:left="319" w:leftChars="152"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以及可持续性等多个维度，力求全方位反映项目的绩效状况。同时，对于每个指标的评价标准和数据来源均进行了明确说明，确保评价结果的客观性和可追溯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（1）评估项目实施效果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通过对项目预算执行情况及各项绩效目标达成程度的系统性分析，全面、客观地评估项目在预定周期内的实施效果，包括社会效益以及可持续性等多维度指标，为项目后续的改进与优化提供科学依据。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（3）强化项目管理责任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1EC0A7C">
      <w:pPr>
        <w:numPr>
          <w:ilvl w:val="0"/>
          <w:numId w:val="1"/>
        </w:numPr>
        <w:spacing w:line="540" w:lineRule="exact"/>
        <w:ind w:left="638" w:leftChars="304" w:firstLine="0" w:firstLineChars="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促进项目持续改进</w:t>
      </w:r>
    </w:p>
    <w:p w14:paraId="4FA303F5">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对象是2024年农村三年免费教育保障机制补助经费（伙食补助和公用经费）及其预算执行情况。该项目由办公室负责实施，旨在保障学校基本运转。项目预算涵盖从2025年1月1日至2025年12月25日的全部资金投入与支出，涉及资金总额为36.78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w:t>
      </w:r>
    </w:p>
    <w:p w14:paraId="06CEB18A">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（4）社会、生态等影响：考察项目对社会、生态等方面的综合影响。</w:t>
      </w:r>
    </w:p>
    <w:p w14:paraId="3DECB44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066E841C">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2DD7EBEB">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14:paraId="0C409B4F">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w:t>
      </w:r>
    </w:p>
    <w:p w14:paraId="27C19E85">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规范的程序，对项目绩效进行客观、公正的反映。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w:t>
      </w:r>
    </w:p>
    <w:p w14:paraId="1BF4935C">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各有侧重，相互衔接。单位自评应由项目单位自主实施，即“谁</w:t>
      </w:r>
    </w:p>
    <w:p w14:paraId="27F0EEBF">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支出、谁自评”。部门评价和财政评价应在单位自评的基础上开</w:t>
      </w:r>
    </w:p>
    <w:p w14:paraId="2C28E41E">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w:t>
      </w:r>
    </w:p>
    <w:p w14:paraId="1EC96B1F">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进管理实质性挂钩，体现奖优罚劣和激励相容导向，有效要安排、</w:t>
      </w:r>
    </w:p>
    <w:p w14:paraId="2CD56DEB">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w:t>
      </w:r>
    </w:p>
    <w:p w14:paraId="1A937D59">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绩效评价框架是开展绩效评价的核心。绩效评价框架包括评价</w:t>
      </w:r>
    </w:p>
    <w:p w14:paraId="097F6EE4">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准则、关键评价问题、评价指标、数据来源、数据收集方法等。</w:t>
      </w:r>
    </w:p>
    <w:p w14:paraId="6D5DD265">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指标体系建立过程如下：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（1）确定评价指标</w:t>
      </w:r>
    </w:p>
    <w:p w14:paraId="44819A67">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采用层次分析法，建立评价指标体系。绩效评价将指标分为项目</w:t>
      </w:r>
    </w:p>
    <w:p w14:paraId="27F855C7">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决策指标、项目过程指标、项目产出指标、项目效益指标四个维</w:t>
      </w:r>
    </w:p>
    <w:p w14:paraId="76AF01D8">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度，最终形成一个由多个相互联系的指标组成的多层次指标体系。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（2）确定权重</w:t>
      </w:r>
    </w:p>
    <w:p w14:paraId="27B06791">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确定各个指标相对于项目总体绩效的权重分值。在绩效评价指标</w:t>
      </w:r>
    </w:p>
    <w:p w14:paraId="7785C9D1">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体系中，项目决策权重为20分，项目过程权重为20分，项目产</w:t>
      </w:r>
    </w:p>
    <w:p w14:paraId="70275F1C">
      <w:pPr>
        <w:spacing w:line="540" w:lineRule="exact"/>
        <w:ind w:left="320"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出权重为40分，项目效益权重为20分。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（3）确定指标标准值</w:t>
      </w:r>
    </w:p>
    <w:p w14:paraId="326B54C5">
      <w:pPr>
        <w:spacing w:line="540" w:lineRule="exact"/>
        <w:ind w:left="313" w:leftChars="149"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指标标准值是绩效评价指标的尺度，既要反映同类项目的先</w:t>
      </w:r>
    </w:p>
    <w:p w14:paraId="0A95EAFD">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进水平，又要符合项目的实际绩效水平。具体采用计划标准等确定此次绩效评价指标标准值。</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具体评价指标体系详情见附件1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 xml:space="preserve">（一）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绩效评价标准通常包括计划标准、行业标准、历史标准等，用于对绩效指标完成情况进行比较、分析、评价。本次评价主要采用了4个标准。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（1）计划标准。指以预先制定的目标、计划、预算、定额等作为评价标准。</w:t>
      </w:r>
    </w:p>
    <w:p w14:paraId="44716BD8">
      <w:pPr>
        <w:spacing w:line="540" w:lineRule="exact"/>
        <w:ind w:firstLine="312" w:firstLineChars="1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（2）行业标准。指参照国家公布的行业指标数据制定的评价标准。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（4）财政部门和预算部门确认或认可的其他标准。</w:t>
      </w:r>
    </w:p>
    <w:p w14:paraId="14563580">
      <w:pPr>
        <w:spacing w:line="540" w:lineRule="exact"/>
        <w:ind w:firstLine="313" w:firstLineChars="100"/>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48329FE7">
      <w:pPr>
        <w:spacing w:line="540" w:lineRule="exact"/>
        <w:ind w:left="631" w:leftChars="152" w:hanging="312" w:hanging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w:t>
      </w:r>
    </w:p>
    <w:p w14:paraId="6D4F0C31">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在项目绩效评价工作启动之初，成立了专门的评价工作小组，小组成员由裕民县第三幼儿园园长李爱君任评价组组长，党支</w:t>
      </w:r>
    </w:p>
    <w:p w14:paraId="73E7130F">
      <w:pPr>
        <w:spacing w:line="540" w:lineRule="exact"/>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部书记董艳敏任评价组副组长，办公室主任付国秀，会计王欣月，出纳魏燕春任评价组成员，确保从多角度、全方位对项目绩效进行评价。同时，明确了评价工作的目标、范围、重点及时间安排，制定了详细的工作计划，为评价工作的顺利开展奠定了坚实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（2）指标体系构建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（3）数据收集与整理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（4）数据分析与评估</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（5）报告撰写与反馈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（6）后续跟踪与改进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8F7561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22F35C1E">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14:paraId="0FE309C8">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2024年农村三年免费教育保障机制补助经费（伙食补助和公用经费）项目的实施，解决了覆盖我辖区233名幼儿孩子们最关心、最直接、最现实的基础教育问题。通过认真贯彻落实党和政府的教育方针、政策，严格执行项目资金用途，实现了教育的均衡发展，完成教育教学活动和其他日常工作任务，达到了项目预设的效益，该项目预算执行率达100%，项目预期绩效目标及各项具体指标均已全部达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良/中/差）”。其中，项目决策类指标权重为20分，得分为 20分，得分率为 100%。项目过程类指标权重为20分，得分为20分，得分率为100%。项目产出类指标权重为40分，得分为40分，得分率为100%。项目效益类指标权重为20分，得分为20分，得分率为100%。具体打分情况详见：附件1综合评分表。</w:t>
      </w:r>
    </w:p>
    <w:p w14:paraId="2AB49DA7">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42F7AEB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4223FDBF">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立项符合国家相关法律法规，依据2024年学前教育统计幼儿人数经费保障标准，项目立项依据上级和本级财政承担裕财字[2024]1号文件、塔地财教[2023]112号文件要求，符合行业规划要求，围绕本年度工作重点和工作计划制定经费预算，属于公共财政支持范围。本项目与部门内部其他相关项目不重复。部门发展规划及职能文件等归档完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p>
    <w:p w14:paraId="68BA5E40">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p>
    <w:p w14:paraId="7E02E941">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绩效目标合理性</w:t>
      </w:r>
    </w:p>
    <w:p w14:paraId="639BB3DA">
      <w:pPr>
        <w:numPr>
          <w:ilvl w:val="0"/>
          <w:numId w:val="0"/>
        </w:numPr>
        <w:tabs>
          <w:tab w:val="center" w:pos="4295"/>
        </w:tabs>
        <w:spacing w:line="540" w:lineRule="exact"/>
        <w:ind w:firstLine="624" w:firstLineChars="2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14:paraId="62631FEC">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553F10B8">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本项目总投资36.78万元，财政资金及时足额到位，到位率100%，预算资金按计划进度执行。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预算编制较为详细，项目资金支出总体能够按照预算执行，预算资金支出36.78万元，预算执行率为100%。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使用严格遵循了裕财字[2024]1号文件、塔地财教[2023]112号文件要求与财务制度，确保了资金的合规性与安全性。在资金使用过程中，我们建立了完善的财务管理体系，对资金的流动进行了全程监控与记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63AF6EE">
      <w:pPr>
        <w:numPr>
          <w:ilvl w:val="0"/>
          <w:numId w:val="2"/>
        </w:numPr>
        <w:spacing w:line="540" w:lineRule="exact"/>
        <w:ind w:left="319" w:leftChars="152"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p>
    <w:p w14:paraId="23D8E323">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在制度设计上，我们注重了制度的科学性与可操作性，确保制度能够切实指导项目的执行与管理。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438F4191">
      <w:pPr>
        <w:numPr>
          <w:ilvl w:val="0"/>
          <w:numId w:val="0"/>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14:paraId="1DD903D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1F6A8BC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项目产出类指标包括产出数量、产出质量、产出时效、产出成本四方面的内容，由6个三级指标构成，权重分为40分，实际得分40分，得分率为100%。具体产出指标完成情况如下：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指标1：享受幼儿伙食补助学生人数(人)，指标值：=233人，实际完成值：233人 ，指标完成率100%；购置办公用品数量，指标值：&gt;=1批次，实际完成值：&gt;=1批次，指标完成率100%；享受供暖人数指标值：&gt;=233人，实际完成值：&gt;=233人 ，指标完成率100%。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②质量指标：办公用品采购合格率指标值：=100%，实际完成值：100% ，指标完成率100%。资金使用合规率指标值：=100%，实际完成值：100% ，指标完成率100%。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③时效指标：项目完成时间指标值：2024年1月25日，实际完成值：2024年1月25日，指标完成率100%。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幼儿公用经费补助标准指标值：&lt;=1100元/人，实际完成值：&lt;=1100元/人，指标完成率100%；学前保障取暖补助标准指标值：&lt;=120元/人，实际完成值：&lt;=120元/人，指标完成率100%。幼儿伙食补助标准指标值：&lt;=1450元/人，实际完成值：&lt;=1450元/人，指标完成率100%。</w:t>
      </w:r>
    </w:p>
    <w:p w14:paraId="59EBF73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7468442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项目效益类指标由社会效益1个二级指标和1个三级指标构成，权重分为20分，本项目实际得分20分，得分率为100%。具体各项指标得分如下：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1.实施效益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“保障学前教育教学工作正常开展”指标，预期指标值为“有效保障”。根据本单位年度考核情况，实际完成值为“达成年度指标”根据评分标准，该指标20分，得20分。</w:t>
      </w:r>
    </w:p>
    <w:p w14:paraId="20A2AF2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1C0E1C8E">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2024年教育保障补助经费（公用经费）项目年初预算34.98万元，全年预算36.78万元，实际支出36.78万元，预算执行率为100%，项目绩效指标总体完成率为100%，总体偏差率为0%。</w:t>
      </w:r>
    </w:p>
    <w:p w14:paraId="248597C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六、主要经验及做法、存在的问题及原因分析</w:t>
      </w:r>
    </w:p>
    <w:p w14:paraId="1BFD3D25">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1073DA29">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rPr>
          <w:rStyle w:val="19"/>
          <w:rFonts w:hint="eastAsia" w:ascii="楷体" w:hAnsi="楷体" w:eastAsia="楷体"/>
          <w:b w:val="0"/>
          <w:bCs w:val="0"/>
          <w:spacing w:val="-4"/>
          <w:sz w:val="32"/>
          <w:szCs w:val="32"/>
          <w:lang w:val="en-US" w:eastAsia="zh-CN"/>
        </w:rPr>
        <w:t xml:space="preserve">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2.因轮岗、调动等因素使我单位绩效工作人员流动频繁，造成工作衔接不到位的情况。</w:t>
      </w:r>
    </w:p>
    <w:p w14:paraId="3DF2A27F">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2EF67C70">
      <w:pPr>
        <w:spacing w:line="540" w:lineRule="exact"/>
        <w:ind w:firstLine="567"/>
        <w:rPr>
          <w:rStyle w:val="19"/>
          <w:rFonts w:hint="eastAsia"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Style w:val="19"/>
          <w:rFonts w:hint="eastAsia" w:ascii="楷体" w:hAnsi="楷体" w:eastAsia="楷体"/>
          <w:b w:val="0"/>
          <w:bCs w:val="0"/>
          <w:spacing w:val="-4"/>
          <w:sz w:val="32"/>
          <w:szCs w:val="32"/>
          <w:lang w:val="en-US" w:eastAsia="zh-CN"/>
        </w:rPr>
        <w:t xml:space="preserve"> </w:t>
      </w:r>
    </w:p>
    <w:p w14:paraId="31D829B2">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04A4FD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1B651EC1">
      <w:pPr>
        <w:spacing w:line="540" w:lineRule="exact"/>
        <w:ind w:firstLine="567"/>
        <w:rPr>
          <w:rStyle w:val="19"/>
          <w:rFonts w:hint="eastAsia" w:ascii="仿宋" w:hAnsi="仿宋" w:eastAsia="楷体"/>
          <w:b w:val="0"/>
          <w:spacing w:val="-4"/>
          <w:sz w:val="32"/>
          <w:szCs w:val="32"/>
          <w:lang w:eastAsia="zh-CN"/>
        </w:rPr>
      </w:pPr>
      <w:r>
        <w:rPr>
          <w:rStyle w:val="19"/>
          <w:rFonts w:hint="eastAsia" w:ascii="楷体" w:hAnsi="楷体" w:eastAsia="楷体"/>
          <w:b w:val="0"/>
          <w:bCs w:val="0"/>
          <w:spacing w:val="-4"/>
          <w:sz w:val="32"/>
          <w:szCs w:val="32"/>
        </w:rPr>
        <w:t>本项目无其他需说明的问题</w:t>
      </w:r>
      <w:r>
        <w:rPr>
          <w:rStyle w:val="19"/>
          <w:rFonts w:hint="eastAsia" w:ascii="楷体" w:hAnsi="楷体" w:eastAsia="楷体"/>
          <w:b w:val="0"/>
          <w:bCs w:val="0"/>
          <w:spacing w:val="-4"/>
          <w:sz w:val="32"/>
          <w:szCs w:val="32"/>
          <w:lang w:eastAsia="zh-CN"/>
        </w:rPr>
        <w:t>。</w:t>
      </w:r>
    </w:p>
    <w:p w14:paraId="58264F70">
      <w:pPr>
        <w:spacing w:line="540" w:lineRule="exact"/>
        <w:ind w:firstLine="567"/>
        <w:rPr>
          <w:rStyle w:val="19"/>
          <w:rFonts w:ascii="仿宋" w:hAnsi="仿宋" w:eastAsia="仿宋"/>
          <w:b w:val="0"/>
          <w:spacing w:val="-4"/>
          <w:sz w:val="32"/>
          <w:szCs w:val="32"/>
        </w:rPr>
      </w:pPr>
    </w:p>
    <w:p w14:paraId="7774DBDF">
      <w:pPr>
        <w:spacing w:line="540" w:lineRule="exact"/>
        <w:ind w:firstLine="567"/>
        <w:rPr>
          <w:rStyle w:val="19"/>
          <w:rFonts w:ascii="仿宋" w:hAnsi="仿宋" w:eastAsia="仿宋"/>
          <w:b w:val="0"/>
          <w:spacing w:val="-4"/>
          <w:sz w:val="32"/>
          <w:szCs w:val="32"/>
        </w:rPr>
      </w:pPr>
    </w:p>
    <w:p w14:paraId="1C1B2E37">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2CB2CE-7011-4DB7-8319-C10ABA0C6C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BF29DD8-5406-472E-9FEA-18EF3208E753}"/>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C1CB7235-7FE1-49C7-B2BB-104DC09EBA33}"/>
  </w:font>
  <w:font w:name="华文中宋">
    <w:panose1 w:val="02010600040101010101"/>
    <w:charset w:val="86"/>
    <w:family w:val="auto"/>
    <w:pitch w:val="default"/>
    <w:sig w:usb0="00000287" w:usb1="080F0000" w:usb2="00000000" w:usb3="00000000" w:csb0="0004009F" w:csb1="DFD70000"/>
    <w:embedRegular r:id="rId4" w:fontKey="{8CF82F34-2D4E-46A5-817D-4053399024A9}"/>
  </w:font>
  <w:font w:name="方正小标宋_GBK">
    <w:panose1 w:val="02000000000000000000"/>
    <w:charset w:val="86"/>
    <w:family w:val="script"/>
    <w:pitch w:val="default"/>
    <w:sig w:usb0="A00002BF" w:usb1="38CF7CFA" w:usb2="00082016" w:usb3="00000000" w:csb0="00040001" w:csb1="00000000"/>
    <w:embedRegular r:id="rId5" w:fontKey="{01BE642C-6D98-4FF4-A1A6-B8B0DC039DC5}"/>
  </w:font>
  <w:font w:name="仿宋_GB2312">
    <w:altName w:val="仿宋"/>
    <w:panose1 w:val="02010609030101010101"/>
    <w:charset w:val="86"/>
    <w:family w:val="modern"/>
    <w:pitch w:val="default"/>
    <w:sig w:usb0="00000000" w:usb1="00000000" w:usb2="00000000" w:usb3="00000000" w:csb0="00040000" w:csb1="00000000"/>
    <w:embedRegular r:id="rId6" w:fontKey="{35DD6910-1356-44C3-B0EA-7528BD86FC97}"/>
  </w:font>
  <w:font w:name="楷体">
    <w:panose1 w:val="02010609060101010101"/>
    <w:charset w:val="86"/>
    <w:family w:val="modern"/>
    <w:pitch w:val="default"/>
    <w:sig w:usb0="800002BF" w:usb1="38CF7CFA" w:usb2="00000016" w:usb3="00000000" w:csb0="00040001" w:csb1="00000000"/>
    <w:embedRegular r:id="rId7" w:fontKey="{833003E9-74A2-4CCB-8903-BFA87543395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6DDD6E88">
        <w:pPr>
          <w:pStyle w:val="12"/>
          <w:jc w:val="center"/>
        </w:pPr>
        <w:r>
          <w:fldChar w:fldCharType="begin"/>
        </w:r>
        <w:r>
          <w:instrText xml:space="preserve">PAGE   \* MERGEFORMAT</w:instrText>
        </w:r>
        <w:r>
          <w:fldChar w:fldCharType="separate"/>
        </w:r>
        <w:r>
          <w:rPr>
            <w:lang w:val="zh-CN"/>
          </w:rPr>
          <w:t>1</w:t>
        </w:r>
        <w:r>
          <w:fldChar w:fldCharType="end"/>
        </w:r>
      </w:p>
    </w:sdtContent>
  </w:sdt>
  <w:p w14:paraId="6605DF5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decimal"/>
      <w:lvlText w:val="%1."/>
      <w:lvlJc w:val="left"/>
      <w:pPr>
        <w:tabs>
          <w:tab w:val="left" w:pos="312"/>
        </w:tabs>
      </w:pPr>
    </w:lvl>
  </w:abstractNum>
  <w:abstractNum w:abstractNumId="1">
    <w:nsid w:val="0053208E"/>
    <w:multiLevelType w:val="singleLevel"/>
    <w:tmpl w:val="0053208E"/>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1EE0956"/>
    <w:rsid w:val="6A9A421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eyJoZGlkIjoiNjEwYWU0YTNhNjM0NDUzZWRkOGYxNjFkODcwNjIzNzcifQ==</vt:lpwstr>
  </property>
</Properties>
</file>

<file path=customXml/itemProps1.xml><?xml version="1.0" encoding="utf-8"?>
<ds:datastoreItem xmlns:ds="http://schemas.openxmlformats.org/officeDocument/2006/customXml" ds:itemID="{d1c28470-fa1f-466e-8194-2e446637fefe}">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8130</Words>
  <Characters>8393</Characters>
  <Lines>5</Lines>
  <Paragraphs>1</Paragraphs>
  <TotalTime>157</TotalTime>
  <ScaleCrop>false</ScaleCrop>
  <LinksUpToDate>false</LinksUpToDate>
  <CharactersWithSpaces>8693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周丽君</cp:lastModifiedBy>
  <cp:lastPrinted>2018-12-31T10:56:00Z</cp:lastPrinted>
  <dcterms:modified xsi:type="dcterms:W3CDTF">2025-11-07T04:50:54Z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eyJoZGlkIjoiMjEwMjVmNmU3OTQwZDBjNjI0ZTM3MTBmNDI0OGIzYzIiLCJ1c2VySWQiOiIyMDM3MTI1NTkifQ==</vt:lpwstr>
  </property>
</Properties>
</file>