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裕民县科学技术协会2024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4577ABE">
      <w:r>
        <w:br w:type="page"/>
      </w:r>
    </w:p>
    <w:p w14:paraId="17E1D3CB">
      <w:pPr>
        <w:spacing w:line="640" w:lineRule="exact"/>
        <w:jc w:val="center"/>
        <w:outlineLvl w:val="1"/>
      </w:pPr>
      <w:r>
        <w:rPr>
          <w:rFonts w:ascii="黑体" w:hAnsi="黑体" w:eastAsia="黑体"/>
          <w:sz w:val="32"/>
        </w:rPr>
        <w:t>第一部分 单位概况</w:t>
      </w:r>
    </w:p>
    <w:p w14:paraId="51F2CD69">
      <w:pPr>
        <w:spacing w:line="640" w:lineRule="exact"/>
        <w:ind w:firstLine="640"/>
        <w:jc w:val="both"/>
        <w:outlineLvl w:val="2"/>
      </w:pPr>
      <w:r>
        <w:rPr>
          <w:rFonts w:ascii="黑体" w:hAnsi="黑体" w:eastAsia="黑体"/>
          <w:sz w:val="32"/>
        </w:rPr>
        <w:t>一、主要职能</w:t>
      </w:r>
    </w:p>
    <w:p w14:paraId="6E4FDE13">
      <w:pPr>
        <w:spacing w:line="580" w:lineRule="exact"/>
        <w:ind w:firstLine="640"/>
        <w:jc w:val="both"/>
      </w:pPr>
      <w:r>
        <w:rPr>
          <w:rFonts w:ascii="仿宋_GB2312" w:hAnsi="仿宋_GB2312" w:eastAsia="仿宋_GB2312"/>
          <w:sz w:val="32"/>
        </w:rPr>
        <w:t>（1）普及科学知识，传播科学思想和方法，推广先进技术，开展青少年科学技术教育活动，提高全县人民科学文化素质。</w:t>
      </w:r>
    </w:p>
    <w:p w14:paraId="69079B1C">
      <w:pPr>
        <w:spacing w:line="580" w:lineRule="exact"/>
        <w:ind w:firstLine="640"/>
        <w:jc w:val="both"/>
      </w:pPr>
      <w:r>
        <w:rPr>
          <w:rFonts w:ascii="仿宋_GB2312" w:hAnsi="仿宋_GB2312" w:eastAsia="仿宋_GB2312"/>
          <w:sz w:val="32"/>
        </w:rPr>
        <w:t>（2）加强科普组织网络建设，指导基层各协会工作，壮大全县各类学会、农技协会队伍，对各类产业基地和专业示范户典型引导和管理。</w:t>
      </w:r>
    </w:p>
    <w:p w14:paraId="5C4633E6">
      <w:pPr>
        <w:spacing w:line="580" w:lineRule="exact"/>
        <w:ind w:firstLine="640"/>
        <w:jc w:val="both"/>
      </w:pPr>
      <w:r>
        <w:rPr>
          <w:rFonts w:ascii="仿宋_GB2312" w:hAnsi="仿宋_GB2312" w:eastAsia="仿宋_GB2312"/>
          <w:sz w:val="32"/>
        </w:rPr>
        <w:t>（3）发挥科普主力军作用，开展科学生活常识、科技生产技术教育和培训工作，办好各类科普宣传活动，举办各类实用技术讲座和培训班，向农牧民传递短平快科技致富信息。</w:t>
      </w:r>
    </w:p>
    <w:p w14:paraId="2C98C0A4">
      <w:pPr>
        <w:spacing w:line="580" w:lineRule="exact"/>
        <w:ind w:firstLine="640"/>
        <w:jc w:val="both"/>
      </w:pPr>
      <w:r>
        <w:rPr>
          <w:rFonts w:ascii="仿宋_GB2312" w:hAnsi="仿宋_GB2312" w:eastAsia="仿宋_GB2312"/>
          <w:sz w:val="32"/>
        </w:rPr>
        <w:t>（4）表彰奖励优秀科技工作者，为部门举荐人才，向国家、自治区、地区申报“科普惠农兴村计划”项目。</w:t>
      </w:r>
    </w:p>
    <w:p w14:paraId="4100E5CA">
      <w:pPr>
        <w:spacing w:line="580" w:lineRule="exact"/>
        <w:ind w:firstLine="640"/>
        <w:jc w:val="both"/>
      </w:pPr>
      <w:r>
        <w:rPr>
          <w:rFonts w:ascii="仿宋_GB2312" w:hAnsi="仿宋_GB2312" w:eastAsia="仿宋_GB2312"/>
          <w:sz w:val="32"/>
        </w:rPr>
        <w:t>（5）发挥科协独特优势，积极同县外各科学技术团体和科技工作者友好交往、开展学术交流、技术引进和科技成果转化。</w:t>
      </w:r>
    </w:p>
    <w:p w14:paraId="0B7B0A63">
      <w:pPr>
        <w:spacing w:line="580" w:lineRule="exact"/>
        <w:ind w:firstLine="640"/>
        <w:jc w:val="both"/>
      </w:pPr>
      <w:r>
        <w:rPr>
          <w:rFonts w:ascii="仿宋_GB2312" w:hAnsi="仿宋_GB2312" w:eastAsia="仿宋_GB2312"/>
          <w:sz w:val="32"/>
        </w:rPr>
        <w:t>（6）为科技工作者搞好服务，反映他们的意见和建议，维护其合法权益，使科协成为科技工作者之家。</w:t>
      </w:r>
    </w:p>
    <w:p w14:paraId="68815BB5">
      <w:pPr>
        <w:spacing w:line="580" w:lineRule="exact"/>
        <w:ind w:firstLine="640"/>
        <w:jc w:val="both"/>
      </w:pPr>
      <w:r>
        <w:rPr>
          <w:rFonts w:ascii="仿宋_GB2312" w:hAnsi="仿宋_GB2312" w:eastAsia="仿宋_GB2312"/>
          <w:sz w:val="32"/>
        </w:rPr>
        <w:t>（7）举办符合科协宗旨的社会公益性事业；承办县委和上级业务部门交办的工作。</w:t>
      </w:r>
    </w:p>
    <w:p w14:paraId="5A76A95E">
      <w:pPr>
        <w:spacing w:line="640" w:lineRule="exact"/>
        <w:ind w:firstLine="640"/>
        <w:jc w:val="both"/>
        <w:outlineLvl w:val="2"/>
      </w:pPr>
      <w:r>
        <w:rPr>
          <w:rFonts w:ascii="黑体" w:hAnsi="黑体" w:eastAsia="黑体"/>
          <w:sz w:val="32"/>
        </w:rPr>
        <w:t>二、机构设置及人员情况</w:t>
      </w:r>
    </w:p>
    <w:p w14:paraId="103BF1E2">
      <w:pPr>
        <w:spacing w:line="580" w:lineRule="exact"/>
        <w:ind w:firstLine="640"/>
        <w:jc w:val="both"/>
      </w:pPr>
      <w:r>
        <w:rPr>
          <w:rFonts w:ascii="仿宋_GB2312" w:hAnsi="仿宋_GB2312" w:eastAsia="仿宋_GB2312"/>
          <w:sz w:val="32"/>
        </w:rPr>
        <w:t>裕民县科学技术协会2024年度，实有人数8人，其中：在职人员5人，增加0人；离休人员0人，增加0人；退休人员3人,增加0人。</w:t>
      </w:r>
    </w:p>
    <w:p w14:paraId="44E1210F">
      <w:pPr>
        <w:spacing w:line="580" w:lineRule="exact"/>
        <w:ind w:firstLine="640"/>
        <w:jc w:val="both"/>
      </w:pPr>
      <w:r>
        <w:rPr>
          <w:rFonts w:ascii="仿宋_GB2312" w:hAnsi="仿宋_GB2312" w:eastAsia="仿宋_GB2312"/>
          <w:sz w:val="32"/>
        </w:rPr>
        <w:t>裕民县科学技术协会无下属预算单位，下设1个科室，分别是：业务室。</w:t>
      </w:r>
    </w:p>
    <w:p w14:paraId="5D60C7D2">
      <w:r>
        <w:br w:type="page"/>
      </w:r>
    </w:p>
    <w:p w14:paraId="4369800E">
      <w:pPr>
        <w:spacing w:line="240" w:lineRule="auto"/>
        <w:jc w:val="center"/>
        <w:outlineLvl w:val="1"/>
      </w:pPr>
      <w:r>
        <w:rPr>
          <w:rFonts w:ascii="黑体" w:hAnsi="黑体" w:eastAsia="黑体"/>
          <w:sz w:val="32"/>
        </w:rPr>
        <w:t>第二部分 部门决算情况说明</w:t>
      </w:r>
    </w:p>
    <w:p w14:paraId="560ECAFA">
      <w:pPr>
        <w:spacing w:line="640" w:lineRule="exact"/>
        <w:ind w:firstLine="640"/>
        <w:jc w:val="both"/>
        <w:outlineLvl w:val="2"/>
      </w:pPr>
      <w:r>
        <w:rPr>
          <w:rFonts w:ascii="黑体" w:hAnsi="黑体" w:eastAsia="黑体"/>
          <w:sz w:val="32"/>
        </w:rPr>
        <w:t>一、收入支出决算总体情况说明</w:t>
      </w:r>
    </w:p>
    <w:p w14:paraId="609B417E">
      <w:pPr>
        <w:spacing w:line="580" w:lineRule="exact"/>
        <w:ind w:firstLine="640"/>
        <w:jc w:val="both"/>
      </w:pPr>
      <w:r>
        <w:rPr>
          <w:rFonts w:ascii="仿宋_GB2312" w:hAnsi="仿宋_GB2312" w:eastAsia="仿宋_GB2312"/>
          <w:b/>
          <w:sz w:val="32"/>
        </w:rPr>
        <w:t>2024年度收入总计95.77万元，</w:t>
      </w:r>
      <w:r>
        <w:rPr>
          <w:rFonts w:ascii="仿宋_GB2312" w:hAnsi="仿宋_GB2312" w:eastAsia="仿宋_GB2312"/>
          <w:b w:val="0"/>
          <w:sz w:val="32"/>
        </w:rPr>
        <w:t>其中：本年收入合计95.27万元，使用非财政拨款结余（含专用结余）0.00万元，年初结转和结余0.50万元。</w:t>
      </w:r>
    </w:p>
    <w:p w14:paraId="73F82BEE">
      <w:pPr>
        <w:spacing w:line="580" w:lineRule="exact"/>
        <w:ind w:firstLine="640"/>
        <w:jc w:val="both"/>
      </w:pPr>
      <w:r>
        <w:rPr>
          <w:rFonts w:ascii="仿宋_GB2312" w:hAnsi="仿宋_GB2312" w:eastAsia="仿宋_GB2312"/>
          <w:b/>
          <w:sz w:val="32"/>
        </w:rPr>
        <w:t>2024年度支出总计95.77万元，</w:t>
      </w:r>
      <w:r>
        <w:rPr>
          <w:rFonts w:ascii="仿宋_GB2312" w:hAnsi="仿宋_GB2312" w:eastAsia="仿宋_GB2312"/>
          <w:b w:val="0"/>
          <w:sz w:val="32"/>
        </w:rPr>
        <w:t>其中：本年支出合计95.77万元，结余分配0.00万元，年末结转和结余0.00万元。</w:t>
      </w:r>
    </w:p>
    <w:p w14:paraId="263391BF">
      <w:pPr>
        <w:spacing w:line="580" w:lineRule="exact"/>
        <w:ind w:firstLine="640"/>
        <w:jc w:val="both"/>
      </w:pPr>
      <w:r>
        <w:rPr>
          <w:rFonts w:ascii="仿宋_GB2312" w:hAnsi="仿宋_GB2312" w:eastAsia="仿宋_GB2312"/>
          <w:b w:val="0"/>
          <w:sz w:val="32"/>
        </w:rPr>
        <w:t>收入支出总体与上年相比，增加2.01万元，增长2.14%，主要原因是：本年</w:t>
      </w:r>
      <w:r>
        <w:rPr>
          <w:rFonts w:hint="eastAsia" w:ascii="仿宋_GB2312" w:hAnsi="仿宋_GB2312" w:eastAsia="仿宋_GB2312"/>
          <w:b w:val="0"/>
          <w:sz w:val="32"/>
          <w:lang w:val="en-US" w:eastAsia="zh-CN"/>
        </w:rPr>
        <w:t>增加</w:t>
      </w:r>
      <w:r>
        <w:rPr>
          <w:rFonts w:hint="eastAsia" w:ascii="仿宋_GB2312" w:hAnsi="仿宋_GB2312" w:eastAsia="仿宋_GB2312"/>
          <w:b w:val="0"/>
          <w:sz w:val="32"/>
        </w:rPr>
        <w:t>2024年中国流动科技馆新疆塔城地区裕民站巡展活动资金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导致经费较上年增加</w:t>
      </w:r>
      <w:r>
        <w:rPr>
          <w:rFonts w:ascii="仿宋_GB2312" w:hAnsi="仿宋_GB2312" w:eastAsia="仿宋_GB2312"/>
          <w:b w:val="0"/>
          <w:sz w:val="32"/>
        </w:rPr>
        <w:t>。</w:t>
      </w:r>
    </w:p>
    <w:p w14:paraId="3294152A">
      <w:pPr>
        <w:spacing w:line="640" w:lineRule="exact"/>
        <w:ind w:firstLine="640"/>
        <w:jc w:val="both"/>
        <w:outlineLvl w:val="2"/>
      </w:pPr>
      <w:r>
        <w:rPr>
          <w:rFonts w:ascii="黑体" w:hAnsi="黑体" w:eastAsia="黑体"/>
          <w:sz w:val="32"/>
        </w:rPr>
        <w:t>二、收入决算情况说明</w:t>
      </w:r>
    </w:p>
    <w:p w14:paraId="698CBC55">
      <w:pPr>
        <w:spacing w:line="580" w:lineRule="exact"/>
        <w:ind w:firstLine="640"/>
        <w:jc w:val="both"/>
      </w:pPr>
      <w:r>
        <w:rPr>
          <w:rFonts w:ascii="仿宋_GB2312" w:hAnsi="仿宋_GB2312" w:eastAsia="仿宋_GB2312"/>
          <w:b/>
          <w:sz w:val="32"/>
        </w:rPr>
        <w:t>本年收入95.27万元，</w:t>
      </w:r>
      <w:r>
        <w:rPr>
          <w:rFonts w:ascii="仿宋_GB2312" w:hAnsi="仿宋_GB2312" w:eastAsia="仿宋_GB2312"/>
          <w:b w:val="0"/>
          <w:sz w:val="32"/>
        </w:rPr>
        <w:t>其中：财政拨款收入90.27万元，占94.75%；上级补助收入0.00万元，占0.00%；事业收入0.00万元，占0.00%；经营收入0.00万元，占0.00%；附属单位上缴收入0.00万元，占0.00%；其他收入5.00万元，占5.25%。</w:t>
      </w:r>
    </w:p>
    <w:p w14:paraId="3675024B">
      <w:pPr>
        <w:spacing w:line="640" w:lineRule="exact"/>
        <w:ind w:firstLine="640"/>
        <w:jc w:val="both"/>
        <w:outlineLvl w:val="2"/>
      </w:pPr>
      <w:r>
        <w:rPr>
          <w:rFonts w:ascii="黑体" w:hAnsi="黑体" w:eastAsia="黑体"/>
          <w:sz w:val="32"/>
        </w:rPr>
        <w:t>三、支出决算情况说明</w:t>
      </w:r>
    </w:p>
    <w:p w14:paraId="6B4594EF">
      <w:pPr>
        <w:spacing w:line="580" w:lineRule="exact"/>
        <w:ind w:firstLine="640"/>
        <w:jc w:val="both"/>
      </w:pPr>
      <w:r>
        <w:rPr>
          <w:rFonts w:ascii="仿宋_GB2312" w:hAnsi="仿宋_GB2312" w:eastAsia="仿宋_GB2312"/>
          <w:b/>
          <w:sz w:val="32"/>
        </w:rPr>
        <w:t>本年支出95.77万元，</w:t>
      </w:r>
      <w:r>
        <w:rPr>
          <w:rFonts w:ascii="仿宋_GB2312" w:hAnsi="仿宋_GB2312" w:eastAsia="仿宋_GB2312"/>
          <w:b w:val="0"/>
          <w:sz w:val="32"/>
        </w:rPr>
        <w:t>其中：基本支出90.77万元，占94.78%；项目支出5.00万元，占5.22%；上缴上级支出0.00万元，占0.00%；经营支出0.00万元，占0.00%；对附属单位补助支出0.00万元，占0.00%。</w:t>
      </w:r>
    </w:p>
    <w:p w14:paraId="26F87571">
      <w:pPr>
        <w:spacing w:line="640" w:lineRule="exact"/>
        <w:ind w:firstLine="640"/>
        <w:jc w:val="both"/>
        <w:outlineLvl w:val="2"/>
      </w:pPr>
      <w:r>
        <w:rPr>
          <w:rFonts w:ascii="黑体" w:hAnsi="黑体" w:eastAsia="黑体"/>
          <w:sz w:val="32"/>
        </w:rPr>
        <w:t>四、财政拨款收入支出决算总体情况说明</w:t>
      </w:r>
    </w:p>
    <w:p w14:paraId="1C34BC71">
      <w:pPr>
        <w:spacing w:line="580" w:lineRule="exact"/>
        <w:ind w:firstLine="640"/>
        <w:jc w:val="both"/>
      </w:pPr>
      <w:r>
        <w:rPr>
          <w:rFonts w:ascii="仿宋_GB2312" w:hAnsi="仿宋_GB2312" w:eastAsia="仿宋_GB2312"/>
          <w:b/>
          <w:sz w:val="32"/>
        </w:rPr>
        <w:t>2024年度财政拨款收入总计90.27万元，</w:t>
      </w:r>
      <w:r>
        <w:rPr>
          <w:rFonts w:ascii="仿宋_GB2312" w:hAnsi="仿宋_GB2312" w:eastAsia="仿宋_GB2312"/>
          <w:b w:val="0"/>
          <w:sz w:val="32"/>
        </w:rPr>
        <w:t>其中：年初财政拨款结转和结余0.00万元，本年财政拨款收入90.27万元。</w:t>
      </w:r>
      <w:r>
        <w:rPr>
          <w:rFonts w:ascii="仿宋_GB2312" w:hAnsi="仿宋_GB2312" w:eastAsia="仿宋_GB2312"/>
          <w:b/>
          <w:sz w:val="32"/>
        </w:rPr>
        <w:t>财政拨款支出总计90.27万元，</w:t>
      </w:r>
      <w:r>
        <w:rPr>
          <w:rFonts w:ascii="仿宋_GB2312" w:hAnsi="仿宋_GB2312" w:eastAsia="仿宋_GB2312"/>
          <w:b w:val="0"/>
          <w:sz w:val="32"/>
        </w:rPr>
        <w:t>其中：年末财政拨款结转和结余0.00万元，本年财政拨款支出90.27万元。</w:t>
      </w:r>
    </w:p>
    <w:p w14:paraId="4FA86CC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减少1.19万元，下降1.30%，主要原因是：本年</w:t>
      </w:r>
      <w:r>
        <w:rPr>
          <w:rFonts w:hint="eastAsia" w:ascii="仿宋_GB2312" w:hAnsi="仿宋_GB2312" w:eastAsia="仿宋_GB2312"/>
          <w:b w:val="0"/>
          <w:sz w:val="32"/>
          <w:lang w:val="en-US" w:eastAsia="zh-CN"/>
        </w:rPr>
        <w:t>无新增</w:t>
      </w:r>
      <w:r>
        <w:rPr>
          <w:rFonts w:ascii="仿宋_GB2312" w:hAnsi="仿宋_GB2312" w:eastAsia="仿宋_GB2312"/>
          <w:b w:val="0"/>
          <w:sz w:val="32"/>
        </w:rPr>
        <w:t>退休人员，职业年金缴费较上年减少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年初预算数93.73万元，决算数90.27万元，预决算差异率-3.69%，主要原因是：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严控经费支出，厉行节约，减少</w:t>
      </w:r>
      <w:r>
        <w:rPr>
          <w:rFonts w:hint="eastAsia" w:ascii="仿宋_GB2312" w:hAnsi="仿宋_GB2312" w:eastAsia="仿宋_GB2312"/>
          <w:b w:val="0"/>
          <w:sz w:val="32"/>
          <w:lang w:val="en-US" w:eastAsia="zh-CN"/>
        </w:rPr>
        <w:t>不必要</w:t>
      </w:r>
      <w:r>
        <w:rPr>
          <w:rFonts w:ascii="仿宋_GB2312" w:hAnsi="仿宋_GB2312" w:eastAsia="仿宋_GB2312"/>
          <w:b w:val="0"/>
          <w:sz w:val="32"/>
        </w:rPr>
        <w:t>经费支出。</w:t>
      </w:r>
    </w:p>
    <w:p w14:paraId="50CADAAC">
      <w:pPr>
        <w:spacing w:line="640" w:lineRule="exact"/>
        <w:ind w:firstLine="640"/>
        <w:jc w:val="both"/>
        <w:outlineLvl w:val="2"/>
      </w:pPr>
      <w:r>
        <w:rPr>
          <w:rFonts w:ascii="黑体" w:hAnsi="黑体" w:eastAsia="黑体"/>
          <w:sz w:val="32"/>
        </w:rPr>
        <w:t>五、一般公共预算财政拨款支出决算情况说明</w:t>
      </w:r>
    </w:p>
    <w:p w14:paraId="5CA2A302">
      <w:pPr>
        <w:spacing w:line="640" w:lineRule="exact"/>
        <w:ind w:firstLine="640"/>
        <w:jc w:val="both"/>
        <w:outlineLvl w:val="3"/>
      </w:pPr>
      <w:r>
        <w:rPr>
          <w:rFonts w:ascii="楷体_GB2312" w:hAnsi="楷体_GB2312" w:eastAsia="楷体_GB2312"/>
          <w:b/>
          <w:sz w:val="32"/>
        </w:rPr>
        <w:t>（一）一般公共预算财政拨款支出决算总体情况</w:t>
      </w:r>
    </w:p>
    <w:p w14:paraId="0EC856C7">
      <w:pPr>
        <w:spacing w:line="580" w:lineRule="exact"/>
        <w:ind w:firstLine="640"/>
        <w:jc w:val="both"/>
      </w:pPr>
      <w:r>
        <w:rPr>
          <w:rFonts w:ascii="仿宋_GB2312" w:hAnsi="仿宋_GB2312" w:eastAsia="仿宋_GB2312"/>
          <w:b/>
          <w:sz w:val="32"/>
        </w:rPr>
        <w:t>2024年度一般公共预算财政拨款支出90.27万元，</w:t>
      </w:r>
      <w:r>
        <w:rPr>
          <w:rFonts w:ascii="仿宋_GB2312" w:hAnsi="仿宋_GB2312" w:eastAsia="仿宋_GB2312"/>
          <w:b w:val="0"/>
          <w:sz w:val="32"/>
        </w:rPr>
        <w:t>占本年支出合计的94.26%。</w:t>
      </w:r>
      <w:r>
        <w:rPr>
          <w:rFonts w:ascii="仿宋_GB2312" w:hAnsi="仿宋_GB2312" w:eastAsia="仿宋_GB2312"/>
          <w:b/>
          <w:sz w:val="32"/>
        </w:rPr>
        <w:t>与上年相比，</w:t>
      </w:r>
      <w:r>
        <w:rPr>
          <w:rFonts w:ascii="仿宋_GB2312" w:hAnsi="仿宋_GB2312" w:eastAsia="仿宋_GB2312"/>
          <w:b w:val="0"/>
          <w:sz w:val="32"/>
        </w:rPr>
        <w:t>减少1.19万元，下降1.30%，主要原因是：本年</w:t>
      </w:r>
      <w:r>
        <w:rPr>
          <w:rFonts w:hint="eastAsia" w:ascii="仿宋_GB2312" w:hAnsi="仿宋_GB2312" w:eastAsia="仿宋_GB2312"/>
          <w:b w:val="0"/>
          <w:sz w:val="32"/>
          <w:lang w:val="en-US" w:eastAsia="zh-CN"/>
        </w:rPr>
        <w:t>无新增</w:t>
      </w:r>
      <w:r>
        <w:rPr>
          <w:rFonts w:ascii="仿宋_GB2312" w:hAnsi="仿宋_GB2312" w:eastAsia="仿宋_GB2312"/>
          <w:b w:val="0"/>
          <w:sz w:val="32"/>
        </w:rPr>
        <w:t>退休人员，职业年金缴费较上年减少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年初预算数93.73万元，决算数90.27万元，预决算差异率-3.69%，主要原因是：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严控经费支出，厉行节约，减少</w:t>
      </w:r>
      <w:r>
        <w:rPr>
          <w:rFonts w:hint="eastAsia" w:ascii="仿宋_GB2312" w:hAnsi="仿宋_GB2312" w:eastAsia="仿宋_GB2312"/>
          <w:b w:val="0"/>
          <w:sz w:val="32"/>
          <w:lang w:val="en-US" w:eastAsia="zh-CN"/>
        </w:rPr>
        <w:t>不必要</w:t>
      </w:r>
      <w:r>
        <w:rPr>
          <w:rFonts w:ascii="仿宋_GB2312" w:hAnsi="仿宋_GB2312" w:eastAsia="仿宋_GB2312"/>
          <w:b w:val="0"/>
          <w:sz w:val="32"/>
        </w:rPr>
        <w:t>经费支出。</w:t>
      </w:r>
    </w:p>
    <w:p w14:paraId="0A39EE0B">
      <w:pPr>
        <w:spacing w:line="640" w:lineRule="exact"/>
        <w:ind w:firstLine="640"/>
        <w:jc w:val="both"/>
        <w:outlineLvl w:val="3"/>
      </w:pPr>
      <w:r>
        <w:rPr>
          <w:rFonts w:ascii="楷体_GB2312" w:hAnsi="楷体_GB2312" w:eastAsia="楷体_GB2312"/>
          <w:b/>
          <w:sz w:val="32"/>
        </w:rPr>
        <w:t>（二）一般公共预算财政拨款支出决算结构情况</w:t>
      </w:r>
    </w:p>
    <w:p w14:paraId="7CBFD416">
      <w:pPr>
        <w:spacing w:line="580" w:lineRule="exact"/>
        <w:ind w:firstLine="640"/>
        <w:jc w:val="both"/>
      </w:pPr>
      <w:r>
        <w:rPr>
          <w:rFonts w:ascii="仿宋_GB2312" w:hAnsi="仿宋_GB2312" w:eastAsia="仿宋_GB2312"/>
          <w:b w:val="0"/>
          <w:sz w:val="32"/>
        </w:rPr>
        <w:t>1.科学技术支出(类)67.29万元,占74.54%。</w:t>
      </w:r>
    </w:p>
    <w:p w14:paraId="2F22F18D">
      <w:pPr>
        <w:spacing w:line="580" w:lineRule="exact"/>
        <w:ind w:firstLine="640"/>
        <w:jc w:val="both"/>
      </w:pPr>
      <w:r>
        <w:rPr>
          <w:rFonts w:ascii="仿宋_GB2312" w:hAnsi="仿宋_GB2312" w:eastAsia="仿宋_GB2312"/>
          <w:b w:val="0"/>
          <w:sz w:val="32"/>
        </w:rPr>
        <w:t>2.社会保障和就业支出(类)11.19万元,占12.40%。</w:t>
      </w:r>
    </w:p>
    <w:p w14:paraId="3BCC5473">
      <w:pPr>
        <w:spacing w:line="580" w:lineRule="exact"/>
        <w:ind w:firstLine="640"/>
        <w:jc w:val="both"/>
      </w:pPr>
      <w:r>
        <w:rPr>
          <w:rFonts w:ascii="仿宋_GB2312" w:hAnsi="仿宋_GB2312" w:eastAsia="仿宋_GB2312"/>
          <w:b w:val="0"/>
          <w:sz w:val="32"/>
        </w:rPr>
        <w:t>3.卫生健康支出(类)5.04万元,占5.58%。</w:t>
      </w:r>
    </w:p>
    <w:p w14:paraId="30B8DFA9">
      <w:pPr>
        <w:spacing w:line="580" w:lineRule="exact"/>
        <w:ind w:firstLine="640"/>
        <w:jc w:val="both"/>
      </w:pPr>
      <w:r>
        <w:rPr>
          <w:rFonts w:ascii="仿宋_GB2312" w:hAnsi="仿宋_GB2312" w:eastAsia="仿宋_GB2312"/>
          <w:b w:val="0"/>
          <w:sz w:val="32"/>
        </w:rPr>
        <w:t>4.住房保障支出(类)6.75万元,占7.48%。</w:t>
      </w:r>
    </w:p>
    <w:p w14:paraId="185906FC">
      <w:pPr>
        <w:spacing w:line="640" w:lineRule="exact"/>
        <w:ind w:firstLine="640"/>
        <w:jc w:val="both"/>
        <w:outlineLvl w:val="3"/>
      </w:pPr>
      <w:r>
        <w:rPr>
          <w:rFonts w:ascii="楷体_GB2312" w:hAnsi="楷体_GB2312" w:eastAsia="楷体_GB2312"/>
          <w:b/>
          <w:sz w:val="32"/>
        </w:rPr>
        <w:t>（三）一般公共预算财政拨款支出决算具体情况</w:t>
      </w:r>
    </w:p>
    <w:p w14:paraId="4F7A8955">
      <w:pPr>
        <w:spacing w:line="580" w:lineRule="exact"/>
        <w:ind w:firstLine="640"/>
        <w:jc w:val="both"/>
      </w:pPr>
      <w:r>
        <w:rPr>
          <w:rFonts w:ascii="仿宋_GB2312" w:hAnsi="仿宋_GB2312" w:eastAsia="仿宋_GB2312"/>
          <w:b w:val="0"/>
          <w:sz w:val="32"/>
        </w:rPr>
        <w:t>1.科学技术支出(类)科学技术普及(款)机构运行(项):支出决算数为67.29万元，比上年决算增加3.99万元，增长6.30%,主要原因是：本年在职人员工资调增，人员经费增加。</w:t>
      </w:r>
    </w:p>
    <w:p w14:paraId="3B54817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2.社会保障和就业支出(类)行政事业单位养老支出(款)行政单位离退休(项):支出决算数为2.73万元，比上年决算增加0.21万元，增长8.33%,主要原因是：本年增加退休人员基础绩效奖，退休费支出增加。</w:t>
      </w:r>
    </w:p>
    <w:p w14:paraId="59D9F97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8.46万元，比上年决算增加0.92万元，增长12.20%,主要原因是：本年在职人员工资基数调增，养老缴费基数上涨，相应支出增加。</w:t>
      </w:r>
    </w:p>
    <w:p w14:paraId="04E92AC3">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4.社会保障和就业支出(类)行政事业单位养老支出(款)机关事业单位职业年金缴费支出(项):支出决算数为0.00万元，比上年决算减少7.33万元，下降100.00%,主要原因是：本年</w:t>
      </w:r>
      <w:r>
        <w:rPr>
          <w:rFonts w:hint="eastAsia" w:ascii="仿宋_GB2312" w:hAnsi="仿宋_GB2312" w:eastAsia="仿宋_GB2312"/>
          <w:b w:val="0"/>
          <w:sz w:val="32"/>
          <w:lang w:val="en-US" w:eastAsia="zh-CN"/>
        </w:rPr>
        <w:t>无新增</w:t>
      </w:r>
      <w:r>
        <w:rPr>
          <w:rFonts w:ascii="仿宋_GB2312" w:hAnsi="仿宋_GB2312" w:eastAsia="仿宋_GB2312"/>
          <w:b w:val="0"/>
          <w:sz w:val="32"/>
        </w:rPr>
        <w:t>退休人员，职业年金缴费较上年减少。</w:t>
      </w:r>
    </w:p>
    <w:p w14:paraId="66AE0ABA">
      <w:pPr>
        <w:spacing w:line="580" w:lineRule="exact"/>
        <w:ind w:firstLine="640"/>
        <w:jc w:val="both"/>
      </w:pPr>
      <w:r>
        <w:rPr>
          <w:rFonts w:ascii="仿宋_GB2312" w:hAnsi="仿宋_GB2312" w:eastAsia="仿宋_GB2312"/>
          <w:b w:val="0"/>
          <w:sz w:val="32"/>
        </w:rPr>
        <w:t>5.卫生健康支出(类)行政事业单位医疗(款)行政单位医疗(项):支出决算数为3.58万元，比上年决算增加0.15万元，增长4.37%,主要原因是：本年在职人员工资基数调增，医疗缴费基数上涨，相应支出增加。</w:t>
      </w:r>
    </w:p>
    <w:p w14:paraId="69120A7F">
      <w:pPr>
        <w:spacing w:line="580" w:lineRule="exact"/>
        <w:ind w:firstLine="640"/>
        <w:jc w:val="both"/>
      </w:pPr>
      <w:r>
        <w:rPr>
          <w:rFonts w:ascii="仿宋_GB2312" w:hAnsi="仿宋_GB2312" w:eastAsia="仿宋_GB2312"/>
          <w:b w:val="0"/>
          <w:sz w:val="32"/>
        </w:rPr>
        <w:t>6.卫生健康支出(类)行政事业单位医疗(款)公务员医疗补助(项):支出决算数为1.46万元，比上年决算增加0.07万元，增长5.04%,主要原因是：本年在职人员工资基数调增，医疗缴费基数上涨，相应支出增加。</w:t>
      </w:r>
    </w:p>
    <w:p w14:paraId="789D10DB">
      <w:pPr>
        <w:spacing w:line="580" w:lineRule="exact"/>
        <w:ind w:firstLine="640"/>
        <w:jc w:val="both"/>
      </w:pPr>
      <w:r>
        <w:rPr>
          <w:rFonts w:ascii="仿宋_GB2312" w:hAnsi="仿宋_GB2312" w:eastAsia="仿宋_GB2312"/>
          <w:b w:val="0"/>
          <w:sz w:val="32"/>
        </w:rPr>
        <w:t>7.住房保障支出(类)住房改革支出(款)住房公积金(项):支出决算数为6.75万元，比上年决算增加0.81万元，增长13.64%,主要原因是：本年在职人员工资基数调增，公积金缴费基数上涨，相应支出增加。</w:t>
      </w:r>
    </w:p>
    <w:p w14:paraId="039B6687">
      <w:pPr>
        <w:spacing w:line="640" w:lineRule="exact"/>
        <w:ind w:firstLine="640"/>
        <w:jc w:val="both"/>
        <w:outlineLvl w:val="2"/>
      </w:pPr>
      <w:r>
        <w:rPr>
          <w:rFonts w:ascii="黑体" w:hAnsi="黑体" w:eastAsia="黑体"/>
          <w:sz w:val="32"/>
        </w:rPr>
        <w:t>六、一般公共预算财政拨款基本支出决算情况说明</w:t>
      </w:r>
    </w:p>
    <w:p w14:paraId="66633330">
      <w:pPr>
        <w:spacing w:line="580" w:lineRule="exact"/>
        <w:ind w:firstLine="640"/>
        <w:jc w:val="both"/>
      </w:pPr>
      <w:r>
        <w:rPr>
          <w:rFonts w:ascii="仿宋_GB2312" w:hAnsi="仿宋_GB2312" w:eastAsia="仿宋_GB2312"/>
          <w:b w:val="0"/>
          <w:sz w:val="32"/>
        </w:rPr>
        <w:t>2024年度一般公共预算财政拨款基本支出90.27万元，其中：</w:t>
      </w:r>
      <w:r>
        <w:rPr>
          <w:rFonts w:ascii="仿宋_GB2312" w:hAnsi="仿宋_GB2312" w:eastAsia="仿宋_GB2312"/>
          <w:b/>
          <w:sz w:val="32"/>
        </w:rPr>
        <w:t>人员经费84.89万元，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包括：基本工资、津贴补贴、奖金、机关事业单位基本养老保险缴费、职工基本医疗保险缴费、公务员医疗补助缴费、其他社会保障缴费、住房公积金、退休费、医疗费补助。</w:t>
      </w:r>
    </w:p>
    <w:p w14:paraId="444E1D18">
      <w:pPr>
        <w:spacing w:line="580" w:lineRule="exact"/>
        <w:ind w:firstLine="640"/>
        <w:jc w:val="both"/>
      </w:pPr>
      <w:r>
        <w:rPr>
          <w:rFonts w:ascii="仿宋_GB2312" w:hAnsi="仿宋_GB2312" w:eastAsia="仿宋_GB2312"/>
          <w:b/>
          <w:sz w:val="32"/>
        </w:rPr>
        <w:t>公用经费5.38万元，</w:t>
      </w:r>
      <w:r>
        <w:rPr>
          <w:rFonts w:ascii="仿宋_GB2312" w:hAnsi="仿宋_GB2312" w:eastAsia="仿宋_GB2312"/>
          <w:b w:val="0"/>
          <w:sz w:val="32"/>
        </w:rPr>
        <w:t>包括：办公费、邮电费、差旅费、工会经费、公务用车运行维护费、办公设备购置。</w:t>
      </w:r>
    </w:p>
    <w:p w14:paraId="5CCB5384">
      <w:pPr>
        <w:spacing w:line="640" w:lineRule="exact"/>
        <w:ind w:firstLine="640"/>
        <w:jc w:val="both"/>
        <w:outlineLvl w:val="2"/>
      </w:pPr>
      <w:r>
        <w:rPr>
          <w:rFonts w:ascii="黑体" w:hAnsi="黑体" w:eastAsia="黑体"/>
          <w:sz w:val="32"/>
        </w:rPr>
        <w:t>七、政府性基金预算财政拨款收入支出决算情况说明</w:t>
      </w:r>
    </w:p>
    <w:p w14:paraId="19AE541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428F4FD">
      <w:pPr>
        <w:spacing w:line="640" w:lineRule="exact"/>
        <w:ind w:firstLine="640"/>
        <w:jc w:val="both"/>
        <w:outlineLvl w:val="2"/>
      </w:pPr>
      <w:r>
        <w:rPr>
          <w:rFonts w:ascii="黑体" w:hAnsi="黑体" w:eastAsia="黑体"/>
          <w:sz w:val="32"/>
        </w:rPr>
        <w:t>八、国有资本经营预算财政拨款收入支出决算情况说明</w:t>
      </w:r>
    </w:p>
    <w:p w14:paraId="57AE605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794F4B">
      <w:pPr>
        <w:spacing w:line="640" w:lineRule="exact"/>
        <w:ind w:firstLine="640"/>
        <w:jc w:val="both"/>
        <w:outlineLvl w:val="2"/>
      </w:pPr>
      <w:r>
        <w:rPr>
          <w:rFonts w:ascii="黑体" w:hAnsi="黑体" w:eastAsia="黑体"/>
          <w:sz w:val="32"/>
        </w:rPr>
        <w:t>九、财政拨款“三公”经费支出决算情况说明</w:t>
      </w:r>
    </w:p>
    <w:p w14:paraId="4DD153F7">
      <w:pPr>
        <w:spacing w:line="580" w:lineRule="exact"/>
        <w:ind w:firstLine="640"/>
        <w:jc w:val="both"/>
      </w:pPr>
      <w:r>
        <w:rPr>
          <w:rFonts w:ascii="仿宋_GB2312" w:hAnsi="仿宋_GB2312" w:eastAsia="仿宋_GB2312"/>
          <w:b/>
          <w:sz w:val="32"/>
        </w:rPr>
        <w:t>2024年度财政拨款“三公”经费支出1.27万元，</w:t>
      </w:r>
      <w:r>
        <w:rPr>
          <w:rFonts w:ascii="仿宋_GB2312" w:hAnsi="仿宋_GB2312" w:eastAsia="仿宋_GB2312"/>
          <w:b w:val="0"/>
          <w:sz w:val="32"/>
        </w:rPr>
        <w:t>比上年增加1.27万元，增长100.00%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1.27万元，占100.00%，比上年增加1.27万元，增长100.00%，主要原因是：本单位公务用车日渐老化，维修维护成本增加，导致公务用车运行维护费较上年增加。公务接待费支出0.00万元，占0.00%，比上年增加0.00万元，增长0.00%，主要原因是：2023年与2024年均未安排公务接待费支出。</w:t>
      </w:r>
    </w:p>
    <w:p w14:paraId="4FC3EF57">
      <w:pPr>
        <w:spacing w:line="580" w:lineRule="exact"/>
        <w:ind w:firstLine="640"/>
        <w:jc w:val="both"/>
      </w:pPr>
      <w:r>
        <w:rPr>
          <w:rFonts w:ascii="仿宋_GB2312" w:hAnsi="仿宋_GB2312" w:eastAsia="仿宋_GB2312"/>
          <w:b/>
          <w:sz w:val="32"/>
        </w:rPr>
        <w:t>具体情况如下：</w:t>
      </w:r>
    </w:p>
    <w:p w14:paraId="5C781C3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B77F886">
      <w:pPr>
        <w:spacing w:line="580" w:lineRule="exact"/>
        <w:ind w:firstLine="640"/>
        <w:jc w:val="both"/>
      </w:pPr>
      <w:r>
        <w:rPr>
          <w:rFonts w:ascii="仿宋_GB2312" w:hAnsi="仿宋_GB2312" w:eastAsia="仿宋_GB2312"/>
          <w:b w:val="0"/>
          <w:sz w:val="32"/>
        </w:rPr>
        <w:t>公务用车购置及运行维护费1.27万元，其中：公务用车购置费0.00万元，公务用车运行维护费1.27万元。公务用车运行维护费开支内容包括</w:t>
      </w:r>
      <w:r>
        <w:rPr>
          <w:rFonts w:hint="eastAsia" w:ascii="仿宋_GB2312" w:hAnsi="仿宋_GB2312" w:eastAsia="仿宋_GB2312"/>
          <w:b w:val="0"/>
          <w:sz w:val="32"/>
          <w:lang w:val="en-US" w:eastAsia="zh-CN"/>
        </w:rPr>
        <w:t>燃油费、保险费、过路费</w:t>
      </w:r>
      <w:r>
        <w:rPr>
          <w:rFonts w:ascii="仿宋_GB2312" w:hAnsi="仿宋_GB2312" w:eastAsia="仿宋_GB2312"/>
          <w:b w:val="0"/>
          <w:sz w:val="32"/>
        </w:rPr>
        <w:t>。公务用车购置数0辆，公务用车保有量2辆。国有资产占用情况中固定资产车辆0辆，与公务用车保有量差异原因是：借用教育局车辆，车辆费用由本单位支付。</w:t>
      </w:r>
    </w:p>
    <w:p w14:paraId="0DA52DF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AF58A6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1.27万元，决算数1.27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1.27万元，决算数1.27万元，预决算差异率0.00%，主要原因是：严格按照预算执行，预决算无差异。公务接待费全年预算数0.00万元，决算数0.00万元，预决算差异率0.00%，主要原因是：本单位无公务接待费。</w:t>
      </w:r>
    </w:p>
    <w:p w14:paraId="360B095A">
      <w:pPr>
        <w:spacing w:line="640" w:lineRule="exact"/>
        <w:ind w:firstLine="640"/>
        <w:jc w:val="both"/>
        <w:outlineLvl w:val="2"/>
      </w:pPr>
      <w:r>
        <w:rPr>
          <w:rFonts w:ascii="黑体" w:hAnsi="黑体" w:eastAsia="黑体"/>
          <w:sz w:val="32"/>
        </w:rPr>
        <w:t>十、其他重要事项的情况说明</w:t>
      </w:r>
    </w:p>
    <w:p w14:paraId="3D906B21">
      <w:pPr>
        <w:spacing w:line="640" w:lineRule="exact"/>
        <w:ind w:firstLine="640"/>
        <w:jc w:val="both"/>
        <w:outlineLvl w:val="3"/>
      </w:pPr>
      <w:r>
        <w:rPr>
          <w:rFonts w:ascii="楷体_GB2312" w:hAnsi="楷体_GB2312" w:eastAsia="楷体_GB2312"/>
          <w:b/>
          <w:sz w:val="32"/>
        </w:rPr>
        <w:t>（一）机关运行经费及公用经费支出情况</w:t>
      </w:r>
    </w:p>
    <w:p w14:paraId="537B6127">
      <w:pPr>
        <w:spacing w:line="580" w:lineRule="exact"/>
        <w:ind w:firstLine="640"/>
        <w:jc w:val="both"/>
      </w:pPr>
      <w:r>
        <w:rPr>
          <w:rFonts w:ascii="仿宋_GB2312" w:hAnsi="仿宋_GB2312" w:eastAsia="仿宋_GB2312"/>
          <w:b w:val="0"/>
          <w:sz w:val="32"/>
        </w:rPr>
        <w:t>2024年度裕民县科学技术协会（行政单位和参照公务员法管理事业单位）机关运行经费支出5.38万元，比上年增加2.15万元，增长66.56%，主要原因是：本年</w:t>
      </w:r>
      <w:r>
        <w:rPr>
          <w:rFonts w:hint="eastAsia" w:ascii="仿宋_GB2312" w:hAnsi="仿宋_GB2312" w:eastAsia="仿宋_GB2312"/>
          <w:b w:val="0"/>
          <w:sz w:val="32"/>
          <w:lang w:val="en-US" w:eastAsia="zh-CN"/>
        </w:rPr>
        <w:t>业务量增加，</w:t>
      </w:r>
      <w:r>
        <w:rPr>
          <w:rFonts w:ascii="仿宋_GB2312" w:hAnsi="仿宋_GB2312" w:eastAsia="仿宋_GB2312"/>
          <w:b w:val="0"/>
          <w:sz w:val="32"/>
        </w:rPr>
        <w:t>增加</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差旅费，导致机关运行经费增加。</w:t>
      </w:r>
    </w:p>
    <w:p w14:paraId="4C715B64">
      <w:pPr>
        <w:spacing w:line="640" w:lineRule="exact"/>
        <w:ind w:firstLine="640"/>
        <w:jc w:val="both"/>
        <w:outlineLvl w:val="3"/>
      </w:pPr>
      <w:r>
        <w:rPr>
          <w:rFonts w:ascii="楷体_GB2312" w:hAnsi="楷体_GB2312" w:eastAsia="楷体_GB2312"/>
          <w:b/>
          <w:sz w:val="32"/>
        </w:rPr>
        <w:t>（二）政府采购情况</w:t>
      </w:r>
    </w:p>
    <w:p w14:paraId="2F2E5242">
      <w:pPr>
        <w:spacing w:line="580" w:lineRule="exact"/>
        <w:ind w:firstLine="640"/>
        <w:jc w:val="both"/>
      </w:pPr>
      <w:r>
        <w:rPr>
          <w:rFonts w:ascii="仿宋_GB2312" w:hAnsi="仿宋_GB2312" w:eastAsia="仿宋_GB2312"/>
          <w:b w:val="0"/>
          <w:sz w:val="32"/>
        </w:rPr>
        <w:t>2024年度政府采购支出总额1.07万元，其中：政府采购货物支出0.20万元、政府采购工程支出0.00万元、政府采购服务支出0.87万元。</w:t>
      </w:r>
    </w:p>
    <w:p w14:paraId="200C0604">
      <w:pPr>
        <w:spacing w:line="580" w:lineRule="exact"/>
        <w:ind w:firstLine="640"/>
        <w:jc w:val="both"/>
      </w:pPr>
      <w:r>
        <w:rPr>
          <w:rFonts w:ascii="仿宋_GB2312" w:hAnsi="仿宋_GB2312" w:eastAsia="仿宋_GB2312"/>
          <w:b w:val="0"/>
          <w:sz w:val="32"/>
        </w:rPr>
        <w:t>授予中小企业合同金额1.07万元，占政府采购支出总额的100.00%，其中：授予小微企业合同金额1.07万元，占政府采购支出总额的100.00%。</w:t>
      </w:r>
    </w:p>
    <w:p w14:paraId="726AF4A1">
      <w:pPr>
        <w:spacing w:line="640" w:lineRule="exact"/>
        <w:ind w:firstLine="640"/>
        <w:jc w:val="both"/>
        <w:outlineLvl w:val="3"/>
      </w:pPr>
      <w:r>
        <w:rPr>
          <w:rFonts w:ascii="楷体_GB2312" w:hAnsi="楷体_GB2312" w:eastAsia="楷体_GB2312"/>
          <w:b/>
          <w:sz w:val="32"/>
        </w:rPr>
        <w:t>（三）国有资产占用情况说明</w:t>
      </w:r>
    </w:p>
    <w:p w14:paraId="0144244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6CE1ADF">
      <w:pPr>
        <w:spacing w:line="640" w:lineRule="exact"/>
        <w:ind w:firstLine="640"/>
        <w:jc w:val="both"/>
        <w:outlineLvl w:val="2"/>
      </w:pPr>
      <w:r>
        <w:rPr>
          <w:rFonts w:ascii="黑体" w:hAnsi="黑体" w:eastAsia="黑体"/>
          <w:sz w:val="32"/>
        </w:rPr>
        <w:t>十一、预算绩效的情况说明</w:t>
      </w:r>
    </w:p>
    <w:p w14:paraId="2D93411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95.77万元，实际执行总额95.77万元；预算绩效评价项目1个，全年预算数5.00万元，全年执行数5.00万元。预算绩效管理取得的成效：1.资金使用效益提升。2.预算管理精细化程度提高。3.责任约束机制强化。4.资源配置更优化5.透明度和公信力增强。发现的问题及原因：1.绩效目标设定不科学，部分项目绩效目标模糊、笼统，与实际工作脱节。2.绩效填报人员对项目理解能力不高，导致部分项目目标与结果完成不明显。原因是：制度体系不完善；技术支撑不足等。下一步改进措施：1.深化绩效目标管理，提升科学性和精准性。2.强化全过程绩效评价，实现动态管理，建立覆盖预算编制、执行、结算全流程的评价机制，重点加强事中评价，对偏离绩效目标的项目及时预警并督促整改。3.加强能力建设，夯实基础，多参加财政局组织的培训，提升绩效专业能力。具体附整体支出绩效自评表，项目支出绩效自评表和评价报告。</w:t>
      </w:r>
    </w:p>
    <w:p w14:paraId="2730ADC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5C6AEDE">
        <w:tblPrEx>
          <w:tblCellMar>
            <w:top w:w="0" w:type="dxa"/>
            <w:left w:w="108" w:type="dxa"/>
            <w:bottom w:w="0" w:type="dxa"/>
            <w:right w:w="108" w:type="dxa"/>
          </w:tblCellMar>
        </w:tblPrEx>
        <w:tc>
          <w:tcPr>
            <w:tcW w:w="8840" w:type="dxa"/>
            <w:gridSpan w:val="8"/>
            <w:vAlign w:val="center"/>
          </w:tcPr>
          <w:p w14:paraId="22C26366">
            <w:pPr>
              <w:jc w:val="center"/>
            </w:pPr>
            <w:r>
              <w:rPr>
                <w:rFonts w:ascii="宋体" w:hAnsi="宋体" w:eastAsia="宋体"/>
                <w:sz w:val="24"/>
              </w:rPr>
              <w:t>单位整体支出绩效自评表</w:t>
            </w:r>
          </w:p>
        </w:tc>
      </w:tr>
      <w:tr w14:paraId="49025E2C">
        <w:tblPrEx>
          <w:tblCellMar>
            <w:top w:w="0" w:type="dxa"/>
            <w:left w:w="108" w:type="dxa"/>
            <w:bottom w:w="0" w:type="dxa"/>
            <w:right w:w="108" w:type="dxa"/>
          </w:tblCellMar>
        </w:tblPrEx>
        <w:tc>
          <w:tcPr>
            <w:tcW w:w="8840" w:type="dxa"/>
            <w:gridSpan w:val="8"/>
            <w:vAlign w:val="center"/>
          </w:tcPr>
          <w:p w14:paraId="7273F335">
            <w:pPr>
              <w:jc w:val="center"/>
            </w:pPr>
            <w:r>
              <w:rPr>
                <w:rFonts w:ascii="宋体" w:hAnsi="宋体" w:eastAsia="宋体"/>
                <w:sz w:val="24"/>
              </w:rPr>
              <w:t>（2024年度）</w:t>
            </w:r>
          </w:p>
        </w:tc>
      </w:tr>
      <w:tr w14:paraId="4EF119F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3C4B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65696">
            <w:pPr>
              <w:jc w:val="center"/>
            </w:pPr>
            <w:r>
              <w:rPr>
                <w:rFonts w:ascii="宋体" w:hAnsi="宋体" w:eastAsia="宋体"/>
                <w:sz w:val="16"/>
              </w:rPr>
              <w:t>裕民县科学技术协会</w:t>
            </w:r>
          </w:p>
        </w:tc>
      </w:tr>
      <w:tr w14:paraId="53A5B9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EA51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3D6B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2410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1468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2009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135F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2698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D7568">
            <w:pPr>
              <w:jc w:val="center"/>
            </w:pPr>
            <w:r>
              <w:rPr>
                <w:rFonts w:ascii="宋体" w:hAnsi="宋体" w:eastAsia="宋体"/>
                <w:sz w:val="16"/>
              </w:rPr>
              <w:t>得分</w:t>
            </w:r>
          </w:p>
        </w:tc>
      </w:tr>
      <w:tr w14:paraId="293893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6C93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D8BF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4F6B5">
            <w:pPr>
              <w:jc w:val="center"/>
            </w:pPr>
            <w:r>
              <w:rPr>
                <w:rFonts w:ascii="宋体" w:hAnsi="宋体" w:eastAsia="宋体"/>
                <w:sz w:val="16"/>
              </w:rPr>
              <w:t>94.22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8E7FF">
            <w:pPr>
              <w:jc w:val="center"/>
            </w:pPr>
            <w:r>
              <w:rPr>
                <w:rFonts w:ascii="宋体" w:hAnsi="宋体" w:eastAsia="宋体"/>
                <w:sz w:val="16"/>
              </w:rPr>
              <w:t>95.77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A921D">
            <w:pPr>
              <w:jc w:val="center"/>
            </w:pPr>
            <w:r>
              <w:rPr>
                <w:rFonts w:ascii="宋体" w:hAnsi="宋体" w:eastAsia="宋体"/>
                <w:sz w:val="16"/>
              </w:rPr>
              <w:t>95.77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5657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E8B9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49211">
            <w:pPr>
              <w:jc w:val="center"/>
            </w:pPr>
            <w:r>
              <w:rPr>
                <w:rFonts w:ascii="宋体" w:hAnsi="宋体" w:eastAsia="宋体"/>
                <w:sz w:val="16"/>
              </w:rPr>
              <w:t>10</w:t>
            </w:r>
          </w:p>
        </w:tc>
      </w:tr>
      <w:tr w14:paraId="6DC229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E41F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231A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1899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62A7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E4B6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E52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965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0F132">
            <w:pPr>
              <w:jc w:val="center"/>
            </w:pPr>
            <w:r>
              <w:rPr>
                <w:rFonts w:ascii="宋体" w:hAnsi="宋体" w:eastAsia="宋体"/>
                <w:sz w:val="16"/>
              </w:rPr>
              <w:t>-</w:t>
            </w:r>
          </w:p>
        </w:tc>
      </w:tr>
      <w:tr w14:paraId="11D007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033B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4FE1B">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80D97">
            <w:pPr>
              <w:jc w:val="center"/>
            </w:pPr>
            <w:r>
              <w:rPr>
                <w:rFonts w:ascii="宋体" w:hAnsi="宋体" w:eastAsia="宋体"/>
                <w:sz w:val="16"/>
              </w:rPr>
              <w:t>93.72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D56FA">
            <w:pPr>
              <w:jc w:val="center"/>
            </w:pPr>
            <w:r>
              <w:rPr>
                <w:rFonts w:ascii="宋体" w:hAnsi="宋体" w:eastAsia="宋体"/>
                <w:sz w:val="16"/>
              </w:rPr>
              <w:t>90.77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38FE4">
            <w:pPr>
              <w:jc w:val="center"/>
            </w:pPr>
            <w:r>
              <w:rPr>
                <w:rFonts w:ascii="宋体" w:hAnsi="宋体" w:eastAsia="宋体"/>
                <w:sz w:val="16"/>
              </w:rPr>
              <w:t>90.77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310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3BD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8D9EF">
            <w:pPr>
              <w:jc w:val="center"/>
            </w:pPr>
            <w:r>
              <w:rPr>
                <w:rFonts w:ascii="宋体" w:hAnsi="宋体" w:eastAsia="宋体"/>
                <w:sz w:val="16"/>
              </w:rPr>
              <w:t>-</w:t>
            </w:r>
          </w:p>
        </w:tc>
      </w:tr>
      <w:tr w14:paraId="1DB29B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45AA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80A9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11276">
            <w:pPr>
              <w:jc w:val="center"/>
            </w:pPr>
            <w:r>
              <w:rPr>
                <w:rFonts w:ascii="宋体" w:hAnsi="宋体" w:eastAsia="宋体"/>
                <w:sz w:val="16"/>
              </w:rPr>
              <w:t>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4E384">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1A1F7">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685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63F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6C615">
            <w:pPr>
              <w:jc w:val="center"/>
            </w:pPr>
            <w:r>
              <w:rPr>
                <w:rFonts w:ascii="宋体" w:hAnsi="宋体" w:eastAsia="宋体"/>
                <w:sz w:val="16"/>
              </w:rPr>
              <w:t>-</w:t>
            </w:r>
          </w:p>
        </w:tc>
      </w:tr>
      <w:tr w14:paraId="6B8BFB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A3AF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62297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B42A39">
            <w:pPr>
              <w:jc w:val="center"/>
            </w:pPr>
            <w:r>
              <w:rPr>
                <w:rFonts w:ascii="宋体" w:hAnsi="宋体" w:eastAsia="宋体"/>
                <w:sz w:val="16"/>
              </w:rPr>
              <w:t>实际完成情况</w:t>
            </w:r>
          </w:p>
        </w:tc>
      </w:tr>
      <w:tr w14:paraId="40BD58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79ED6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B6E392">
            <w:pPr>
              <w:jc w:val="both"/>
            </w:pPr>
            <w:r>
              <w:rPr>
                <w:rFonts w:ascii="宋体" w:hAnsi="宋体" w:eastAsia="宋体"/>
                <w:sz w:val="16"/>
              </w:rPr>
              <w:t>全面落实中国科协和自治区科协事业发展</w:t>
            </w:r>
            <w:r>
              <w:rPr>
                <w:rFonts w:hint="eastAsia" w:ascii="宋体" w:hAnsi="宋体"/>
                <w:sz w:val="16"/>
                <w:lang w:eastAsia="zh-CN"/>
              </w:rPr>
              <w:t>“十四五”发展规划</w:t>
            </w:r>
            <w:r>
              <w:rPr>
                <w:rFonts w:ascii="宋体" w:hAnsi="宋体" w:eastAsia="宋体"/>
                <w:sz w:val="16"/>
              </w:rPr>
              <w:t>，开展全国科普日、科技活动周、“科技之冬”等系列大型科普活动，开展科普工作专题调研，加大科普宣传力度</w:t>
            </w:r>
            <w:r>
              <w:rPr>
                <w:rFonts w:hint="eastAsia" w:ascii="宋体" w:hAnsi="宋体"/>
                <w:sz w:val="16"/>
                <w:lang w:eastAsia="zh-CN"/>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70C777">
            <w:pPr>
              <w:jc w:val="both"/>
            </w:pPr>
            <w:r>
              <w:rPr>
                <w:rFonts w:ascii="宋体" w:hAnsi="宋体" w:eastAsia="宋体"/>
                <w:sz w:val="16"/>
              </w:rPr>
              <w:t>为全面落实中国科协和自治区科协事业发展</w:t>
            </w:r>
            <w:r>
              <w:rPr>
                <w:rFonts w:hint="eastAsia" w:ascii="宋体" w:hAnsi="宋体"/>
                <w:sz w:val="16"/>
                <w:lang w:eastAsia="zh-CN"/>
              </w:rPr>
              <w:t>“十四五”发展规划</w:t>
            </w:r>
            <w:r>
              <w:rPr>
                <w:rFonts w:ascii="宋体" w:hAnsi="宋体" w:eastAsia="宋体"/>
                <w:sz w:val="16"/>
              </w:rPr>
              <w:t>，开展全国科普日、科技活动周、“科技之冬”等系列大型科普活动，2024年已开展“全国科普日”“科技之冬”系列宣传活动80场，支持基层科普组织、科普基地、建设3个，组织开展1次青少年科技教育；开展20次老年科技大学开展活动；有效提高开展科普活动受益覆盖率</w:t>
            </w:r>
            <w:bookmarkStart w:id="0" w:name="_GoBack"/>
            <w:r>
              <w:rPr>
                <w:rFonts w:ascii="宋体" w:hAnsi="宋体" w:eastAsia="宋体"/>
                <w:sz w:val="16"/>
              </w:rPr>
              <w:t>,</w:t>
            </w:r>
            <w:bookmarkEnd w:id="0"/>
            <w:r>
              <w:rPr>
                <w:rFonts w:ascii="宋体" w:hAnsi="宋体" w:eastAsia="宋体"/>
                <w:sz w:val="16"/>
              </w:rPr>
              <w:t>提高了科普宣传力度。</w:t>
            </w:r>
          </w:p>
        </w:tc>
      </w:tr>
      <w:tr w14:paraId="1A94FCF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2D07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AFCA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C2FD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2070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499F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BD44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4D42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7C996">
            <w:pPr>
              <w:jc w:val="center"/>
            </w:pPr>
            <w:r>
              <w:rPr>
                <w:rFonts w:ascii="宋体" w:hAnsi="宋体" w:eastAsia="宋体"/>
                <w:sz w:val="16"/>
              </w:rPr>
              <w:t>得分</w:t>
            </w:r>
          </w:p>
        </w:tc>
      </w:tr>
      <w:tr w14:paraId="67BAC06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2AB3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4CCD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CEFB4">
            <w:pPr>
              <w:jc w:val="center"/>
            </w:pPr>
            <w:r>
              <w:rPr>
                <w:rFonts w:ascii="宋体" w:hAnsi="宋体" w:eastAsia="宋体"/>
                <w:sz w:val="16"/>
              </w:rPr>
              <w:t>开展“全国科普日”宣传活动、“科技之冬”系列活动场次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C071C">
            <w:pPr>
              <w:jc w:val="center"/>
            </w:pPr>
            <w:r>
              <w:rPr>
                <w:rFonts w:ascii="宋体" w:hAnsi="宋体" w:eastAsia="宋体"/>
                <w:sz w:val="16"/>
              </w:rPr>
              <w:t>&gt;=80场次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D5081">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789D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BDD9F">
            <w:pPr>
              <w:jc w:val="center"/>
            </w:pPr>
            <w:r>
              <w:rPr>
                <w:rFonts w:ascii="宋体" w:hAnsi="宋体" w:eastAsia="宋体"/>
                <w:sz w:val="16"/>
              </w:rPr>
              <w:t>80场次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D34DE">
            <w:pPr>
              <w:jc w:val="center"/>
            </w:pPr>
            <w:r>
              <w:rPr>
                <w:rFonts w:ascii="宋体" w:hAnsi="宋体" w:eastAsia="宋体"/>
                <w:sz w:val="16"/>
              </w:rPr>
              <w:t>15</w:t>
            </w:r>
          </w:p>
        </w:tc>
      </w:tr>
      <w:tr w14:paraId="5FA9CE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7983B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822F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86884">
            <w:pPr>
              <w:jc w:val="center"/>
            </w:pPr>
            <w:r>
              <w:rPr>
                <w:rFonts w:ascii="宋体" w:hAnsi="宋体" w:eastAsia="宋体"/>
                <w:sz w:val="16"/>
              </w:rPr>
              <w:t>支持基层科普组织、科普基地、建设（个）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8A2DD">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F15F5">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E19D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53AFE">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B4533">
            <w:pPr>
              <w:jc w:val="center"/>
            </w:pPr>
            <w:r>
              <w:rPr>
                <w:rFonts w:ascii="宋体" w:hAnsi="宋体" w:eastAsia="宋体"/>
                <w:sz w:val="16"/>
              </w:rPr>
              <w:t>15</w:t>
            </w:r>
          </w:p>
        </w:tc>
      </w:tr>
      <w:tr w14:paraId="7545A2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E79D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4EB2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6A1F4">
            <w:pPr>
              <w:jc w:val="center"/>
            </w:pPr>
            <w:r>
              <w:rPr>
                <w:rFonts w:ascii="宋体" w:hAnsi="宋体" w:eastAsia="宋体"/>
                <w:sz w:val="16"/>
              </w:rPr>
              <w:t>组织开展青少年科技教育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8332F">
            <w:pPr>
              <w:jc w:val="center"/>
            </w:pPr>
            <w:r>
              <w:rPr>
                <w:rFonts w:ascii="宋体" w:hAnsi="宋体" w:eastAsia="宋体"/>
                <w:sz w:val="16"/>
              </w:rPr>
              <w:t>&gt;=1场次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A01DD">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58CF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6C81F">
            <w:pPr>
              <w:jc w:val="center"/>
            </w:pPr>
            <w:r>
              <w:rPr>
                <w:rFonts w:ascii="宋体" w:hAnsi="宋体" w:eastAsia="宋体"/>
                <w:sz w:val="16"/>
              </w:rPr>
              <w:t>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DBB66">
            <w:pPr>
              <w:jc w:val="center"/>
            </w:pPr>
            <w:r>
              <w:rPr>
                <w:rFonts w:ascii="宋体" w:hAnsi="宋体" w:eastAsia="宋体"/>
                <w:sz w:val="16"/>
              </w:rPr>
              <w:t>15</w:t>
            </w:r>
          </w:p>
        </w:tc>
      </w:tr>
      <w:tr w14:paraId="5F407C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79A1B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E56E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61054">
            <w:pPr>
              <w:jc w:val="center"/>
            </w:pPr>
            <w:r>
              <w:rPr>
                <w:rFonts w:ascii="宋体" w:hAnsi="宋体" w:eastAsia="宋体"/>
                <w:sz w:val="16"/>
              </w:rPr>
              <w:t>老年科技大学开展活动场次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65D50">
            <w:pPr>
              <w:jc w:val="center"/>
            </w:pPr>
            <w:r>
              <w:rPr>
                <w:rFonts w:ascii="宋体" w:hAnsi="宋体" w:eastAsia="宋体"/>
                <w:sz w:val="16"/>
              </w:rPr>
              <w:t>&gt;=20场次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4BBC5">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8E78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06578">
            <w:pPr>
              <w:jc w:val="center"/>
            </w:pPr>
            <w:r>
              <w:rPr>
                <w:rFonts w:ascii="宋体" w:hAnsi="宋体" w:eastAsia="宋体"/>
                <w:sz w:val="16"/>
              </w:rPr>
              <w:t>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116EF">
            <w:pPr>
              <w:jc w:val="center"/>
            </w:pPr>
            <w:r>
              <w:rPr>
                <w:rFonts w:ascii="宋体" w:hAnsi="宋体" w:eastAsia="宋体"/>
                <w:sz w:val="16"/>
              </w:rPr>
              <w:t>15</w:t>
            </w:r>
          </w:p>
        </w:tc>
      </w:tr>
      <w:tr w14:paraId="456AFE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75890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94F2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7424D">
            <w:pPr>
              <w:jc w:val="center"/>
            </w:pPr>
            <w:r>
              <w:rPr>
                <w:rFonts w:ascii="宋体" w:hAnsi="宋体" w:eastAsia="宋体"/>
                <w:sz w:val="16"/>
              </w:rPr>
              <w:t>开展“科技之冬”等活动宣传及时率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C95F1">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497BD">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19DC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B0F10">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A9471">
            <w:pPr>
              <w:jc w:val="center"/>
            </w:pPr>
            <w:r>
              <w:rPr>
                <w:rFonts w:ascii="宋体" w:hAnsi="宋体" w:eastAsia="宋体"/>
                <w:sz w:val="16"/>
              </w:rPr>
              <w:t>15</w:t>
            </w:r>
          </w:p>
        </w:tc>
      </w:tr>
      <w:tr w14:paraId="2161BF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2F215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4697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2353E">
            <w:pPr>
              <w:jc w:val="center"/>
            </w:pPr>
            <w:r>
              <w:rPr>
                <w:rFonts w:ascii="宋体" w:hAnsi="宋体" w:eastAsia="宋体"/>
                <w:sz w:val="16"/>
              </w:rPr>
              <w:t>开展科普活动受益覆盖率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FB531">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C499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9D28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EE80F">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87906">
            <w:pPr>
              <w:jc w:val="center"/>
            </w:pPr>
            <w:r>
              <w:rPr>
                <w:rFonts w:ascii="宋体" w:hAnsi="宋体" w:eastAsia="宋体"/>
                <w:sz w:val="16"/>
              </w:rPr>
              <w:t>15</w:t>
            </w:r>
          </w:p>
        </w:tc>
      </w:tr>
    </w:tbl>
    <w:p w14:paraId="652522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1A7C10F7">
        <w:tblPrEx>
          <w:tblCellMar>
            <w:top w:w="0" w:type="dxa"/>
            <w:left w:w="108" w:type="dxa"/>
            <w:bottom w:w="0" w:type="dxa"/>
            <w:right w:w="108" w:type="dxa"/>
          </w:tblCellMar>
        </w:tblPrEx>
        <w:tc>
          <w:tcPr>
            <w:tcW w:w="8848" w:type="dxa"/>
            <w:gridSpan w:val="14"/>
            <w:vAlign w:val="center"/>
          </w:tcPr>
          <w:p w14:paraId="5BB3522F">
            <w:pPr>
              <w:jc w:val="center"/>
            </w:pPr>
            <w:r>
              <w:rPr>
                <w:rFonts w:ascii="宋体" w:hAnsi="宋体" w:eastAsia="宋体"/>
                <w:sz w:val="24"/>
              </w:rPr>
              <w:t>项目支出绩效自评表</w:t>
            </w:r>
          </w:p>
        </w:tc>
      </w:tr>
      <w:tr w14:paraId="21CA860A">
        <w:tblPrEx>
          <w:tblCellMar>
            <w:top w:w="0" w:type="dxa"/>
            <w:left w:w="108" w:type="dxa"/>
            <w:bottom w:w="0" w:type="dxa"/>
            <w:right w:w="108" w:type="dxa"/>
          </w:tblCellMar>
        </w:tblPrEx>
        <w:tc>
          <w:tcPr>
            <w:tcW w:w="8848" w:type="dxa"/>
            <w:gridSpan w:val="14"/>
            <w:vAlign w:val="center"/>
          </w:tcPr>
          <w:p w14:paraId="13290B7A">
            <w:pPr>
              <w:jc w:val="center"/>
            </w:pPr>
            <w:r>
              <w:rPr>
                <w:rFonts w:ascii="宋体" w:hAnsi="宋体" w:eastAsia="宋体"/>
                <w:sz w:val="24"/>
              </w:rPr>
              <w:t>(2024年度)</w:t>
            </w:r>
          </w:p>
        </w:tc>
      </w:tr>
      <w:tr w14:paraId="0BF756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FE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8AD23D">
            <w:pPr>
              <w:jc w:val="center"/>
            </w:pPr>
            <w:r>
              <w:rPr>
                <w:rFonts w:ascii="宋体" w:hAnsi="宋体" w:eastAsia="宋体"/>
                <w:sz w:val="16"/>
              </w:rPr>
              <w:t>2024年中国流动科技馆新疆塔城地区裕民站巡展活动资金</w:t>
            </w:r>
          </w:p>
        </w:tc>
      </w:tr>
      <w:tr w14:paraId="138932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73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4CE49">
            <w:pPr>
              <w:jc w:val="center"/>
            </w:pPr>
            <w:r>
              <w:rPr>
                <w:rFonts w:ascii="宋体" w:hAnsi="宋体" w:eastAsia="宋体"/>
                <w:sz w:val="16"/>
              </w:rPr>
              <w:t>裕民县科学技术协会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9B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B9427E">
            <w:pPr>
              <w:jc w:val="center"/>
            </w:pPr>
            <w:r>
              <w:rPr>
                <w:rFonts w:ascii="宋体" w:hAnsi="宋体" w:eastAsia="宋体"/>
                <w:sz w:val="16"/>
              </w:rPr>
              <w:t>裕民县科学技术协会</w:t>
            </w:r>
          </w:p>
        </w:tc>
      </w:tr>
      <w:tr w14:paraId="20652D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819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E72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7A9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CF0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BEB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58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7E9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D9C1">
            <w:pPr>
              <w:jc w:val="center"/>
            </w:pPr>
            <w:r>
              <w:rPr>
                <w:rFonts w:ascii="宋体" w:hAnsi="宋体" w:eastAsia="宋体"/>
                <w:sz w:val="16"/>
              </w:rPr>
              <w:t>得分</w:t>
            </w:r>
          </w:p>
        </w:tc>
      </w:tr>
      <w:tr w14:paraId="1CE3C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BDB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865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9BC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12DE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4E62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673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751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247B">
            <w:pPr>
              <w:jc w:val="center"/>
            </w:pPr>
            <w:r>
              <w:rPr>
                <w:rFonts w:ascii="宋体" w:hAnsi="宋体" w:eastAsia="宋体"/>
                <w:sz w:val="16"/>
              </w:rPr>
              <w:t>10.00</w:t>
            </w:r>
          </w:p>
        </w:tc>
      </w:tr>
      <w:tr w14:paraId="402678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FA6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B08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940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DDB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3EB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459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EE3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C01B">
            <w:pPr>
              <w:jc w:val="center"/>
            </w:pPr>
            <w:r>
              <w:rPr>
                <w:rFonts w:ascii="宋体" w:hAnsi="宋体" w:eastAsia="宋体"/>
                <w:sz w:val="16"/>
              </w:rPr>
              <w:t>—</w:t>
            </w:r>
          </w:p>
        </w:tc>
      </w:tr>
      <w:tr w14:paraId="54E14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49F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F05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EAD7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F36B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8482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583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4A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F635">
            <w:pPr>
              <w:jc w:val="center"/>
            </w:pPr>
            <w:r>
              <w:rPr>
                <w:rFonts w:ascii="宋体" w:hAnsi="宋体" w:eastAsia="宋体"/>
                <w:sz w:val="16"/>
              </w:rPr>
              <w:t>—</w:t>
            </w:r>
          </w:p>
        </w:tc>
      </w:tr>
      <w:tr w14:paraId="79AC46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03A1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0C3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6E9CF">
            <w:pPr>
              <w:jc w:val="center"/>
            </w:pPr>
            <w:r>
              <w:rPr>
                <w:rFonts w:ascii="宋体" w:hAnsi="宋体" w:eastAsia="宋体"/>
                <w:sz w:val="16"/>
              </w:rPr>
              <w:t>实际完成情况</w:t>
            </w:r>
          </w:p>
        </w:tc>
      </w:tr>
      <w:tr w14:paraId="1078F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9DC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46403">
            <w:pPr>
              <w:jc w:val="both"/>
            </w:pPr>
            <w:r>
              <w:rPr>
                <w:rFonts w:ascii="宋体" w:hAnsi="宋体" w:eastAsia="宋体"/>
                <w:sz w:val="16"/>
              </w:rPr>
              <w:t>2024年中国流动科技馆新疆塔城地区裕民站巡展活动资金，该项目资金主要用于在全县开展科普宣传活动，用于拓宽全县居民的科学知识获取渠道，通过宣传科普活动提升广大居民的科学素质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3D8C9">
            <w:pPr>
              <w:jc w:val="both"/>
            </w:pPr>
            <w:r>
              <w:rPr>
                <w:rFonts w:ascii="宋体" w:hAnsi="宋体" w:eastAsia="宋体"/>
                <w:sz w:val="16"/>
              </w:rPr>
              <w:t>2024年中国流动科技馆新疆塔城地区裕民站巡展活动资金，该项目资金主要用于在全县开展科普宣传活动，用于拓宽全县居民的科学知识获取渠道，通过宣传科普活动提升广大居民的科学素质，为我县各族群众尤其是青少年零距离接触科学、体验科技、开阔眼界、增长知识搭建了平台，通过观看、体验，真正感受到了科技所带来的魅力，科技所带来的快乐、科技所带来的改变，激发了青少年对知识的渴望，对科学的热爱，让青少年懂得去思考，去探索，同时也有效弥补了我县科普资源空间缺口，改善了科普阵地相对薄弱的现状，为更多青少年、社会公众提供了参与科普的机会，对推动我县青少年科技活动蓬勃开展，</w:t>
            </w:r>
            <w:r>
              <w:rPr>
                <w:rFonts w:hint="eastAsia" w:ascii="宋体" w:hAnsi="宋体"/>
                <w:sz w:val="16"/>
                <w:lang w:eastAsia="zh-CN"/>
              </w:rPr>
              <w:t>提升</w:t>
            </w:r>
            <w:r>
              <w:rPr>
                <w:rFonts w:ascii="宋体" w:hAnsi="宋体" w:eastAsia="宋体"/>
                <w:sz w:val="16"/>
              </w:rPr>
              <w:t>我县各族群众的科学素质起到了重要作用。</w:t>
            </w:r>
          </w:p>
        </w:tc>
      </w:tr>
      <w:tr w14:paraId="365BB4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8C1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35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9B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D1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A9C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FE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D5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F10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E9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E3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28A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BC1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90E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634E">
            <w:pPr>
              <w:jc w:val="center"/>
            </w:pPr>
            <w:r>
              <w:rPr>
                <w:rFonts w:ascii="宋体" w:hAnsi="宋体" w:eastAsia="宋体"/>
                <w:sz w:val="16"/>
              </w:rPr>
              <w:t>偏差原因分析及改进措施</w:t>
            </w:r>
          </w:p>
        </w:tc>
      </w:tr>
      <w:tr w14:paraId="6B5F15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30B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980F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B48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7C6A">
            <w:pPr>
              <w:jc w:val="center"/>
            </w:pPr>
            <w:r>
              <w:rPr>
                <w:rFonts w:ascii="宋体" w:hAnsi="宋体" w:eastAsia="宋体"/>
                <w:sz w:val="16"/>
              </w:rPr>
              <w:t>巡展</w:t>
            </w:r>
            <w:r>
              <w:rPr>
                <w:rFonts w:hint="eastAsia" w:ascii="宋体" w:hAnsi="宋体"/>
                <w:sz w:val="16"/>
                <w:lang w:eastAsia="zh-CN"/>
              </w:rPr>
              <w:t>馆</w:t>
            </w:r>
            <w:r>
              <w:rPr>
                <w:rFonts w:ascii="宋体" w:hAnsi="宋体" w:eastAsia="宋体"/>
                <w:sz w:val="16"/>
              </w:rPr>
              <w:t>科普设备维修次数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F53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C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31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6492">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4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8A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FC8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5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DBF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E794">
            <w:pPr>
              <w:jc w:val="center"/>
            </w:pPr>
          </w:p>
        </w:tc>
      </w:tr>
      <w:tr w14:paraId="79E27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84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A4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0B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F3B7">
            <w:pPr>
              <w:jc w:val="center"/>
            </w:pPr>
            <w:r>
              <w:rPr>
                <w:rFonts w:ascii="宋体" w:hAnsi="宋体" w:eastAsia="宋体"/>
                <w:sz w:val="16"/>
              </w:rPr>
              <w:t>巡展馆聘用人员数量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7A0E">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A56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EA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10D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AC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69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B1E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27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F89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BE96">
            <w:pPr>
              <w:jc w:val="center"/>
            </w:pPr>
          </w:p>
        </w:tc>
      </w:tr>
      <w:tr w14:paraId="17E9D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96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08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F8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B40F">
            <w:pPr>
              <w:jc w:val="center"/>
            </w:pPr>
            <w:r>
              <w:rPr>
                <w:rFonts w:ascii="宋体" w:hAnsi="宋体" w:eastAsia="宋体"/>
                <w:sz w:val="16"/>
              </w:rPr>
              <w:t>科普设备维修及时率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FFE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9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F8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1B6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A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E2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048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D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4250">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1F24">
            <w:pPr>
              <w:jc w:val="center"/>
            </w:pPr>
          </w:p>
        </w:tc>
      </w:tr>
      <w:tr w14:paraId="16C14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2A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3A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B9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D866">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96D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13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E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F78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6A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00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90E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4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DB6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5F34">
            <w:pPr>
              <w:jc w:val="center"/>
            </w:pPr>
          </w:p>
        </w:tc>
      </w:tr>
      <w:tr w14:paraId="43444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9DD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BAA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83EB9">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BD4B">
            <w:pPr>
              <w:jc w:val="center"/>
            </w:pPr>
            <w:r>
              <w:rPr>
                <w:rFonts w:ascii="宋体" w:hAnsi="宋体" w:eastAsia="宋体"/>
                <w:sz w:val="16"/>
              </w:rPr>
              <w:t>巡展管科普设备维修费成本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984F">
            <w:pPr>
              <w:jc w:val="center"/>
            </w:pPr>
            <w:r>
              <w:rPr>
                <w:rFonts w:ascii="宋体" w:hAnsi="宋体" w:eastAsia="宋体"/>
                <w:sz w:val="16"/>
              </w:rPr>
              <w:t>&lt;=31904元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5B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92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53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8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F2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6E70">
            <w:pPr>
              <w:jc w:val="center"/>
            </w:pPr>
            <w:r>
              <w:rPr>
                <w:rFonts w:ascii="宋体" w:hAnsi="宋体" w:eastAsia="宋体"/>
                <w:sz w:val="16"/>
              </w:rPr>
              <w:t>31904元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4F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EE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457C">
            <w:pPr>
              <w:jc w:val="center"/>
            </w:pPr>
          </w:p>
        </w:tc>
      </w:tr>
      <w:tr w14:paraId="55E700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51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43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5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69F1">
            <w:pPr>
              <w:jc w:val="center"/>
            </w:pPr>
            <w:r>
              <w:rPr>
                <w:rFonts w:ascii="宋体" w:hAnsi="宋体" w:eastAsia="宋体"/>
                <w:sz w:val="16"/>
              </w:rPr>
              <w:t>巡展管聘用人员工资成本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B8F2">
            <w:pPr>
              <w:jc w:val="center"/>
            </w:pPr>
            <w:r>
              <w:rPr>
                <w:rFonts w:ascii="宋体" w:hAnsi="宋体" w:eastAsia="宋体"/>
                <w:sz w:val="16"/>
              </w:rPr>
              <w:t>&lt;=18096元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D1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46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33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13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D2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BF48">
            <w:pPr>
              <w:jc w:val="center"/>
            </w:pPr>
            <w:r>
              <w:rPr>
                <w:rFonts w:ascii="宋体" w:hAnsi="宋体" w:eastAsia="宋体"/>
                <w:sz w:val="16"/>
              </w:rPr>
              <w:t>18096元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14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FD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11B9">
            <w:pPr>
              <w:jc w:val="center"/>
            </w:pPr>
          </w:p>
        </w:tc>
      </w:tr>
      <w:tr w14:paraId="58393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9E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57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AE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7F1C">
            <w:pPr>
              <w:jc w:val="center"/>
            </w:pPr>
            <w:r>
              <w:rPr>
                <w:rFonts w:ascii="宋体" w:hAnsi="宋体" w:eastAsia="宋体"/>
                <w:sz w:val="16"/>
              </w:rPr>
              <w:t>拓宽科学知识获取渠道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FA7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F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5D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03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F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EC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A1A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F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FA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4124">
            <w:pPr>
              <w:jc w:val="center"/>
            </w:pPr>
          </w:p>
        </w:tc>
      </w:tr>
      <w:tr w14:paraId="36D2A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63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DF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80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9CB8">
            <w:pPr>
              <w:jc w:val="center"/>
            </w:pPr>
            <w:r>
              <w:rPr>
                <w:rFonts w:ascii="宋体" w:hAnsi="宋体" w:eastAsia="宋体"/>
                <w:sz w:val="16"/>
              </w:rPr>
              <w:t>参观群众满意度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3F5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39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A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0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53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30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F91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B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A7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8AD2">
            <w:pPr>
              <w:jc w:val="center"/>
            </w:pPr>
          </w:p>
        </w:tc>
      </w:tr>
      <w:tr w14:paraId="3161126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BEAA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C800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814F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592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D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86F3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A987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C9A6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9110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1CF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6921D1"/>
        </w:tc>
      </w:tr>
    </w:tbl>
    <w:p w14:paraId="433F24DD">
      <w:r>
        <w:br w:type="page"/>
      </w:r>
    </w:p>
    <w:p w14:paraId="5903FB98">
      <w:pPr>
        <w:spacing w:line="640" w:lineRule="exact"/>
        <w:ind w:firstLine="640"/>
        <w:jc w:val="both"/>
        <w:outlineLvl w:val="2"/>
      </w:pPr>
      <w:r>
        <w:rPr>
          <w:rFonts w:ascii="黑体" w:hAnsi="黑体" w:eastAsia="黑体"/>
          <w:sz w:val="32"/>
        </w:rPr>
        <w:t>十二、其他需说明的事项</w:t>
      </w:r>
    </w:p>
    <w:p w14:paraId="024DCE99">
      <w:pPr>
        <w:spacing w:line="580" w:lineRule="exact"/>
        <w:ind w:firstLine="640"/>
        <w:jc w:val="both"/>
      </w:pPr>
      <w:r>
        <w:rPr>
          <w:rFonts w:ascii="仿宋_GB2312" w:hAnsi="仿宋_GB2312" w:eastAsia="仿宋_GB2312"/>
          <w:b w:val="0"/>
          <w:sz w:val="32"/>
        </w:rPr>
        <w:t>本单位无其他需说明的事项。</w:t>
      </w:r>
    </w:p>
    <w:p w14:paraId="062C66BD">
      <w:r>
        <w:br w:type="page"/>
      </w:r>
    </w:p>
    <w:p w14:paraId="575111D2">
      <w:pPr>
        <w:spacing w:line="240" w:lineRule="auto"/>
        <w:jc w:val="center"/>
        <w:outlineLvl w:val="1"/>
      </w:pPr>
      <w:r>
        <w:rPr>
          <w:rFonts w:ascii="黑体" w:hAnsi="黑体" w:eastAsia="黑体"/>
          <w:sz w:val="32"/>
        </w:rPr>
        <w:t>第三部分 专业名词解释</w:t>
      </w:r>
    </w:p>
    <w:p w14:paraId="2DA46A5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44C34C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AFA6D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3917DE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97E8B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D422B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B2FCA9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9BFC7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F7AA6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0CA4D1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E745D0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4393A7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08663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5DDCCC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3C41D7D">
      <w:r>
        <w:br w:type="page"/>
      </w:r>
    </w:p>
    <w:p w14:paraId="1B23D251">
      <w:pPr>
        <w:spacing w:line="240" w:lineRule="auto"/>
        <w:jc w:val="center"/>
        <w:outlineLvl w:val="1"/>
      </w:pPr>
      <w:r>
        <w:rPr>
          <w:rFonts w:ascii="黑体" w:hAnsi="黑体" w:eastAsia="黑体"/>
          <w:sz w:val="32"/>
        </w:rPr>
        <w:t>第四部分 部门决算报表（见附表）</w:t>
      </w:r>
    </w:p>
    <w:p w14:paraId="5A49367B">
      <w:pPr>
        <w:spacing w:line="240" w:lineRule="auto"/>
        <w:ind w:firstLine="640"/>
        <w:jc w:val="both"/>
      </w:pPr>
      <w:r>
        <w:rPr>
          <w:rFonts w:ascii="仿宋_GB2312" w:hAnsi="仿宋_GB2312" w:eastAsia="仿宋_GB2312"/>
          <w:b w:val="0"/>
          <w:sz w:val="32"/>
        </w:rPr>
        <w:t>一、《收入支出决算总表》</w:t>
      </w:r>
    </w:p>
    <w:p w14:paraId="014E560E">
      <w:pPr>
        <w:spacing w:line="240" w:lineRule="auto"/>
        <w:ind w:firstLine="640"/>
        <w:jc w:val="both"/>
      </w:pPr>
      <w:r>
        <w:rPr>
          <w:rFonts w:ascii="仿宋_GB2312" w:hAnsi="仿宋_GB2312" w:eastAsia="仿宋_GB2312"/>
          <w:b w:val="0"/>
          <w:sz w:val="32"/>
        </w:rPr>
        <w:t>二、《收入决算表》</w:t>
      </w:r>
    </w:p>
    <w:p w14:paraId="181422D1">
      <w:pPr>
        <w:spacing w:line="240" w:lineRule="auto"/>
        <w:ind w:firstLine="640"/>
        <w:jc w:val="both"/>
      </w:pPr>
      <w:r>
        <w:rPr>
          <w:rFonts w:ascii="仿宋_GB2312" w:hAnsi="仿宋_GB2312" w:eastAsia="仿宋_GB2312"/>
          <w:b w:val="0"/>
          <w:sz w:val="32"/>
        </w:rPr>
        <w:t>三、《支出决算表》</w:t>
      </w:r>
    </w:p>
    <w:p w14:paraId="7D88999B">
      <w:pPr>
        <w:spacing w:line="240" w:lineRule="auto"/>
        <w:ind w:firstLine="640"/>
        <w:jc w:val="both"/>
      </w:pPr>
      <w:r>
        <w:rPr>
          <w:rFonts w:ascii="仿宋_GB2312" w:hAnsi="仿宋_GB2312" w:eastAsia="仿宋_GB2312"/>
          <w:b w:val="0"/>
          <w:sz w:val="32"/>
        </w:rPr>
        <w:t>四、《财政拨款收入支出决算总表》</w:t>
      </w:r>
    </w:p>
    <w:p w14:paraId="6E4A04F4">
      <w:pPr>
        <w:spacing w:line="240" w:lineRule="auto"/>
        <w:ind w:firstLine="640"/>
        <w:jc w:val="both"/>
      </w:pPr>
      <w:r>
        <w:rPr>
          <w:rFonts w:ascii="仿宋_GB2312" w:hAnsi="仿宋_GB2312" w:eastAsia="仿宋_GB2312"/>
          <w:b w:val="0"/>
          <w:sz w:val="32"/>
        </w:rPr>
        <w:t>五、《一般公共预算财政拨款支出决算表》</w:t>
      </w:r>
    </w:p>
    <w:p w14:paraId="602C201A">
      <w:pPr>
        <w:spacing w:line="240" w:lineRule="auto"/>
        <w:ind w:firstLine="640"/>
        <w:jc w:val="both"/>
      </w:pPr>
      <w:r>
        <w:rPr>
          <w:rFonts w:ascii="仿宋_GB2312" w:hAnsi="仿宋_GB2312" w:eastAsia="仿宋_GB2312"/>
          <w:b w:val="0"/>
          <w:sz w:val="32"/>
        </w:rPr>
        <w:t>六、《一般公共预算财政拨款基本支出决算表》</w:t>
      </w:r>
    </w:p>
    <w:p w14:paraId="720557CF">
      <w:pPr>
        <w:spacing w:line="240" w:lineRule="auto"/>
        <w:ind w:firstLine="640"/>
        <w:jc w:val="both"/>
      </w:pPr>
      <w:r>
        <w:rPr>
          <w:rFonts w:ascii="仿宋_GB2312" w:hAnsi="仿宋_GB2312" w:eastAsia="仿宋_GB2312"/>
          <w:b w:val="0"/>
          <w:sz w:val="32"/>
        </w:rPr>
        <w:t>七、《政府性基金预算财政拨款收入支出决算表》</w:t>
      </w:r>
    </w:p>
    <w:p w14:paraId="51F53940">
      <w:pPr>
        <w:spacing w:line="240" w:lineRule="auto"/>
        <w:ind w:firstLine="640"/>
        <w:jc w:val="both"/>
      </w:pPr>
      <w:r>
        <w:rPr>
          <w:rFonts w:ascii="仿宋_GB2312" w:hAnsi="仿宋_GB2312" w:eastAsia="仿宋_GB2312"/>
          <w:b w:val="0"/>
          <w:sz w:val="32"/>
        </w:rPr>
        <w:t>八、《国有资本经营预算财政拨款收入支出决算表》</w:t>
      </w:r>
    </w:p>
    <w:p w14:paraId="78D81F9A">
      <w:pPr>
        <w:spacing w:line="240" w:lineRule="auto"/>
        <w:ind w:firstLine="640"/>
        <w:jc w:val="both"/>
      </w:pPr>
      <w:r>
        <w:rPr>
          <w:rFonts w:ascii="仿宋_GB2312" w:hAnsi="仿宋_GB2312" w:eastAsia="仿宋_GB2312"/>
          <w:b w:val="0"/>
          <w:sz w:val="32"/>
        </w:rPr>
        <w:t>九、《财政拨款“三公”经费支出决算表》</w:t>
      </w:r>
    </w:p>
    <w:p w14:paraId="37DEC989">
      <w:pPr>
        <w:spacing w:line="240" w:lineRule="auto"/>
        <w:ind w:firstLine="640"/>
        <w:jc w:val="both"/>
      </w:pPr>
    </w:p>
    <w:p w14:paraId="141FDD47">
      <w:pPr>
        <w:spacing w:line="240" w:lineRule="auto"/>
        <w:ind w:firstLine="640"/>
        <w:jc w:val="both"/>
      </w:pPr>
    </w:p>
    <w:p w14:paraId="1732F50F">
      <w:pPr>
        <w:spacing w:line="240" w:lineRule="auto"/>
        <w:ind w:firstLine="640"/>
        <w:jc w:val="both"/>
      </w:pPr>
    </w:p>
    <w:p w14:paraId="00D00372">
      <w:pPr>
        <w:spacing w:line="240" w:lineRule="auto"/>
        <w:ind w:firstLine="640"/>
        <w:jc w:val="both"/>
      </w:pPr>
    </w:p>
    <w:p w14:paraId="53CEDFD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BEC948-DB57-4F4C-9732-3D50AEE03F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71099CC-D6F1-421E-89D2-1264BB2981E2}"/>
  </w:font>
  <w:font w:name="仿宋_GB2312">
    <w:panose1 w:val="02010609030101010101"/>
    <w:charset w:val="86"/>
    <w:family w:val="modern"/>
    <w:pitch w:val="default"/>
    <w:sig w:usb0="00000001" w:usb1="080E0000" w:usb2="00000000" w:usb3="00000000" w:csb0="00040000" w:csb1="00000000"/>
    <w:embedRegular r:id="rId3" w:fontKey="{6C5B48A8-90A3-48C7-9D88-1ACF5ABEF576}"/>
  </w:font>
  <w:font w:name="楷体_GB2312">
    <w:panose1 w:val="02010609030101010101"/>
    <w:charset w:val="86"/>
    <w:family w:val="auto"/>
    <w:pitch w:val="default"/>
    <w:sig w:usb0="00000001" w:usb1="080E0000" w:usb2="00000000" w:usb3="00000000" w:csb0="00040000" w:csb1="00000000"/>
    <w:embedRegular r:id="rId4" w:fontKey="{CD15A1E1-6865-47D5-AD9D-E6F1804008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006EB6"/>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7E7083"/>
    <w:rsid w:val="40834692"/>
    <w:rsid w:val="423A32B2"/>
    <w:rsid w:val="423C0CB4"/>
    <w:rsid w:val="427B5743"/>
    <w:rsid w:val="42E64542"/>
    <w:rsid w:val="464B7E04"/>
    <w:rsid w:val="464F7E64"/>
    <w:rsid w:val="46901EEE"/>
    <w:rsid w:val="469C74D2"/>
    <w:rsid w:val="47445515"/>
    <w:rsid w:val="4B4C0111"/>
    <w:rsid w:val="4BB23021"/>
    <w:rsid w:val="4D81453E"/>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df196a02-475d-4a25-9542-f6cb0c172b2b</errorID>
      <errorWord>,</errorWord>
      <group>L1_Format</group>
      <groupName>格式问题</groupName>
      <ability>L2_HalfPunc</ability>
      <abilityName>全半角检查</abilityName>
      <candidateList>
        <item>，</item>
      </candidateList>
      <explain>文本全半角错误。</explain>
      <paraID>103BF1E2</paraID>
      <start>56</start>
      <end>57</end>
      <status>unmodified</status>
      <modifiedWord/>
      <trackRevisions>false</trackRevisions>
    </reviewItem>
    <reviewItem>
      <errorID>cc3b30c1-b159-4269-8753-3e83063e40c0</errorID>
      <errorWord>,</errorWord>
      <group>L1_Format</group>
      <groupName>格式问题</groupName>
      <ability>L2_HalfPunc</ability>
      <abilityName>全半角检查</abilityName>
      <candidateList>
        <item>，</item>
      </candidateList>
      <explain>文本全半角错误。</explain>
      <paraID> EC856C7</paraID>
      <start>109</start>
      <end>110</end>
      <status>unmodified</status>
      <modifiedWord/>
      <trackRevisions>false</trackRevisions>
    </reviewItem>
    <reviewItem>
      <errorID>a36c4b15-5890-4228-9840-8a509298be5c</errorID>
      <errorWord>,</errorWord>
      <group>L1_Format</group>
      <groupName>格式问题</groupName>
      <ability>L2_HalfPunc</ability>
      <abilityName>全半角检查</abilityName>
      <candidateList>
        <item>，</item>
      </candidateList>
      <explain>文本全半角错误。</explain>
      <paraID>7CBFD416</paraID>
      <start>18</start>
      <end>19</end>
      <status>unmodified</status>
      <modifiedWord/>
      <trackRevisions>false</trackRevisions>
    </reviewItem>
    <reviewItem>
      <errorID>248d8126-74ab-4798-960e-5aef35519cca</errorID>
      <errorWord>,</errorWord>
      <group>L1_Format</group>
      <groupName>格式问题</groupName>
      <ability>L2_HalfPunc</ability>
      <abilityName>全半角检查</abilityName>
      <candidateList>
        <item>，</item>
      </candidateList>
      <explain>文本全半角错误。</explain>
      <paraID>2F22F18D</paraID>
      <start>21</start>
      <end>22</end>
      <status>unmodified</status>
      <modifiedWord/>
      <trackRevisions>false</trackRevisions>
    </reviewItem>
    <reviewItem>
      <errorID>993ee451-2e03-428f-bb0a-4ae2391f649c</errorID>
      <errorWord>,</errorWord>
      <group>L1_Format</group>
      <groupName>格式问题</groupName>
      <ability>L2_HalfPunc</ability>
      <abilityName>全半角检查</abilityName>
      <candidateList>
        <item>，</item>
      </candidateList>
      <explain>文本全半角错误。</explain>
      <paraID>3BCC5473</paraID>
      <start>17</start>
      <end>18</end>
      <status>unmodified</status>
      <modifiedWord/>
      <trackRevisions>false</trackRevisions>
    </reviewItem>
    <reviewItem>
      <errorID>d6928602-9200-4613-a165-9addcb95f669</errorID>
      <errorWord>,</errorWord>
      <group>L1_Format</group>
      <groupName>格式问题</groupName>
      <ability>L2_HalfPunc</ability>
      <abilityName>全半角检查</abilityName>
      <candidateList>
        <item>，</item>
      </candidateList>
      <explain>文本全半角错误。</explain>
      <paraID>30B8DFA9</paraID>
      <start>17</start>
      <end>18</end>
      <status>unmodified</status>
      <modifiedWord/>
      <trackRevisions>false</trackRevisions>
    </reviewItem>
    <reviewItem>
      <errorID>3512fc3a-9da7-40d3-a699-0bcade36ea39</errorID>
      <errorWord>:</errorWord>
      <group>L1_Format</group>
      <groupName>格式问题</groupName>
      <ability>L2_HalfPunc</ability>
      <abilityName>全半角检查</abilityName>
      <candidateList>
        <item>：</item>
      </candidateList>
      <explain>文本全半角错误。</explain>
      <paraID>4F7A8955</paraID>
      <start>27</start>
      <end>28</end>
      <status>unmodified</status>
      <modifiedWord/>
      <trackRevisions>false</trackRevisions>
    </reviewItem>
    <reviewItem>
      <errorID>83b6b254-5d7e-4740-afa3-91614d8274c7</errorID>
      <errorWord>,</errorWord>
      <group>L1_Format</group>
      <groupName>格式问题</groupName>
      <ability>L2_HalfPunc</ability>
      <abilityName>全半角检查</abilityName>
      <candidateList>
        <item>，</item>
      </candidateList>
      <explain>文本全半角错误。</explain>
      <paraID>4F7A8955</paraID>
      <start>63</start>
      <end>64</end>
      <status>unmodified</status>
      <modifiedWord/>
      <trackRevisions>false</trackRevisions>
    </reviewItem>
    <reviewItem>
      <errorID>12f5a7c6-f16f-43bf-95de-c2153aa40211</errorID>
      <errorWord>:</errorWord>
      <group>L1_Format</group>
      <groupName>格式问题</groupName>
      <ability>L2_HalfPunc</ability>
      <abilityName>全半角检查</abilityName>
      <candidateList>
        <item>：</item>
      </candidateList>
      <explain>文本全半角错误。</explain>
      <paraID>3B548174</paraID>
      <start>37</start>
      <end>38</end>
      <status>unmodified</status>
      <modifiedWord/>
      <trackRevisions>false</trackRevisions>
    </reviewItem>
    <reviewItem>
      <errorID>6a32715f-6064-468d-b967-dfa4723b4048</errorID>
      <errorWord>,</errorWord>
      <group>L1_Format</group>
      <groupName>格式问题</groupName>
      <ability>L2_HalfPunc</ability>
      <abilityName>全半角检查</abilityName>
      <candidateList>
        <item>，</item>
      </candidateList>
      <explain>文本全半角错误。</explain>
      <paraID>3B548174</paraID>
      <start>72</start>
      <end>73</end>
      <status>unmodified</status>
      <modifiedWord/>
      <trackRevisions>false</trackRevisions>
    </reviewItem>
    <reviewItem>
      <errorID>e9922853-e066-48c2-9dbc-f7ababba24fb</errorID>
      <errorWord>:</errorWord>
      <group>L1_Format</group>
      <groupName>格式问题</groupName>
      <ability>L2_HalfPunc</ability>
      <abilityName>全半角检查</abilityName>
      <candidateList>
        <item>：</item>
      </candidateList>
      <explain>文本全半角错误。</explain>
      <paraID>59D9F975</paraID>
      <start>46</start>
      <end>47</end>
      <status>unmodified</status>
      <modifiedWord/>
      <trackRevisions>false</trackRevisions>
    </reviewItem>
    <reviewItem>
      <errorID>4d17831d-52eb-4a23-a9a1-58e60e7e9e5b</errorID>
      <errorWord>,</errorWord>
      <group>L1_Format</group>
      <groupName>格式问题</groupName>
      <ability>L2_HalfPunc</ability>
      <abilityName>全半角检查</abilityName>
      <candidateList>
        <item>，</item>
      </candidateList>
      <explain>文本全半角错误。</explain>
      <paraID>59D9F975</paraID>
      <start>82</start>
      <end>83</end>
      <status>unmodified</status>
      <modifiedWord/>
      <trackRevisions>false</trackRevisions>
    </reviewItem>
    <reviewItem>
      <errorID>07ee3b41-6ef6-4da7-bb96-fa4277549470</errorID>
      <errorWord>:</errorWord>
      <group>L1_Format</group>
      <groupName>格式问题</groupName>
      <ability>L2_HalfPunc</ability>
      <abilityName>全半角检查</abilityName>
      <candidateList>
        <item>：</item>
      </candidateList>
      <explain>文本全半角错误。</explain>
      <paraID> 4E92AC3</paraID>
      <start>44</start>
      <end>45</end>
      <status>unmodified</status>
      <modifiedWord/>
      <trackRevisions>false</trackRevisions>
    </reviewItem>
    <reviewItem>
      <errorID>3c88ba1d-bd16-43db-8f52-01ca67efab0a</errorID>
      <errorWord>,</errorWord>
      <group>L1_Format</group>
      <groupName>格式问题</groupName>
      <ability>L2_HalfPunc</ability>
      <abilityName>全半角检查</abilityName>
      <candidateList>
        <item>，</item>
      </candidateList>
      <explain>文本全半角错误。</explain>
      <paraID> 4E92AC3</paraID>
      <start>81</start>
      <end>82</end>
      <status>unmodified</status>
      <modifiedWord/>
      <trackRevisions>false</trackRevisions>
    </reviewItem>
    <reviewItem>
      <errorID>616d4a55-9184-495d-b426-8643b2d5a3a5</errorID>
      <errorWord>:</errorWord>
      <group>L1_Format</group>
      <groupName>格式问题</groupName>
      <ability>L2_HalfPunc</ability>
      <abilityName>全半角检查</abilityName>
      <candidateList>
        <item>：</item>
      </candidateList>
      <explain>文本全半角错误。</explain>
      <paraID>66AE0ABA</paraID>
      <start>31</start>
      <end>32</end>
      <status>unmodified</status>
      <modifiedWord/>
      <trackRevisions>false</trackRevisions>
    </reviewItem>
    <reviewItem>
      <errorID>ec2fb245-6332-4145-83f5-1816eee75aee</errorID>
      <errorWord>,</errorWord>
      <group>L1_Format</group>
      <groupName>格式问题</groupName>
      <ability>L2_HalfPunc</ability>
      <abilityName>全半角检查</abilityName>
      <candidateList>
        <item>，</item>
      </candidateList>
      <explain>文本全半角错误。</explain>
      <paraID>66AE0ABA</paraID>
      <start>66</start>
      <end>67</end>
      <status>unmodified</status>
      <modifiedWord/>
      <trackRevisions>false</trackRevisions>
    </reviewItem>
    <reviewItem>
      <errorID>751cd6e8-7c00-41b7-83d6-4f5c3b7ce955</errorID>
      <errorWord>:</errorWord>
      <group>L1_Format</group>
      <groupName>格式问题</groupName>
      <ability>L2_HalfPunc</ability>
      <abilityName>全半角检查</abilityName>
      <candidateList>
        <item>：</item>
      </candidateList>
      <explain>文本全半角错误。</explain>
      <paraID>69120A7F</paraID>
      <start>32</start>
      <end>33</end>
      <status>unmodified</status>
      <modifiedWord/>
      <trackRevisions>false</trackRevisions>
    </reviewItem>
    <reviewItem>
      <errorID>5ea14a45-cfaa-46dd-ac62-e726b8b256f0</errorID>
      <errorWord>,</errorWord>
      <group>L1_Format</group>
      <groupName>格式问题</groupName>
      <ability>L2_HalfPunc</ability>
      <abilityName>全半角检查</abilityName>
      <candidateList>
        <item>，</item>
      </candidateList>
      <explain>文本全半角错误。</explain>
      <paraID>69120A7F</paraID>
      <start>67</start>
      <end>68</end>
      <status>unmodified</status>
      <modifiedWord/>
      <trackRevisions>false</trackRevisions>
    </reviewItem>
    <reviewItem>
      <errorID>19ec0f3b-f6d3-4fe9-bedb-ee48552d46f2</errorID>
      <errorWord>:</errorWord>
      <group>L1_Format</group>
      <groupName>格式问题</groupName>
      <ability>L2_HalfPunc</ability>
      <abilityName>全半角检查</abilityName>
      <candidateList>
        <item>：</item>
      </candidateList>
      <explain>文本全半角错误。</explain>
      <paraID>789D10DB</paraID>
      <start>28</start>
      <end>29</end>
      <status>unmodified</status>
      <modifiedWord/>
      <trackRevisions>false</trackRevisions>
    </reviewItem>
    <reviewItem>
      <errorID>cf618fad-2e17-4da7-af71-9aa196d5d601</errorID>
      <errorWord>,</errorWord>
      <group>L1_Format</group>
      <groupName>格式问题</groupName>
      <ability>L2_HalfPunc</ability>
      <abilityName>全半角检查</abilityName>
      <candidateList>
        <item>，</item>
      </candidateList>
      <explain>文本全半角错误。</explain>
      <paraID>789D10DB</paraID>
      <start>64</start>
      <end>65</end>
      <status>unmodified</status>
      <modifiedWord/>
      <trackRevisions>false</trackRevisions>
    </reviewItem>
    <reviewItem>
      <errorID>201be053-fcb0-49a7-87ca-97eacef1a505</errorID>
      <errorWord>:</errorWord>
      <group>L1_Format</group>
      <groupName>格式问题</groupName>
      <ability>L2_HalfPunc</ability>
      <abilityName>全半角检查</abilityName>
      <candidateList>
        <item>：</item>
      </candidateList>
      <explain>文本全半角错误。</explain>
      <paraID>613231A3</paraID>
      <start>2</start>
      <end>3</end>
      <status>unmodified</status>
      <modifiedWord/>
      <trackRevisions>false</trackRevisions>
    </reviewItem>
    <reviewItem>
      <errorID>70f58f53-20e7-441e-917a-c2c87bd7f0f4</errorID>
      <errorWord>“十四五”规划</errorWord>
      <group>L1_Other</group>
      <groupName>其他问题</groupName>
      <ability>L2_UserTypo</ability>
      <abilityName>自定义错误</abilityName>
      <candidateList>
        <item>“十四五”发展规划</item>
      </candidateList>
      <explain>来自自定义错词库。</explain>
      <paraID>25B6E392</paraID>
      <start>18</start>
      <end>27</end>
      <status>modified</status>
      <modifiedWord>“十四五”发展规划</modifiedWord>
      <trackRevisions>false</trackRevisions>
    </reviewItem>
    <reviewItem>
      <errorID>e28b0b6e-fd65-493a-a673-e1356d479016</errorID>
      <errorWord>“十四五”规划</errorWord>
      <group>L1_Other</group>
      <groupName>其他问题</groupName>
      <ability>L2_UserTypo</ability>
      <abilityName>自定义错误</abilityName>
      <candidateList>
        <item>“十四五”发展规划</item>
      </candidateList>
      <explain>来自自定义错词库。</explain>
      <paraID>6E70C777</paraID>
      <start>19</start>
      <end>28</end>
      <status>modified</status>
      <modifiedWord>“十四五”发展规划</modifiedWord>
      <trackRevisions>false</trackRevisions>
    </reviewItem>
    <reviewItem>
      <errorID>baa6d66f-7161-442b-8c60-3db5edff4f68</errorID>
      <errorWord>,</errorWord>
      <group>L1_Format</group>
      <groupName>格式问题</groupName>
      <ability>L2_HalfPunc</ability>
      <abilityName>全半角检查</abilityName>
      <candidateList>
        <item>，</item>
      </candidateList>
      <explain>文本全半角错误。</explain>
      <paraID>6E70C777</paraID>
      <start>154</start>
      <end>155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74fad7-696b-457a-9da9-66c58d4f05a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5138</Words>
  <Characters>5845</Characters>
  <Lines>0</Lines>
  <Paragraphs>0</Paragraphs>
  <TotalTime>3</TotalTime>
  <ScaleCrop>false</ScaleCrop>
  <LinksUpToDate>false</LinksUpToDate>
  <CharactersWithSpaces>5853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2025-11-07T08:38:57Z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