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裕民县社会福利院2024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B1E96AB">
      <w:r>
        <w:br w:type="page"/>
      </w:r>
    </w:p>
    <w:p w14:paraId="0F6562E9">
      <w:pPr>
        <w:spacing w:line="640" w:lineRule="exact"/>
        <w:jc w:val="center"/>
        <w:outlineLvl w:val="1"/>
      </w:pPr>
      <w:r>
        <w:rPr>
          <w:rFonts w:ascii="黑体" w:hAnsi="黑体" w:eastAsia="黑体"/>
          <w:sz w:val="32"/>
        </w:rPr>
        <w:t>第一部分 单位概况</w:t>
      </w:r>
    </w:p>
    <w:p w14:paraId="3BB111BC">
      <w:pPr>
        <w:spacing w:line="640" w:lineRule="exact"/>
        <w:ind w:firstLine="640"/>
        <w:jc w:val="both"/>
        <w:outlineLvl w:val="2"/>
      </w:pPr>
      <w:r>
        <w:rPr>
          <w:rFonts w:ascii="黑体" w:hAnsi="黑体" w:eastAsia="黑体"/>
          <w:sz w:val="32"/>
        </w:rPr>
        <w:t>一、主要职能</w:t>
      </w:r>
    </w:p>
    <w:p w14:paraId="0FFB7869">
      <w:pPr>
        <w:spacing w:line="580" w:lineRule="exact"/>
        <w:ind w:firstLine="640"/>
        <w:jc w:val="both"/>
      </w:pPr>
      <w:r>
        <w:rPr>
          <w:rFonts w:ascii="仿宋_GB2312" w:hAnsi="仿宋_GB2312" w:eastAsia="仿宋_GB2312"/>
          <w:sz w:val="32"/>
        </w:rPr>
        <w:t>（1）在县委、县政府的领导和上级民政部门的指导下建立院务管理委员会，开展日常的管理服务工作，并接受相关部门和社会各界的监督管理。</w:t>
      </w:r>
    </w:p>
    <w:p w14:paraId="054FBB89">
      <w:pPr>
        <w:spacing w:line="580" w:lineRule="exact"/>
        <w:ind w:firstLine="640"/>
        <w:jc w:val="both"/>
      </w:pPr>
      <w:r>
        <w:rPr>
          <w:rFonts w:ascii="仿宋_GB2312" w:hAnsi="仿宋_GB2312" w:eastAsia="仿宋_GB2312"/>
          <w:sz w:val="32"/>
        </w:rPr>
        <w:t>（2）贯彻落实党和政府对敬老院有关方针、政策，坚持民主管理、文明办院，管理服务于供(代)养入住的人员。</w:t>
      </w:r>
    </w:p>
    <w:p w14:paraId="7249DA22">
      <w:pPr>
        <w:spacing w:line="580" w:lineRule="exact"/>
        <w:ind w:firstLine="640"/>
        <w:jc w:val="both"/>
      </w:pPr>
      <w:r>
        <w:rPr>
          <w:rFonts w:ascii="仿宋_GB2312" w:hAnsi="仿宋_GB2312" w:eastAsia="仿宋_GB2312"/>
          <w:sz w:val="32"/>
        </w:rPr>
        <w:t>（3）</w:t>
      </w:r>
      <w:r>
        <w:rPr>
          <w:rFonts w:hint="eastAsia" w:ascii="仿宋_GB2312" w:hAnsi="仿宋_GB2312" w:eastAsia="仿宋_GB2312"/>
          <w:sz w:val="32"/>
          <w:lang w:eastAsia="zh-CN"/>
        </w:rPr>
        <w:t>制定</w:t>
      </w:r>
      <w:r>
        <w:rPr>
          <w:rFonts w:ascii="仿宋_GB2312" w:hAnsi="仿宋_GB2312" w:eastAsia="仿宋_GB2312"/>
          <w:sz w:val="32"/>
        </w:rPr>
        <w:t>本院管理服务、年度发展规划并做好实施工作。</w:t>
      </w:r>
    </w:p>
    <w:p w14:paraId="30D471BD">
      <w:pPr>
        <w:spacing w:line="580" w:lineRule="exact"/>
        <w:ind w:firstLine="640"/>
        <w:jc w:val="both"/>
      </w:pPr>
      <w:r>
        <w:rPr>
          <w:rFonts w:ascii="仿宋_GB2312" w:hAnsi="仿宋_GB2312" w:eastAsia="仿宋_GB2312"/>
          <w:sz w:val="32"/>
        </w:rPr>
        <w:t>（4）协助县委、县政府做好五保对象的供养工作，为供养入住的人员安排好吃、穿、住等方面的基本生活。</w:t>
      </w:r>
    </w:p>
    <w:p w14:paraId="63793EB0">
      <w:pPr>
        <w:spacing w:line="580" w:lineRule="exact"/>
        <w:ind w:firstLine="640"/>
        <w:jc w:val="both"/>
      </w:pPr>
      <w:r>
        <w:rPr>
          <w:rFonts w:ascii="仿宋_GB2312" w:hAnsi="仿宋_GB2312" w:eastAsia="仿宋_GB2312"/>
          <w:sz w:val="32"/>
        </w:rPr>
        <w:t>（5）为入住人员提供生活起居等方面的照料，组织开展有</w:t>
      </w:r>
      <w:r>
        <w:rPr>
          <w:rFonts w:ascii="仿宋_GB2312" w:hAnsi="仿宋_GB2312" w:eastAsia="仿宋_GB2312"/>
          <w:w w:val="97"/>
          <w:sz w:val="32"/>
        </w:rPr>
        <w:t>益于身心健康的文化娱乐、康复保健等活动和力所能及的公益劳动。</w:t>
      </w:r>
    </w:p>
    <w:p w14:paraId="13191F76">
      <w:pPr>
        <w:spacing w:line="580" w:lineRule="exact"/>
        <w:ind w:firstLine="640"/>
        <w:jc w:val="both"/>
      </w:pPr>
      <w:r>
        <w:rPr>
          <w:rFonts w:ascii="仿宋_GB2312" w:hAnsi="仿宋_GB2312" w:eastAsia="仿宋_GB2312"/>
          <w:sz w:val="32"/>
        </w:rPr>
        <w:t>（6）建立健全</w:t>
      </w:r>
      <w:r>
        <w:rPr>
          <w:rFonts w:hint="eastAsia" w:ascii="仿宋_GB2312" w:hAnsi="仿宋_GB2312" w:eastAsia="仿宋_GB2312"/>
          <w:sz w:val="32"/>
          <w:lang w:eastAsia="zh-CN"/>
        </w:rPr>
        <w:t>院内</w:t>
      </w:r>
      <w:r>
        <w:rPr>
          <w:rFonts w:ascii="仿宋_GB2312" w:hAnsi="仿宋_GB2312" w:eastAsia="仿宋_GB2312"/>
          <w:sz w:val="32"/>
        </w:rPr>
        <w:t>各项管理制度，加强对工作人员学习培训，做好</w:t>
      </w:r>
      <w:r>
        <w:rPr>
          <w:rFonts w:hint="eastAsia" w:ascii="仿宋_GB2312" w:hAnsi="仿宋_GB2312" w:eastAsia="仿宋_GB2312"/>
          <w:sz w:val="32"/>
          <w:lang w:eastAsia="zh-CN"/>
        </w:rPr>
        <w:t>院内</w:t>
      </w:r>
      <w:r>
        <w:rPr>
          <w:rFonts w:ascii="仿宋_GB2312" w:hAnsi="仿宋_GB2312" w:eastAsia="仿宋_GB2312"/>
          <w:sz w:val="32"/>
        </w:rPr>
        <w:t>资料及档案管理工作；落实院内防火安全责任制。</w:t>
      </w:r>
    </w:p>
    <w:p w14:paraId="3E456976">
      <w:pPr>
        <w:spacing w:line="580" w:lineRule="exact"/>
        <w:ind w:firstLine="640"/>
        <w:jc w:val="both"/>
      </w:pPr>
      <w:r>
        <w:rPr>
          <w:rFonts w:ascii="仿宋_GB2312" w:hAnsi="仿宋_GB2312" w:eastAsia="仿宋_GB2312"/>
          <w:sz w:val="32"/>
        </w:rPr>
        <w:t>（7）收养周边城镇、乡镇无人抚养的孤残儿童，为入住的孤儿安排好吃、穿、住、就读等方面的基本生活。</w:t>
      </w:r>
    </w:p>
    <w:p w14:paraId="5E838B6D">
      <w:pPr>
        <w:spacing w:line="640" w:lineRule="exact"/>
        <w:ind w:firstLine="640"/>
        <w:jc w:val="both"/>
        <w:outlineLvl w:val="2"/>
      </w:pPr>
      <w:r>
        <w:rPr>
          <w:rFonts w:ascii="黑体" w:hAnsi="黑体" w:eastAsia="黑体"/>
          <w:sz w:val="32"/>
        </w:rPr>
        <w:t>二、机构设置及人员情况</w:t>
      </w:r>
    </w:p>
    <w:p w14:paraId="4FFC4823">
      <w:pPr>
        <w:spacing w:line="580" w:lineRule="exact"/>
        <w:ind w:firstLine="640"/>
        <w:jc w:val="both"/>
      </w:pPr>
      <w:r>
        <w:rPr>
          <w:rFonts w:ascii="仿宋_GB2312" w:hAnsi="仿宋_GB2312" w:eastAsia="仿宋_GB2312"/>
          <w:sz w:val="32"/>
        </w:rPr>
        <w:t>裕民县社会福利院2024年度，实有人数11人，其中：在职人员8人，减少2人；离休人员0人，增加0人；退休人员3人,增加0人。</w:t>
      </w:r>
    </w:p>
    <w:p w14:paraId="24B3B704">
      <w:pPr>
        <w:spacing w:line="580" w:lineRule="exact"/>
        <w:ind w:firstLine="640"/>
        <w:jc w:val="both"/>
      </w:pPr>
      <w:r>
        <w:rPr>
          <w:rFonts w:ascii="仿宋_GB2312" w:hAnsi="仿宋_GB2312" w:eastAsia="仿宋_GB2312"/>
          <w:sz w:val="32"/>
        </w:rPr>
        <w:t>裕民县社会福利院无下属预算单位，下设2个科室，分别是：办公室、财务室。</w:t>
      </w:r>
    </w:p>
    <w:p w14:paraId="6C7C02D1">
      <w:r>
        <w:br w:type="page"/>
      </w:r>
    </w:p>
    <w:p w14:paraId="5E7D35D7">
      <w:pPr>
        <w:spacing w:line="240" w:lineRule="auto"/>
        <w:jc w:val="center"/>
        <w:outlineLvl w:val="1"/>
      </w:pPr>
      <w:r>
        <w:rPr>
          <w:rFonts w:ascii="黑体" w:hAnsi="黑体" w:eastAsia="黑体"/>
          <w:sz w:val="32"/>
        </w:rPr>
        <w:t>第二部分 部门决算情况说明</w:t>
      </w:r>
    </w:p>
    <w:p w14:paraId="758AD1C6">
      <w:pPr>
        <w:spacing w:line="640" w:lineRule="exact"/>
        <w:ind w:firstLine="640"/>
        <w:jc w:val="both"/>
        <w:outlineLvl w:val="2"/>
      </w:pPr>
      <w:r>
        <w:rPr>
          <w:rFonts w:ascii="黑体" w:hAnsi="黑体" w:eastAsia="黑体"/>
          <w:sz w:val="32"/>
        </w:rPr>
        <w:t>一、收入支出决算总体情况说明</w:t>
      </w:r>
    </w:p>
    <w:p w14:paraId="404A42A2">
      <w:pPr>
        <w:spacing w:line="580" w:lineRule="exact"/>
        <w:ind w:firstLine="640"/>
        <w:jc w:val="both"/>
      </w:pPr>
      <w:r>
        <w:rPr>
          <w:rFonts w:ascii="仿宋_GB2312" w:hAnsi="仿宋_GB2312" w:eastAsia="仿宋_GB2312"/>
          <w:b/>
          <w:sz w:val="32"/>
        </w:rPr>
        <w:t>2024年度收入总计339.54万元，</w:t>
      </w:r>
      <w:r>
        <w:rPr>
          <w:rFonts w:ascii="仿宋_GB2312" w:hAnsi="仿宋_GB2312" w:eastAsia="仿宋_GB2312"/>
          <w:b w:val="0"/>
          <w:sz w:val="32"/>
        </w:rPr>
        <w:t>其中：本年收入合计312.44万元，使用非财政拨款结余（含专用结余）0.00万元，年初结转和结余27.09万元。</w:t>
      </w:r>
    </w:p>
    <w:p w14:paraId="67A78BF5">
      <w:pPr>
        <w:spacing w:line="580" w:lineRule="exact"/>
        <w:ind w:firstLine="640"/>
        <w:jc w:val="both"/>
      </w:pPr>
      <w:r>
        <w:rPr>
          <w:rFonts w:ascii="仿宋_GB2312" w:hAnsi="仿宋_GB2312" w:eastAsia="仿宋_GB2312"/>
          <w:b/>
          <w:sz w:val="32"/>
        </w:rPr>
        <w:t>2024年度支出总计339.54万元，</w:t>
      </w:r>
      <w:r>
        <w:rPr>
          <w:rFonts w:ascii="仿宋_GB2312" w:hAnsi="仿宋_GB2312" w:eastAsia="仿宋_GB2312"/>
          <w:b w:val="0"/>
          <w:sz w:val="32"/>
        </w:rPr>
        <w:t>其中：本年支出合计314.63万元，结余分配0.00万元，年末结转和结余24.91万元。</w:t>
      </w:r>
    </w:p>
    <w:p w14:paraId="5C131769">
      <w:pPr>
        <w:spacing w:line="580" w:lineRule="exact"/>
        <w:ind w:firstLine="640"/>
        <w:jc w:val="both"/>
      </w:pPr>
      <w:r>
        <w:rPr>
          <w:rFonts w:ascii="仿宋_GB2312" w:hAnsi="仿宋_GB2312" w:eastAsia="仿宋_GB2312"/>
          <w:b w:val="0"/>
          <w:sz w:val="32"/>
        </w:rPr>
        <w:t>收入支出总体与上年相比，减少39.90万元，下降10.52%，主要原因是：1.本年减少资助养老服务机构维修款项目。2、本年老年服务费调整至民政局实施，经费减少。3、当年爱心人士捐款收入较上年减少。</w:t>
      </w:r>
    </w:p>
    <w:p w14:paraId="56B4ADB3">
      <w:pPr>
        <w:spacing w:line="640" w:lineRule="exact"/>
        <w:ind w:firstLine="640"/>
        <w:jc w:val="both"/>
        <w:outlineLvl w:val="2"/>
      </w:pPr>
      <w:r>
        <w:rPr>
          <w:rFonts w:ascii="黑体" w:hAnsi="黑体" w:eastAsia="黑体"/>
          <w:sz w:val="32"/>
        </w:rPr>
        <w:t>二、收入决算情况说明</w:t>
      </w:r>
    </w:p>
    <w:p w14:paraId="226DCEF9">
      <w:pPr>
        <w:spacing w:line="580" w:lineRule="exact"/>
        <w:ind w:firstLine="640"/>
        <w:jc w:val="both"/>
      </w:pPr>
      <w:r>
        <w:rPr>
          <w:rFonts w:ascii="仿宋_GB2312" w:hAnsi="仿宋_GB2312" w:eastAsia="仿宋_GB2312"/>
          <w:b/>
          <w:sz w:val="32"/>
        </w:rPr>
        <w:t>本年收入312.44万元，</w:t>
      </w:r>
      <w:r>
        <w:rPr>
          <w:rFonts w:ascii="仿宋_GB2312" w:hAnsi="仿宋_GB2312" w:eastAsia="仿宋_GB2312"/>
          <w:b w:val="0"/>
          <w:sz w:val="32"/>
        </w:rPr>
        <w:t>其中：财政拨款收入270.14万元，占86.46%；上级补助收入0.00万元，占0.00%；事业收入0.00万元，占0.00%；经营收入0.00万元，占0.00%；附属单位上缴收入0.00万元，占0.00%；其他收入42.31万元，占13.54%。</w:t>
      </w:r>
    </w:p>
    <w:p w14:paraId="67744CBF">
      <w:pPr>
        <w:spacing w:line="640" w:lineRule="exact"/>
        <w:ind w:firstLine="640"/>
        <w:jc w:val="both"/>
        <w:outlineLvl w:val="2"/>
      </w:pPr>
      <w:r>
        <w:rPr>
          <w:rFonts w:ascii="黑体" w:hAnsi="黑体" w:eastAsia="黑体"/>
          <w:sz w:val="32"/>
        </w:rPr>
        <w:t>三、支出决算情况说明</w:t>
      </w:r>
    </w:p>
    <w:p w14:paraId="7900D21F">
      <w:pPr>
        <w:spacing w:line="580" w:lineRule="exact"/>
        <w:ind w:firstLine="640"/>
        <w:jc w:val="both"/>
      </w:pPr>
      <w:r>
        <w:rPr>
          <w:rFonts w:ascii="仿宋_GB2312" w:hAnsi="仿宋_GB2312" w:eastAsia="仿宋_GB2312"/>
          <w:b/>
          <w:sz w:val="32"/>
        </w:rPr>
        <w:t>本年支出314.63万元，</w:t>
      </w:r>
      <w:r>
        <w:rPr>
          <w:rFonts w:ascii="仿宋_GB2312" w:hAnsi="仿宋_GB2312" w:eastAsia="仿宋_GB2312"/>
          <w:b w:val="0"/>
          <w:sz w:val="32"/>
        </w:rPr>
        <w:t>其中：基本支出272.87万元，占86.73%；项目支出41.76万元，占13.27%；上缴上级支出0.00万元，占0.00%；经营支出0.00万元，占0.00%；对附属单位补助支出0.00万元，占0.00%。</w:t>
      </w:r>
    </w:p>
    <w:p w14:paraId="35D49A89">
      <w:pPr>
        <w:spacing w:line="640" w:lineRule="exact"/>
        <w:ind w:firstLine="640"/>
        <w:jc w:val="both"/>
        <w:outlineLvl w:val="2"/>
      </w:pPr>
      <w:r>
        <w:rPr>
          <w:rFonts w:ascii="黑体" w:hAnsi="黑体" w:eastAsia="黑体"/>
          <w:sz w:val="32"/>
        </w:rPr>
        <w:t>四、财政拨款收入支出决算总体情况说明</w:t>
      </w:r>
    </w:p>
    <w:p w14:paraId="273E0504">
      <w:pPr>
        <w:spacing w:line="580" w:lineRule="exact"/>
        <w:ind w:firstLine="640"/>
        <w:jc w:val="both"/>
      </w:pPr>
      <w:r>
        <w:rPr>
          <w:rFonts w:ascii="仿宋_GB2312" w:hAnsi="仿宋_GB2312" w:eastAsia="仿宋_GB2312"/>
          <w:b/>
          <w:sz w:val="32"/>
        </w:rPr>
        <w:t>2024年度财政拨款收入总计270.14万元，</w:t>
      </w:r>
      <w:r>
        <w:rPr>
          <w:rFonts w:ascii="仿宋_GB2312" w:hAnsi="仿宋_GB2312" w:eastAsia="仿宋_GB2312"/>
          <w:b w:val="0"/>
          <w:sz w:val="32"/>
        </w:rPr>
        <w:t>其中：年初财政拨款结转和结余0.00万元，本年财政拨款收入270.14万元。</w:t>
      </w:r>
      <w:r>
        <w:rPr>
          <w:rFonts w:ascii="仿宋_GB2312" w:hAnsi="仿宋_GB2312" w:eastAsia="仿宋_GB2312"/>
          <w:b/>
          <w:sz w:val="32"/>
        </w:rPr>
        <w:t>财政拨款支出总计270.14万元，</w:t>
      </w:r>
      <w:r>
        <w:rPr>
          <w:rFonts w:ascii="仿宋_GB2312" w:hAnsi="仿宋_GB2312" w:eastAsia="仿宋_GB2312"/>
          <w:b w:val="0"/>
          <w:sz w:val="32"/>
        </w:rPr>
        <w:t>其中：年末财政拨款结转和结余0.00万元，本年财政拨款支出270.14万元。</w:t>
      </w:r>
    </w:p>
    <w:p w14:paraId="04587CC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减少54.56万元，下降16.80%，主要原因是：1.本年减少资助养老服务机构维修款项目。2、本年老年服务费调整至民政局实施，经费减少。</w:t>
      </w:r>
      <w:r>
        <w:rPr>
          <w:rFonts w:ascii="仿宋_GB2312" w:hAnsi="仿宋_GB2312" w:eastAsia="仿宋_GB2312"/>
          <w:b/>
          <w:sz w:val="32"/>
        </w:rPr>
        <w:t>与年初预算相比，</w:t>
      </w:r>
      <w:r>
        <w:rPr>
          <w:rFonts w:ascii="仿宋_GB2312" w:hAnsi="仿宋_GB2312" w:eastAsia="仿宋_GB2312"/>
          <w:b w:val="0"/>
          <w:sz w:val="32"/>
        </w:rPr>
        <w:t>年初预算数303.06万元，决算数270.14万元，预决算差异率-10.86%，主要原因是：本年在职人员减少，年中调减人员经费，导致预决算存在差异。</w:t>
      </w:r>
    </w:p>
    <w:p w14:paraId="23DDA412">
      <w:pPr>
        <w:spacing w:line="640" w:lineRule="exact"/>
        <w:ind w:firstLine="640"/>
        <w:jc w:val="both"/>
        <w:outlineLvl w:val="2"/>
      </w:pPr>
      <w:r>
        <w:rPr>
          <w:rFonts w:ascii="黑体" w:hAnsi="黑体" w:eastAsia="黑体"/>
          <w:sz w:val="32"/>
        </w:rPr>
        <w:t>五、一般公共预算财政拨款支出决算情况说明</w:t>
      </w:r>
    </w:p>
    <w:p w14:paraId="3D579616">
      <w:pPr>
        <w:spacing w:line="640" w:lineRule="exact"/>
        <w:ind w:firstLine="640"/>
        <w:jc w:val="both"/>
        <w:outlineLvl w:val="3"/>
      </w:pPr>
      <w:r>
        <w:rPr>
          <w:rFonts w:ascii="楷体_GB2312" w:hAnsi="楷体_GB2312" w:eastAsia="楷体_GB2312"/>
          <w:b/>
          <w:sz w:val="32"/>
        </w:rPr>
        <w:t>（一）一般公共预算财政拨款支出决算总体情况</w:t>
      </w:r>
    </w:p>
    <w:p w14:paraId="26DCEA4B">
      <w:pPr>
        <w:spacing w:line="580" w:lineRule="exact"/>
        <w:ind w:firstLine="640"/>
        <w:jc w:val="both"/>
      </w:pPr>
      <w:r>
        <w:rPr>
          <w:rFonts w:ascii="仿宋_GB2312" w:hAnsi="仿宋_GB2312" w:eastAsia="仿宋_GB2312"/>
          <w:b/>
          <w:sz w:val="32"/>
        </w:rPr>
        <w:t>2024年度一般公共预算财政拨款支出270.14万元，</w:t>
      </w:r>
      <w:r>
        <w:rPr>
          <w:rFonts w:ascii="仿宋_GB2312" w:hAnsi="仿宋_GB2312" w:eastAsia="仿宋_GB2312"/>
          <w:b w:val="0"/>
          <w:sz w:val="32"/>
        </w:rPr>
        <w:t>占本年支出合计的85.86%。</w:t>
      </w:r>
      <w:r>
        <w:rPr>
          <w:rFonts w:ascii="仿宋_GB2312" w:hAnsi="仿宋_GB2312" w:eastAsia="仿宋_GB2312"/>
          <w:b/>
          <w:sz w:val="32"/>
        </w:rPr>
        <w:t>与上年相比，</w:t>
      </w:r>
      <w:r>
        <w:rPr>
          <w:rFonts w:ascii="仿宋_GB2312" w:hAnsi="仿宋_GB2312" w:eastAsia="仿宋_GB2312"/>
          <w:b w:val="0"/>
          <w:sz w:val="32"/>
        </w:rPr>
        <w:t>减少8.08万元，下降2.90%，主要原因是：本年减少资助养老服务机构维修款项目。</w:t>
      </w:r>
      <w:r>
        <w:rPr>
          <w:rFonts w:ascii="仿宋_GB2312" w:hAnsi="仿宋_GB2312" w:eastAsia="仿宋_GB2312"/>
          <w:b/>
          <w:sz w:val="32"/>
        </w:rPr>
        <w:t>与年初预算相比,</w:t>
      </w:r>
      <w:r>
        <w:rPr>
          <w:rFonts w:ascii="仿宋_GB2312" w:hAnsi="仿宋_GB2312" w:eastAsia="仿宋_GB2312"/>
          <w:b w:val="0"/>
          <w:sz w:val="32"/>
        </w:rPr>
        <w:t>年初预算数302.56万元，决算数270.14万元，预决算差异率-10.72%，主要原因是：本年在职人员减少，年中调减人员经费，导致预决算存在差异。</w:t>
      </w:r>
    </w:p>
    <w:p w14:paraId="2DEE0325">
      <w:pPr>
        <w:spacing w:line="640" w:lineRule="exact"/>
        <w:ind w:firstLine="640"/>
        <w:jc w:val="both"/>
        <w:outlineLvl w:val="3"/>
      </w:pPr>
      <w:r>
        <w:rPr>
          <w:rFonts w:ascii="楷体_GB2312" w:hAnsi="楷体_GB2312" w:eastAsia="楷体_GB2312"/>
          <w:b/>
          <w:sz w:val="32"/>
        </w:rPr>
        <w:t>（二）一般公共预算财政拨款支出决算结构情况</w:t>
      </w:r>
    </w:p>
    <w:p w14:paraId="57E2B2FA">
      <w:pPr>
        <w:spacing w:line="580" w:lineRule="exact"/>
        <w:ind w:firstLine="640"/>
        <w:jc w:val="both"/>
      </w:pPr>
      <w:r>
        <w:rPr>
          <w:rFonts w:ascii="仿宋_GB2312" w:hAnsi="仿宋_GB2312" w:eastAsia="仿宋_GB2312"/>
          <w:b w:val="0"/>
          <w:sz w:val="32"/>
        </w:rPr>
        <w:t>1.社会保障和就业支出(类)252.10万元,占93.32%。</w:t>
      </w:r>
    </w:p>
    <w:p w14:paraId="21AA76E0">
      <w:pPr>
        <w:spacing w:line="580" w:lineRule="exact"/>
        <w:ind w:firstLine="640"/>
        <w:jc w:val="both"/>
      </w:pPr>
      <w:r>
        <w:rPr>
          <w:rFonts w:ascii="仿宋_GB2312" w:hAnsi="仿宋_GB2312" w:eastAsia="仿宋_GB2312"/>
          <w:b w:val="0"/>
          <w:sz w:val="32"/>
        </w:rPr>
        <w:t>2.卫生健康支出(类)6.25万元,占2.31%。</w:t>
      </w:r>
    </w:p>
    <w:p w14:paraId="1A463E21">
      <w:pPr>
        <w:spacing w:line="580" w:lineRule="exact"/>
        <w:ind w:firstLine="640"/>
        <w:jc w:val="both"/>
      </w:pPr>
      <w:r>
        <w:rPr>
          <w:rFonts w:ascii="仿宋_GB2312" w:hAnsi="仿宋_GB2312" w:eastAsia="仿宋_GB2312"/>
          <w:b w:val="0"/>
          <w:sz w:val="32"/>
        </w:rPr>
        <w:t>3.住房保障支出(类)11.79万元,占4.36%。</w:t>
      </w:r>
    </w:p>
    <w:p w14:paraId="7D1D9A07">
      <w:pPr>
        <w:spacing w:line="640" w:lineRule="exact"/>
        <w:ind w:firstLine="640"/>
        <w:jc w:val="both"/>
        <w:outlineLvl w:val="3"/>
      </w:pPr>
      <w:r>
        <w:rPr>
          <w:rFonts w:ascii="楷体_GB2312" w:hAnsi="楷体_GB2312" w:eastAsia="楷体_GB2312"/>
          <w:b/>
          <w:sz w:val="32"/>
        </w:rPr>
        <w:t>（三）一般公共预算财政拨款支出决算具体情况</w:t>
      </w:r>
    </w:p>
    <w:p w14:paraId="78BDFE9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1.社会保障和就业支出(类)行政事业单位养老支出(款)事业单位离退休(项):支出决算数为2.02万元，比上年决算增加0.97万元，增长92.38%,主要原因是：本年增加退休人员基础绩效奖，退休费支出增加。</w:t>
      </w:r>
    </w:p>
    <w:p w14:paraId="3BDF8D8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14.86万元，比上年决算增加0.92万元，增长6.60%,主要原因是：本年在职人员工资基数调增，养老缴费基数上涨，相应支出增加。</w:t>
      </w:r>
    </w:p>
    <w:p w14:paraId="712101F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4.72万元，比上年决算增加4.72万元，增长100.00%,主要原因是：本年补发2023年退休人员职业年金，导致经费增加。</w:t>
      </w:r>
    </w:p>
    <w:p w14:paraId="0000E9CC">
      <w:pPr>
        <w:spacing w:line="580" w:lineRule="exact"/>
        <w:ind w:firstLine="640"/>
        <w:jc w:val="both"/>
      </w:pPr>
      <w:r>
        <w:rPr>
          <w:rFonts w:ascii="仿宋_GB2312" w:hAnsi="仿宋_GB2312" w:eastAsia="仿宋_GB2312"/>
          <w:b w:val="0"/>
          <w:sz w:val="32"/>
        </w:rPr>
        <w:t>4.社会保障和就业支出(类)社会福利(款)儿童福利(项):支出决算数为4.01万元，比上年决算减少2.95万元，下降42.39%,</w:t>
      </w:r>
      <w:r>
        <w:rPr>
          <w:rFonts w:ascii="仿宋_GB2312" w:hAnsi="仿宋_GB2312" w:eastAsia="仿宋_GB2312"/>
          <w:b w:val="0"/>
          <w:w w:val="97"/>
          <w:sz w:val="32"/>
        </w:rPr>
        <w:t>主要原因是：本年将孤儿集中至塔城市儿童福利院，导致经费减少。</w:t>
      </w:r>
    </w:p>
    <w:p w14:paraId="4AD69B5B">
      <w:pPr>
        <w:spacing w:line="580" w:lineRule="exact"/>
        <w:ind w:firstLine="640"/>
        <w:jc w:val="both"/>
      </w:pPr>
      <w:r>
        <w:rPr>
          <w:rFonts w:ascii="仿宋_GB2312" w:hAnsi="仿宋_GB2312" w:eastAsia="仿宋_GB2312"/>
          <w:b w:val="0"/>
          <w:sz w:val="32"/>
        </w:rPr>
        <w:t>5.社会保障和就业支出(类)社会福利(款)老年福利(项):支出决算数为0.78万元，比上年决算增加0.00万元，增长0.00%,主要原因是：</w:t>
      </w:r>
      <w:r>
        <w:rPr>
          <w:rFonts w:hint="eastAsia" w:ascii="仿宋_GB2312" w:hAnsi="仿宋_GB2312" w:eastAsia="仿宋_GB2312"/>
          <w:b w:val="0"/>
          <w:sz w:val="32"/>
        </w:rPr>
        <w:t>90岁以上高龄老年人的生活补助资</w:t>
      </w:r>
      <w:r>
        <w:rPr>
          <w:rFonts w:hint="eastAsia" w:ascii="仿宋_GB2312" w:hAnsi="仿宋_GB2312" w:eastAsia="仿宋_GB2312"/>
          <w:b w:val="0"/>
          <w:sz w:val="32"/>
          <w:lang w:eastAsia="zh-CN"/>
        </w:rPr>
        <w:t>金与</w:t>
      </w:r>
      <w:r>
        <w:rPr>
          <w:rFonts w:ascii="仿宋_GB2312" w:hAnsi="仿宋_GB2312" w:eastAsia="仿宋_GB2312"/>
          <w:b w:val="0"/>
          <w:sz w:val="32"/>
        </w:rPr>
        <w:t>上年一致，无变化。</w:t>
      </w:r>
    </w:p>
    <w:p w14:paraId="3A9F6679">
      <w:pPr>
        <w:spacing w:line="580" w:lineRule="exact"/>
        <w:ind w:firstLine="640"/>
        <w:jc w:val="both"/>
      </w:pPr>
      <w:r>
        <w:rPr>
          <w:rFonts w:ascii="仿宋_GB2312" w:hAnsi="仿宋_GB2312" w:eastAsia="仿宋_GB2312"/>
          <w:b w:val="0"/>
          <w:sz w:val="32"/>
        </w:rPr>
        <w:t>6.社会保障和就业支出(类)社会福利(款)社会福利事业单位(项):支出决算数为188.74万元，比上年决算增加13.14万元，</w:t>
      </w:r>
      <w:r>
        <w:rPr>
          <w:rFonts w:ascii="仿宋_GB2312" w:hAnsi="仿宋_GB2312" w:eastAsia="仿宋_GB2312"/>
          <w:b w:val="0"/>
          <w:w w:val="97"/>
          <w:sz w:val="32"/>
        </w:rPr>
        <w:t>增长7.48%,主要原因是：本年在职人员工资调增，人员经费增加。</w:t>
      </w:r>
    </w:p>
    <w:p w14:paraId="5CC30EBE">
      <w:pPr>
        <w:spacing w:line="580" w:lineRule="exact"/>
        <w:ind w:firstLine="640"/>
        <w:jc w:val="both"/>
      </w:pPr>
      <w:r>
        <w:rPr>
          <w:rFonts w:ascii="仿宋_GB2312" w:hAnsi="仿宋_GB2312" w:eastAsia="仿宋_GB2312"/>
          <w:b w:val="0"/>
          <w:sz w:val="32"/>
        </w:rPr>
        <w:t>7.社会保障和就业支出(类)社会福利(款)养老服务(项):支出决算数为0.00万元，比上年决算减少10.00万元，下降100.00%,主要原因是：本年减少资助养老服务机构维修款项目。</w:t>
      </w:r>
    </w:p>
    <w:p w14:paraId="610D4D08">
      <w:pPr>
        <w:spacing w:line="580" w:lineRule="exact"/>
        <w:ind w:firstLine="640"/>
        <w:jc w:val="both"/>
      </w:pPr>
      <w:r>
        <w:rPr>
          <w:rFonts w:ascii="仿宋_GB2312" w:hAnsi="仿宋_GB2312" w:eastAsia="仿宋_GB2312"/>
          <w:b w:val="0"/>
          <w:sz w:val="32"/>
        </w:rPr>
        <w:t>8.社会保障和就业支出(类)特困人员救助供养(款)城市特困人员救助供养支出(项):支出决算数为2.86万元，比上年决算减少2.83万元，下降49.74%,主要原因是：城市集中特困供养人员较上年减少，导致支出减少。</w:t>
      </w:r>
    </w:p>
    <w:p w14:paraId="675655E2">
      <w:pPr>
        <w:spacing w:line="580" w:lineRule="exact"/>
        <w:ind w:firstLine="640"/>
        <w:jc w:val="both"/>
      </w:pPr>
      <w:r>
        <w:rPr>
          <w:rFonts w:ascii="仿宋_GB2312" w:hAnsi="仿宋_GB2312" w:eastAsia="仿宋_GB2312"/>
          <w:b w:val="0"/>
          <w:sz w:val="32"/>
        </w:rPr>
        <w:t>9.社会保障和就业支出(类)特困人员救助供养(款)农村特困人员救助供养支出(项):支出决算数为30.80万元，比上年决算减少16.21万元，下降34.48%,主要原因是：农村集中特困供养人员较上年减少，导致支出减少。</w:t>
      </w:r>
    </w:p>
    <w:p w14:paraId="7ED1744E">
      <w:pPr>
        <w:spacing w:line="580" w:lineRule="exact"/>
        <w:ind w:firstLine="640"/>
        <w:jc w:val="both"/>
      </w:pPr>
      <w:r>
        <w:rPr>
          <w:rFonts w:ascii="仿宋_GB2312" w:hAnsi="仿宋_GB2312" w:eastAsia="仿宋_GB2312"/>
          <w:b w:val="0"/>
          <w:sz w:val="32"/>
        </w:rPr>
        <w:t>10.社会保障和就业支出(类)其他生活救助(款)其他城市生活救助(项):支出决算数为0.30万元，比上年决算增加0.30万元，增长100.00%,主要原因是：增加城市集中特困供养人员一次性生活补贴。</w:t>
      </w:r>
    </w:p>
    <w:p w14:paraId="4DDFC1A6">
      <w:pPr>
        <w:spacing w:line="580" w:lineRule="exact"/>
        <w:ind w:firstLine="640"/>
        <w:jc w:val="both"/>
      </w:pPr>
      <w:r>
        <w:rPr>
          <w:rFonts w:ascii="仿宋_GB2312" w:hAnsi="仿宋_GB2312" w:eastAsia="仿宋_GB2312"/>
          <w:b w:val="0"/>
          <w:sz w:val="32"/>
        </w:rPr>
        <w:t>11.社会保障和就业支出(类)其他生活救助(款)其他农村生活救助(项):支出决算数为3.00万元，比上年决算增加3.00万元，增长100.00%,主要原因是：增加农村集中特困供养人员一次性生活补贴。</w:t>
      </w:r>
    </w:p>
    <w:p w14:paraId="3291D005">
      <w:pPr>
        <w:spacing w:line="580" w:lineRule="exact"/>
        <w:ind w:firstLine="640"/>
        <w:jc w:val="both"/>
      </w:pPr>
      <w:r>
        <w:rPr>
          <w:rFonts w:ascii="仿宋_GB2312" w:hAnsi="仿宋_GB2312" w:eastAsia="仿宋_GB2312"/>
          <w:b w:val="0"/>
          <w:sz w:val="32"/>
        </w:rPr>
        <w:t>12.卫生健康支出(类)行政事业单位医疗(款)事业单位医疗(项):支出决算数为6.25万元，比上年决算减少0.05万元，下降0.79%,主要原因是：本年在职人员减少，事业单位医疗缴费支出减少。</w:t>
      </w:r>
    </w:p>
    <w:p w14:paraId="4ABDE5DF">
      <w:pPr>
        <w:spacing w:line="580" w:lineRule="exact"/>
        <w:ind w:firstLine="640"/>
        <w:jc w:val="both"/>
      </w:pPr>
      <w:r>
        <w:rPr>
          <w:rFonts w:ascii="仿宋_GB2312" w:hAnsi="仿宋_GB2312" w:eastAsia="仿宋_GB2312"/>
          <w:b w:val="0"/>
          <w:sz w:val="32"/>
        </w:rPr>
        <w:t>13.住房保障支出(类)住房改革支出(款)住房公积金(项):支出决算数为11.79万元，比上年决算增加0.90万元，增长8.26%,主要原因是：本年在职人员工资基数调增，公积金缴费基数上涨，相应支出增加。</w:t>
      </w:r>
    </w:p>
    <w:p w14:paraId="3CBB7608">
      <w:pPr>
        <w:spacing w:line="640" w:lineRule="exact"/>
        <w:ind w:firstLine="640"/>
        <w:jc w:val="both"/>
        <w:outlineLvl w:val="2"/>
      </w:pPr>
      <w:r>
        <w:rPr>
          <w:rFonts w:ascii="黑体" w:hAnsi="黑体" w:eastAsia="黑体"/>
          <w:sz w:val="32"/>
        </w:rPr>
        <w:t>六、一般公共预算财政拨款基本支出决算情况说明</w:t>
      </w:r>
    </w:p>
    <w:p w14:paraId="61878DE2">
      <w:pPr>
        <w:spacing w:line="580" w:lineRule="exact"/>
        <w:ind w:firstLine="640"/>
        <w:jc w:val="both"/>
      </w:pPr>
      <w:r>
        <w:rPr>
          <w:rFonts w:ascii="仿宋_GB2312" w:hAnsi="仿宋_GB2312" w:eastAsia="仿宋_GB2312"/>
          <w:b w:val="0"/>
          <w:sz w:val="32"/>
        </w:rPr>
        <w:t>2024年度一般公共预算财政拨款基本支出228.38万元，其中：</w:t>
      </w:r>
      <w:r>
        <w:rPr>
          <w:rFonts w:ascii="仿宋_GB2312" w:hAnsi="仿宋_GB2312" w:eastAsia="仿宋_GB2312"/>
          <w:b/>
          <w:sz w:val="32"/>
        </w:rPr>
        <w:t>人员经费169.65万元，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包括：基本工资、津贴补贴、奖金、绩效工资、机关事业单位基本养老保险缴费、职业年金缴费、职工基本医疗保险缴费、其他社会保障缴费、住房公积金、其他工资福利支出、退休费、医疗费补助、奖励金。</w:t>
      </w:r>
    </w:p>
    <w:p w14:paraId="2FB7875B">
      <w:pPr>
        <w:spacing w:line="580" w:lineRule="exact"/>
        <w:ind w:firstLine="640"/>
        <w:jc w:val="both"/>
      </w:pPr>
      <w:r>
        <w:rPr>
          <w:rFonts w:ascii="仿宋_GB2312" w:hAnsi="仿宋_GB2312" w:eastAsia="仿宋_GB2312"/>
          <w:b/>
          <w:sz w:val="32"/>
        </w:rPr>
        <w:t>公用经费58.73万元，</w:t>
      </w:r>
      <w:r>
        <w:rPr>
          <w:rFonts w:ascii="仿宋_GB2312" w:hAnsi="仿宋_GB2312" w:eastAsia="仿宋_GB2312"/>
          <w:b w:val="0"/>
          <w:sz w:val="32"/>
        </w:rPr>
        <w:t>包括：办公费、水费、电费、邮电费、</w:t>
      </w:r>
      <w:r>
        <w:rPr>
          <w:rFonts w:ascii="仿宋_GB2312" w:hAnsi="仿宋_GB2312" w:eastAsia="仿宋_GB2312"/>
          <w:b w:val="0"/>
          <w:w w:val="97"/>
          <w:sz w:val="32"/>
        </w:rPr>
        <w:t>取暖费、差旅费、维修（护）费、工会经费、公务用车运行维护费。</w:t>
      </w:r>
    </w:p>
    <w:p w14:paraId="78041BFF">
      <w:pPr>
        <w:spacing w:line="640" w:lineRule="exact"/>
        <w:ind w:firstLine="640"/>
        <w:jc w:val="both"/>
        <w:outlineLvl w:val="2"/>
      </w:pPr>
      <w:r>
        <w:rPr>
          <w:rFonts w:ascii="黑体" w:hAnsi="黑体" w:eastAsia="黑体"/>
          <w:sz w:val="32"/>
        </w:rPr>
        <w:t>七、政府性基金预算财政拨款收入支出决算情况说明</w:t>
      </w:r>
    </w:p>
    <w:p w14:paraId="5F91D0EE">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4772083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减少46.48万元，下降100.00%，主要原因是：本年将政</w:t>
      </w:r>
      <w:r>
        <w:rPr>
          <w:rFonts w:hint="eastAsia" w:ascii="仿宋_GB2312" w:hAnsi="仿宋_GB2312" w:eastAsia="仿宋_GB2312"/>
          <w:b w:val="0"/>
          <w:sz w:val="32"/>
          <w:lang w:eastAsia="zh-CN"/>
        </w:rPr>
        <w:t>府性</w:t>
      </w:r>
      <w:r>
        <w:rPr>
          <w:rFonts w:ascii="仿宋_GB2312" w:hAnsi="仿宋_GB2312" w:eastAsia="仿宋_GB2312"/>
          <w:b w:val="0"/>
          <w:sz w:val="32"/>
        </w:rPr>
        <w:t>基金（福利彩票公益金）资助养老机构政府购买服务项目，孤残儿童护理补贴、福彩圆梦孤儿助学金及设备购置项目调整至民政局实施，导致经费减少。</w:t>
      </w:r>
      <w:r>
        <w:rPr>
          <w:rFonts w:ascii="仿宋_GB2312" w:hAnsi="仿宋_GB2312" w:eastAsia="仿宋_GB2312"/>
          <w:b/>
          <w:sz w:val="32"/>
        </w:rPr>
        <w:t>与年初预算相比，</w:t>
      </w:r>
      <w:r>
        <w:rPr>
          <w:rFonts w:ascii="仿宋_GB2312" w:hAnsi="仿宋_GB2312" w:eastAsia="仿宋_GB2312"/>
          <w:b w:val="0"/>
          <w:sz w:val="32"/>
        </w:rPr>
        <w:t>年初预算数0.50万元，决算数0.00万元，预决算差异率-100.00%，主要原因是：本年将政府基金（福利彩票公益金）资助养老机构政府购买服务项目，孤残儿童护理补贴、福彩圆梦孤儿助学金及设备购置项目调整至民政局实施，导致预决算差异。</w:t>
      </w:r>
    </w:p>
    <w:p w14:paraId="756CABE1">
      <w:pPr>
        <w:spacing w:line="580" w:lineRule="exact"/>
        <w:ind w:firstLine="640"/>
        <w:jc w:val="both"/>
      </w:pPr>
      <w:r>
        <w:rPr>
          <w:rFonts w:ascii="仿宋_GB2312" w:hAnsi="仿宋_GB2312" w:eastAsia="仿宋_GB2312"/>
          <w:b w:val="0"/>
          <w:sz w:val="32"/>
        </w:rPr>
        <w:t>政府性基金预算财政拨款支出0.00万元。</w:t>
      </w:r>
    </w:p>
    <w:p w14:paraId="48F973E1">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46.48万元，下降100.00%,主要原因是：本年将政府基金（福利彩票公益金）资助养老机构政府购买服务项目，孤残儿童护理补贴、福彩圆梦孤儿助学金及设备购置项目调整至民政局实施，导致经费减少。</w:t>
      </w:r>
    </w:p>
    <w:p w14:paraId="07924666">
      <w:pPr>
        <w:spacing w:line="640" w:lineRule="exact"/>
        <w:ind w:firstLine="640"/>
        <w:jc w:val="both"/>
        <w:outlineLvl w:val="2"/>
      </w:pPr>
      <w:r>
        <w:rPr>
          <w:rFonts w:ascii="黑体" w:hAnsi="黑体" w:eastAsia="黑体"/>
          <w:sz w:val="32"/>
        </w:rPr>
        <w:t>八、国有资本经营预算财政拨款收入支出决算情况说明</w:t>
      </w:r>
    </w:p>
    <w:p w14:paraId="3A32D5E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059FC5C">
      <w:pPr>
        <w:spacing w:line="640" w:lineRule="exact"/>
        <w:ind w:firstLine="640"/>
        <w:jc w:val="both"/>
        <w:outlineLvl w:val="2"/>
      </w:pPr>
      <w:r>
        <w:rPr>
          <w:rFonts w:ascii="黑体" w:hAnsi="黑体" w:eastAsia="黑体"/>
          <w:sz w:val="32"/>
        </w:rPr>
        <w:t>九、财政拨款“三公”经费支出决算情况说明</w:t>
      </w:r>
    </w:p>
    <w:p w14:paraId="17C113E9">
      <w:pPr>
        <w:spacing w:line="580" w:lineRule="exact"/>
        <w:ind w:firstLine="640"/>
        <w:jc w:val="both"/>
      </w:pPr>
      <w:r>
        <w:rPr>
          <w:rFonts w:ascii="仿宋_GB2312" w:hAnsi="仿宋_GB2312" w:eastAsia="仿宋_GB2312"/>
          <w:b/>
          <w:sz w:val="32"/>
        </w:rPr>
        <w:t>2024年度财政拨款“三公”经费支出0.64万元，</w:t>
      </w:r>
      <w:r>
        <w:rPr>
          <w:rFonts w:ascii="仿宋_GB2312" w:hAnsi="仿宋_GB2312" w:eastAsia="仿宋_GB2312"/>
          <w:b w:val="0"/>
          <w:sz w:val="32"/>
        </w:rPr>
        <w:t>比上年增加0.35万元，增长120.69%，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0.64万元，占100.00%，比上年增加0.35万元，增长120.69%，主要原因是：本单位公务用车日渐老化，维修维护成本增加，导致公务用车运行维护费较上年增加。公务接待费支出0.00万元，占0.00%，比上年增加0.00万元，增长0.00%，主要原因是：2023年与2024年均未安排公务接待费支出。</w:t>
      </w:r>
    </w:p>
    <w:p w14:paraId="52C11568">
      <w:pPr>
        <w:spacing w:line="580" w:lineRule="exact"/>
        <w:ind w:firstLine="640"/>
        <w:jc w:val="both"/>
      </w:pPr>
      <w:r>
        <w:rPr>
          <w:rFonts w:ascii="仿宋_GB2312" w:hAnsi="仿宋_GB2312" w:eastAsia="仿宋_GB2312"/>
          <w:b/>
          <w:sz w:val="32"/>
        </w:rPr>
        <w:t>具体情况如下：</w:t>
      </w:r>
    </w:p>
    <w:p w14:paraId="1682212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D6E75F8">
      <w:pPr>
        <w:spacing w:line="580" w:lineRule="exact"/>
        <w:ind w:firstLine="640"/>
        <w:jc w:val="both"/>
      </w:pPr>
      <w:r>
        <w:rPr>
          <w:rFonts w:ascii="仿宋_GB2312" w:hAnsi="仿宋_GB2312" w:eastAsia="仿宋_GB2312"/>
          <w:b w:val="0"/>
          <w:sz w:val="32"/>
        </w:rPr>
        <w:t>公务用车购置及运行维护费0.64万元，其中：公务用车购置费0.00万元，公务用车运行维护费0.64万元。公务用车运行维护费开支内容包括车辆维修费、保险费。公务用车购置数0辆，公务用车保有量1辆。国有资产占用情况中固定资产车辆0辆，与公务用车保有量差异原因是：借用民政局车辆，车辆费用由本单位支付。</w:t>
      </w:r>
    </w:p>
    <w:p w14:paraId="4CD2B59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A7B7FE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0.64万元，预决算差异率-68.00%，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0.64万元，预决算差异率-68.00%，主要原因是：严格落实中央八项规定精神，厉行节约，减少公务用车使用频次，燃油费减少。公务接待费全年预算数0.00万元，决算数0.00万元，预决算差异率0.00%，主要原因是：本单位无公务接待费。</w:t>
      </w:r>
    </w:p>
    <w:p w14:paraId="7A95CF9D">
      <w:pPr>
        <w:spacing w:line="640" w:lineRule="exact"/>
        <w:ind w:firstLine="640"/>
        <w:jc w:val="both"/>
        <w:outlineLvl w:val="2"/>
      </w:pPr>
      <w:r>
        <w:rPr>
          <w:rFonts w:ascii="黑体" w:hAnsi="黑体" w:eastAsia="黑体"/>
          <w:sz w:val="32"/>
        </w:rPr>
        <w:t>十、其他重要事项的情况说明</w:t>
      </w:r>
    </w:p>
    <w:p w14:paraId="2192F2D4">
      <w:pPr>
        <w:spacing w:line="640" w:lineRule="exact"/>
        <w:ind w:firstLine="640"/>
        <w:jc w:val="both"/>
        <w:outlineLvl w:val="3"/>
      </w:pPr>
      <w:r>
        <w:rPr>
          <w:rFonts w:ascii="楷体_GB2312" w:hAnsi="楷体_GB2312" w:eastAsia="楷体_GB2312"/>
          <w:b/>
          <w:sz w:val="32"/>
        </w:rPr>
        <w:t>（一）机关运行经费及公用经费支出情况</w:t>
      </w:r>
    </w:p>
    <w:p w14:paraId="470BA58D">
      <w:pPr>
        <w:spacing w:line="580" w:lineRule="exact"/>
        <w:ind w:firstLine="640"/>
        <w:jc w:val="both"/>
      </w:pPr>
      <w:r>
        <w:rPr>
          <w:rFonts w:ascii="仿宋_GB2312" w:hAnsi="仿宋_GB2312" w:eastAsia="仿宋_GB2312"/>
          <w:b w:val="0"/>
          <w:sz w:val="32"/>
        </w:rPr>
        <w:t>2024年度裕民县社会福利院（事业单位）公用经费支出58.73万元，比上年增加0.84万元，增长1.45%，主要原因是：本年购置车辆雪地胎、维护补充办公用品，</w:t>
      </w:r>
      <w:r>
        <w:rPr>
          <w:rFonts w:hint="eastAsia" w:ascii="仿宋_GB2312" w:hAnsi="仿宋_GB2312" w:eastAsia="仿宋_GB2312"/>
          <w:b w:val="0"/>
          <w:sz w:val="32"/>
          <w:lang w:val="en-US" w:eastAsia="zh-CN"/>
        </w:rPr>
        <w:t>增加办公经费，</w:t>
      </w:r>
      <w:r>
        <w:rPr>
          <w:rFonts w:ascii="仿宋_GB2312" w:hAnsi="仿宋_GB2312" w:eastAsia="仿宋_GB2312"/>
          <w:b w:val="0"/>
          <w:sz w:val="32"/>
        </w:rPr>
        <w:t>导致</w:t>
      </w:r>
      <w:r>
        <w:rPr>
          <w:rFonts w:hint="eastAsia" w:ascii="仿宋_GB2312" w:hAnsi="仿宋_GB2312" w:eastAsia="仿宋_GB2312"/>
          <w:b w:val="0"/>
          <w:sz w:val="32"/>
          <w:lang w:val="en-US" w:eastAsia="zh-CN"/>
        </w:rPr>
        <w:t>公用</w:t>
      </w:r>
      <w:r>
        <w:rPr>
          <w:rFonts w:ascii="仿宋_GB2312" w:hAnsi="仿宋_GB2312" w:eastAsia="仿宋_GB2312"/>
          <w:b w:val="0"/>
          <w:sz w:val="32"/>
        </w:rPr>
        <w:t>经费增加。</w:t>
      </w:r>
    </w:p>
    <w:p w14:paraId="19142119">
      <w:pPr>
        <w:spacing w:line="640" w:lineRule="exact"/>
        <w:ind w:firstLine="640"/>
        <w:jc w:val="both"/>
        <w:outlineLvl w:val="3"/>
      </w:pPr>
      <w:r>
        <w:rPr>
          <w:rFonts w:ascii="楷体_GB2312" w:hAnsi="楷体_GB2312" w:eastAsia="楷体_GB2312"/>
          <w:b/>
          <w:sz w:val="32"/>
        </w:rPr>
        <w:t>（二）政府采购情况</w:t>
      </w:r>
    </w:p>
    <w:p w14:paraId="0D1D737E">
      <w:pPr>
        <w:spacing w:line="580" w:lineRule="exact"/>
        <w:ind w:firstLine="640"/>
        <w:jc w:val="both"/>
      </w:pPr>
      <w:r>
        <w:rPr>
          <w:rFonts w:ascii="仿宋_GB2312" w:hAnsi="仿宋_GB2312" w:eastAsia="仿宋_GB2312"/>
          <w:b w:val="0"/>
          <w:sz w:val="32"/>
        </w:rPr>
        <w:t>2024年度政府采购支出总额5.35万元，其中：政府采购货物支出3.52万元、政府采购工程支出0.00万元、政府采购服务支出1.83万元。</w:t>
      </w:r>
    </w:p>
    <w:p w14:paraId="504439CF">
      <w:pPr>
        <w:spacing w:line="580" w:lineRule="exact"/>
        <w:ind w:firstLine="640"/>
        <w:jc w:val="both"/>
      </w:pPr>
      <w:r>
        <w:rPr>
          <w:rFonts w:ascii="仿宋_GB2312" w:hAnsi="仿宋_GB2312" w:eastAsia="仿宋_GB2312"/>
          <w:b w:val="0"/>
          <w:sz w:val="32"/>
        </w:rPr>
        <w:t>授予中小企业合同金额5.35万元，占政府采购支出总额的100.00%，其中：授予小微企业合同金额5.35万元，占政府采购支出总额的100.00%。</w:t>
      </w:r>
    </w:p>
    <w:p w14:paraId="5C67DF87">
      <w:pPr>
        <w:spacing w:line="640" w:lineRule="exact"/>
        <w:ind w:firstLine="640"/>
        <w:jc w:val="both"/>
        <w:outlineLvl w:val="3"/>
      </w:pPr>
      <w:r>
        <w:rPr>
          <w:rFonts w:ascii="楷体_GB2312" w:hAnsi="楷体_GB2312" w:eastAsia="楷体_GB2312"/>
          <w:b/>
          <w:sz w:val="32"/>
        </w:rPr>
        <w:t>（三）国有资产占用情况说明</w:t>
      </w:r>
    </w:p>
    <w:p w14:paraId="25B36DD3">
      <w:pPr>
        <w:spacing w:line="580" w:lineRule="exact"/>
        <w:ind w:firstLine="640"/>
        <w:jc w:val="both"/>
      </w:pPr>
      <w:r>
        <w:rPr>
          <w:rFonts w:ascii="仿宋_GB2312" w:hAnsi="仿宋_GB2312" w:eastAsia="仿宋_GB2312"/>
          <w:b w:val="0"/>
          <w:sz w:val="32"/>
        </w:rPr>
        <w:t>截至2024年12月31日，房屋811.37平方米，价值105.50万元。车辆0辆，价值0.00万元，其中：副部（省）级及以上领导用车0辆、主要负责人用车0辆、机要通信用车0辆、应急保障用车0辆、执法执勤用车0辆、特种专业技术用车0辆、离退休干部服务用车0辆、其他用车0辆，其他用车主要是：本单</w:t>
      </w:r>
      <w:r>
        <w:rPr>
          <w:rFonts w:ascii="仿宋_GB2312" w:hAnsi="仿宋_GB2312" w:eastAsia="仿宋_GB2312"/>
          <w:b w:val="0"/>
          <w:w w:val="97"/>
          <w:sz w:val="32"/>
        </w:rPr>
        <w:t>位无其他用车。单价100万元（含）以上设备（不含车辆）0台（套）。</w:t>
      </w:r>
    </w:p>
    <w:p w14:paraId="31FFDDDA">
      <w:pPr>
        <w:spacing w:line="640" w:lineRule="exact"/>
        <w:ind w:firstLine="640"/>
        <w:jc w:val="both"/>
        <w:outlineLvl w:val="2"/>
      </w:pPr>
      <w:r>
        <w:rPr>
          <w:rFonts w:ascii="黑体" w:hAnsi="黑体" w:eastAsia="黑体"/>
          <w:sz w:val="32"/>
        </w:rPr>
        <w:t>十一、预算绩效的情况说明</w:t>
      </w:r>
    </w:p>
    <w:p w14:paraId="14D2ACF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366.23万元，实际执行总额314.63万元；预算绩效评价项目3个，全年预算数41.76万元，全年执行数41.76万元。预算绩效管理取得的成效：一是所属项目的资金使用严格遵循了国家相关法律法规与财务制度，确保了资金的合规性与安全性。在资金使用过程中，我们建立了完善的财务管理体系，对资金的流动进行了</w:t>
      </w:r>
      <w:r>
        <w:rPr>
          <w:rFonts w:hint="eastAsia" w:ascii="仿宋_GB2312" w:hAnsi="仿宋_GB2312" w:eastAsia="仿宋_GB2312"/>
          <w:b w:val="0"/>
          <w:sz w:val="32"/>
          <w:lang w:eastAsia="zh-CN"/>
        </w:rPr>
        <w:t>全过</w:t>
      </w:r>
      <w:r>
        <w:rPr>
          <w:rFonts w:ascii="仿宋_GB2312" w:hAnsi="仿宋_GB2312" w:eastAsia="仿宋_GB2312"/>
          <w:b w:val="0"/>
          <w:sz w:val="32"/>
        </w:rPr>
        <w:t>程记录。二是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三是项目资金使用的合规性、安全性，既符合国家相关法律法规与财务制度的要求，又满足了项目实施的实际需要。资金使用的合规性为项目的成功实施提供了有力的保障，也为项目的绩效评价奠定了坚实的基础。发现的问题及原因：1.项目工作分工不明确，落实不到位。2.项目资金的下达没有明确科室负责，在项目资金实施时给财务人员造成很大的困扰。下一步改进措施：1.完善预算绩效管理制度，明确岗位职责，完善人员岗位责任制、财务管理制度以及绩效评价制度等内容，充分实现工作目标，按照绩效制度要求，针对具体的分工、职责划</w:t>
      </w:r>
      <w:r>
        <w:rPr>
          <w:rFonts w:hint="eastAsia" w:ascii="仿宋_GB2312" w:hAnsi="仿宋_GB2312" w:eastAsia="仿宋_GB2312"/>
          <w:b w:val="0"/>
          <w:sz w:val="32"/>
          <w:lang w:eastAsia="zh-CN"/>
        </w:rPr>
        <w:t>分和</w:t>
      </w:r>
      <w:r>
        <w:rPr>
          <w:rFonts w:ascii="仿宋_GB2312" w:hAnsi="仿宋_GB2312" w:eastAsia="仿宋_GB2312"/>
          <w:b w:val="0"/>
          <w:sz w:val="32"/>
        </w:rPr>
        <w:t>管理制度进行全面有效的健全和完善，充分有效发挥绩效评价制度的优势和作用。2.增强预算绩效管理的理念，多管齐下宣讲预算绩效管理相关政策，重视绩效预算管理工作，建立预算</w:t>
      </w:r>
      <w:r>
        <w:rPr>
          <w:rFonts w:hint="eastAsia" w:ascii="仿宋_GB2312" w:hAnsi="仿宋_GB2312" w:eastAsia="仿宋_GB2312"/>
          <w:b w:val="0"/>
          <w:sz w:val="32"/>
          <w:lang w:eastAsia="zh-CN"/>
        </w:rPr>
        <w:t>管理</w:t>
      </w:r>
      <w:r>
        <w:rPr>
          <w:rFonts w:ascii="仿宋_GB2312" w:hAnsi="仿宋_GB2312" w:eastAsia="仿宋_GB2312"/>
          <w:b w:val="0"/>
          <w:sz w:val="32"/>
        </w:rPr>
        <w:t>的氛</w:t>
      </w:r>
      <w:r>
        <w:rPr>
          <w:rFonts w:hint="eastAsia" w:ascii="仿宋_GB2312" w:hAnsi="仿宋_GB2312" w:eastAsia="仿宋_GB2312"/>
          <w:b w:val="0"/>
          <w:sz w:val="32"/>
          <w:lang w:eastAsia="zh-CN"/>
        </w:rPr>
        <w:t>围和</w:t>
      </w:r>
      <w:r>
        <w:rPr>
          <w:rFonts w:ascii="仿宋_GB2312" w:hAnsi="仿宋_GB2312" w:eastAsia="仿宋_GB2312"/>
          <w:b w:val="0"/>
          <w:sz w:val="32"/>
        </w:rPr>
        <w:t>文化，领导要带头重视，相关科室协调参与，明确科室责任，增强工作人员和领导的绩效管理意识。具体附整体支出绩效自评表，项目支出绩效自评表和评价报告。</w:t>
      </w:r>
    </w:p>
    <w:p w14:paraId="0FA89C6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50E9966">
        <w:tblPrEx>
          <w:tblCellMar>
            <w:top w:w="0" w:type="dxa"/>
            <w:left w:w="108" w:type="dxa"/>
            <w:bottom w:w="0" w:type="dxa"/>
            <w:right w:w="108" w:type="dxa"/>
          </w:tblCellMar>
        </w:tblPrEx>
        <w:tc>
          <w:tcPr>
            <w:tcW w:w="8840" w:type="dxa"/>
            <w:gridSpan w:val="8"/>
            <w:vAlign w:val="center"/>
          </w:tcPr>
          <w:p w14:paraId="51BE3B7A">
            <w:pPr>
              <w:jc w:val="center"/>
            </w:pPr>
            <w:r>
              <w:rPr>
                <w:rFonts w:ascii="宋体" w:hAnsi="宋体" w:eastAsia="宋体"/>
                <w:sz w:val="24"/>
              </w:rPr>
              <w:t>单位整体支出绩效自评表</w:t>
            </w:r>
          </w:p>
        </w:tc>
      </w:tr>
      <w:tr w14:paraId="4233EDC5">
        <w:tblPrEx>
          <w:tblCellMar>
            <w:top w:w="0" w:type="dxa"/>
            <w:left w:w="108" w:type="dxa"/>
            <w:bottom w:w="0" w:type="dxa"/>
            <w:right w:w="108" w:type="dxa"/>
          </w:tblCellMar>
        </w:tblPrEx>
        <w:tc>
          <w:tcPr>
            <w:tcW w:w="8840" w:type="dxa"/>
            <w:gridSpan w:val="8"/>
            <w:vAlign w:val="center"/>
          </w:tcPr>
          <w:p w14:paraId="0C06F180">
            <w:pPr>
              <w:jc w:val="center"/>
            </w:pPr>
            <w:r>
              <w:rPr>
                <w:rFonts w:ascii="宋体" w:hAnsi="宋体" w:eastAsia="宋体"/>
                <w:sz w:val="24"/>
              </w:rPr>
              <w:t>（2024年度）</w:t>
            </w:r>
          </w:p>
        </w:tc>
      </w:tr>
      <w:tr w14:paraId="1B538DB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90BE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CA3B33">
            <w:pPr>
              <w:jc w:val="center"/>
            </w:pPr>
            <w:r>
              <w:rPr>
                <w:rFonts w:ascii="宋体" w:hAnsi="宋体" w:eastAsia="宋体"/>
                <w:sz w:val="16"/>
              </w:rPr>
              <w:t>裕民县社会福利院</w:t>
            </w:r>
          </w:p>
        </w:tc>
      </w:tr>
      <w:tr w14:paraId="6843DF0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8D05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9E5D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12A51">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21C30">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FBB6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3B34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96C6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BA532">
            <w:pPr>
              <w:jc w:val="center"/>
            </w:pPr>
            <w:r>
              <w:rPr>
                <w:rFonts w:ascii="宋体" w:hAnsi="宋体" w:eastAsia="宋体"/>
                <w:sz w:val="16"/>
              </w:rPr>
              <w:t>得分</w:t>
            </w:r>
          </w:p>
        </w:tc>
      </w:tr>
      <w:tr w14:paraId="793C98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FC0B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19F8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D72BC">
            <w:pPr>
              <w:jc w:val="center"/>
            </w:pPr>
            <w:r>
              <w:rPr>
                <w:rFonts w:ascii="宋体" w:hAnsi="宋体" w:eastAsia="宋体"/>
                <w:sz w:val="16"/>
              </w:rPr>
              <w:t>380.16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C25A2">
            <w:pPr>
              <w:jc w:val="center"/>
            </w:pPr>
            <w:r>
              <w:rPr>
                <w:rFonts w:ascii="宋体" w:hAnsi="宋体" w:eastAsia="宋体"/>
                <w:sz w:val="16"/>
              </w:rPr>
              <w:t>366.23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890E8">
            <w:pPr>
              <w:jc w:val="center"/>
            </w:pPr>
            <w:r>
              <w:rPr>
                <w:rFonts w:ascii="宋体" w:hAnsi="宋体" w:eastAsia="宋体"/>
                <w:sz w:val="16"/>
              </w:rPr>
              <w:t>314.63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E98F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57798">
            <w:pPr>
              <w:jc w:val="center"/>
            </w:pPr>
            <w:r>
              <w:rPr>
                <w:rFonts w:ascii="宋体" w:hAnsi="宋体" w:eastAsia="宋体"/>
                <w:sz w:val="16"/>
              </w:rPr>
              <w:t>85.91%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6B9C3">
            <w:pPr>
              <w:jc w:val="center"/>
              <w:rPr>
                <w:rFonts w:hint="default" w:eastAsia="宋体"/>
                <w:lang w:val="en-US" w:eastAsia="zh-CN"/>
              </w:rPr>
            </w:pPr>
            <w:r>
              <w:rPr>
                <w:rFonts w:hint="eastAsia" w:ascii="宋体" w:hAnsi="宋体"/>
                <w:sz w:val="16"/>
                <w:lang w:val="en-US" w:eastAsia="zh-CN"/>
              </w:rPr>
              <w:t>8.59</w:t>
            </w:r>
            <w:bookmarkStart w:id="0" w:name="_GoBack"/>
            <w:bookmarkEnd w:id="0"/>
          </w:p>
        </w:tc>
      </w:tr>
      <w:tr w14:paraId="00B8D0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CC03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7A70C">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AE391">
            <w:pPr>
              <w:jc w:val="center"/>
            </w:pPr>
            <w:r>
              <w:rPr>
                <w:rFonts w:ascii="宋体" w:hAnsi="宋体" w:eastAsia="宋体"/>
                <w:sz w:val="16"/>
              </w:rPr>
              <w:t>43.56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37741">
            <w:pPr>
              <w:jc w:val="center"/>
            </w:pPr>
            <w:r>
              <w:rPr>
                <w:rFonts w:ascii="宋体" w:hAnsi="宋体" w:eastAsia="宋体"/>
                <w:sz w:val="16"/>
              </w:rPr>
              <w:t>39.14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3F5BE">
            <w:pPr>
              <w:jc w:val="center"/>
            </w:pPr>
            <w:r>
              <w:rPr>
                <w:rFonts w:ascii="宋体" w:hAnsi="宋体" w:eastAsia="宋体"/>
                <w:sz w:val="16"/>
              </w:rPr>
              <w:t>39.14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7126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619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C0315">
            <w:pPr>
              <w:jc w:val="center"/>
            </w:pPr>
            <w:r>
              <w:rPr>
                <w:rFonts w:ascii="宋体" w:hAnsi="宋体" w:eastAsia="宋体"/>
                <w:sz w:val="16"/>
              </w:rPr>
              <w:t>-</w:t>
            </w:r>
          </w:p>
        </w:tc>
      </w:tr>
      <w:tr w14:paraId="3E9E69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38F1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8E96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10EFD">
            <w:pPr>
              <w:jc w:val="center"/>
            </w:pPr>
            <w:r>
              <w:rPr>
                <w:rFonts w:ascii="宋体" w:hAnsi="宋体" w:eastAsia="宋体"/>
                <w:sz w:val="16"/>
              </w:rPr>
              <w:t>259.51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B6DF0">
            <w:pPr>
              <w:jc w:val="center"/>
            </w:pPr>
            <w:r>
              <w:rPr>
                <w:rFonts w:ascii="宋体" w:hAnsi="宋体" w:eastAsia="宋体"/>
                <w:sz w:val="16"/>
              </w:rPr>
              <w:t>282.60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CC271">
            <w:pPr>
              <w:jc w:val="center"/>
            </w:pPr>
            <w:r>
              <w:rPr>
                <w:rFonts w:ascii="宋体" w:hAnsi="宋体" w:eastAsia="宋体"/>
                <w:sz w:val="16"/>
              </w:rPr>
              <w:t>233.18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68A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A42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18143">
            <w:pPr>
              <w:jc w:val="center"/>
            </w:pPr>
            <w:r>
              <w:rPr>
                <w:rFonts w:ascii="宋体" w:hAnsi="宋体" w:eastAsia="宋体"/>
                <w:sz w:val="16"/>
              </w:rPr>
              <w:t>-</w:t>
            </w:r>
          </w:p>
        </w:tc>
      </w:tr>
      <w:tr w14:paraId="181920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BEB57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363F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19E91">
            <w:pPr>
              <w:jc w:val="center"/>
            </w:pPr>
            <w:r>
              <w:rPr>
                <w:rFonts w:ascii="宋体" w:hAnsi="宋体" w:eastAsia="宋体"/>
                <w:sz w:val="16"/>
              </w:rPr>
              <w:t>77.09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01374">
            <w:pPr>
              <w:jc w:val="center"/>
            </w:pPr>
            <w:r>
              <w:rPr>
                <w:rFonts w:ascii="宋体" w:hAnsi="宋体" w:eastAsia="宋体"/>
                <w:sz w:val="16"/>
              </w:rPr>
              <w:t>44.49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F6480">
            <w:pPr>
              <w:jc w:val="center"/>
            </w:pPr>
            <w:r>
              <w:rPr>
                <w:rFonts w:ascii="宋体" w:hAnsi="宋体" w:eastAsia="宋体"/>
                <w:sz w:val="16"/>
              </w:rPr>
              <w:t>42.31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74D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2AC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1C58A">
            <w:pPr>
              <w:jc w:val="center"/>
            </w:pPr>
            <w:r>
              <w:rPr>
                <w:rFonts w:ascii="宋体" w:hAnsi="宋体" w:eastAsia="宋体"/>
                <w:sz w:val="16"/>
              </w:rPr>
              <w:t>-</w:t>
            </w:r>
          </w:p>
        </w:tc>
      </w:tr>
      <w:tr w14:paraId="09DF7F1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2731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E0915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CFEE71">
            <w:pPr>
              <w:jc w:val="center"/>
            </w:pPr>
            <w:r>
              <w:rPr>
                <w:rFonts w:ascii="宋体" w:hAnsi="宋体" w:eastAsia="宋体"/>
                <w:sz w:val="16"/>
              </w:rPr>
              <w:t>实际完成情况</w:t>
            </w:r>
          </w:p>
        </w:tc>
      </w:tr>
      <w:tr w14:paraId="1007EB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FEFA6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313A54">
            <w:pPr>
              <w:jc w:val="both"/>
            </w:pPr>
            <w:r>
              <w:rPr>
                <w:rFonts w:ascii="宋体" w:hAnsi="宋体" w:eastAsia="宋体"/>
                <w:sz w:val="16"/>
              </w:rPr>
              <w:t>1、保障单位</w:t>
            </w:r>
            <w:r>
              <w:rPr>
                <w:rFonts w:hint="eastAsia" w:ascii="宋体" w:hAnsi="宋体"/>
                <w:sz w:val="16"/>
                <w:lang w:val="en-US" w:eastAsia="zh-CN"/>
              </w:rPr>
              <w:t>8</w:t>
            </w:r>
            <w:r>
              <w:rPr>
                <w:rFonts w:ascii="宋体" w:hAnsi="宋体" w:eastAsia="宋体"/>
                <w:sz w:val="16"/>
              </w:rPr>
              <w:t>人的工资、社保、公积金及生活补助等支出的正常发放，促进塔城地区社会福利事业的发展，提升塔城地区基层治理能力和为民服务能力 2、保障机关正常运转，完成单位日常工作。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项目支出主要用于儿童福利生活费、特困供养、双集中人员生活补助单位运转经费等以提高人民群众的幸福感和获得感。完善基本民生保障体系，精准覆盖民政目标群体，对符合条件的困难群众救助对象“应救尽救”，使困难群众基本生活得到有效保障；积极推进孤残儿童“补贴制度落实，保障孤残儿童生存发展权益，提高孤儿生活质量；解决90周岁以上老年人基本生活困难，提高生活和生命质量；推动社会福利事业高质量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444116">
            <w:pPr>
              <w:jc w:val="both"/>
            </w:pPr>
            <w:r>
              <w:rPr>
                <w:rFonts w:ascii="宋体" w:hAnsi="宋体" w:eastAsia="宋体"/>
                <w:sz w:val="16"/>
              </w:rPr>
              <w:t>2024年裕民县社会福利院全年履职尽责，保障机关正常运转，顺利完成了单位日常工作，正常发放单位8人的工资、社保、公积金及生活补助等支出，促进塔城地区社会福利事业的发展，提升了塔城地区基层治理能力和为民服务能力”。项目支出主要用于儿童福利生活费、特困供养、双集中人员生活补助单位运转经费等以提高人民群众的幸福感和获得感。完善了基本民生保障体系，精准覆盖民政目标群体，对符合条件的困难群众救助对象“应救尽救”，使困难群众基本生活得到有效保障；积极推进孤残儿童补贴制度落实，保障了特困老人及孤残儿童生存发展权益，提高了特困人员生活质量；解决了90周岁以上老年人基本生活困难，提高生活和生命质量；努力推动社会福利事业高质量发展。</w:t>
            </w:r>
          </w:p>
        </w:tc>
      </w:tr>
      <w:tr w14:paraId="4D2E8DA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BEA6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B1EB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409B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7FB7C">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26B8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D079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9E23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1373D">
            <w:pPr>
              <w:jc w:val="center"/>
            </w:pPr>
            <w:r>
              <w:rPr>
                <w:rFonts w:ascii="宋体" w:hAnsi="宋体" w:eastAsia="宋体"/>
                <w:sz w:val="16"/>
              </w:rPr>
              <w:t>得分</w:t>
            </w:r>
          </w:p>
        </w:tc>
      </w:tr>
      <w:tr w14:paraId="06762E9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0B26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77F5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415B2">
            <w:pPr>
              <w:jc w:val="center"/>
            </w:pPr>
            <w:r>
              <w:rPr>
                <w:rFonts w:ascii="宋体" w:hAnsi="宋体" w:eastAsia="宋体"/>
                <w:sz w:val="16"/>
              </w:rPr>
              <w:t>保障供养人员人数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063A0">
            <w:pPr>
              <w:jc w:val="center"/>
            </w:pPr>
            <w:r>
              <w:rPr>
                <w:rFonts w:ascii="宋体" w:hAnsi="宋体" w:eastAsia="宋体"/>
                <w:sz w:val="16"/>
              </w:rPr>
              <w:t>&gt;=33人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6414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F3A7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F1060">
            <w:pPr>
              <w:jc w:val="center"/>
            </w:pPr>
            <w:r>
              <w:rPr>
                <w:rFonts w:ascii="宋体" w:hAnsi="宋体" w:eastAsia="宋体"/>
                <w:sz w:val="16"/>
              </w:rPr>
              <w: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7773D">
            <w:pPr>
              <w:jc w:val="center"/>
            </w:pPr>
            <w:r>
              <w:rPr>
                <w:rFonts w:ascii="宋体" w:hAnsi="宋体" w:eastAsia="宋体"/>
                <w:sz w:val="16"/>
              </w:rPr>
              <w:t>15</w:t>
            </w:r>
          </w:p>
        </w:tc>
      </w:tr>
      <w:tr w14:paraId="0F2FD0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B9EF0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9E4A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ED758">
            <w:pPr>
              <w:jc w:val="center"/>
            </w:pPr>
            <w:r>
              <w:rPr>
                <w:rFonts w:ascii="宋体" w:hAnsi="宋体" w:eastAsia="宋体"/>
                <w:sz w:val="16"/>
              </w:rPr>
              <w:t>保障孤儿人数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6BF78">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AE1B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8989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0BFC0">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AC3D7">
            <w:pPr>
              <w:jc w:val="center"/>
            </w:pPr>
            <w:r>
              <w:rPr>
                <w:rFonts w:ascii="宋体" w:hAnsi="宋体" w:eastAsia="宋体"/>
                <w:sz w:val="16"/>
              </w:rPr>
              <w:t>15</w:t>
            </w:r>
          </w:p>
        </w:tc>
      </w:tr>
      <w:tr w14:paraId="5CFE9F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E865C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D48A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39485">
            <w:pPr>
              <w:jc w:val="center"/>
            </w:pPr>
            <w:r>
              <w:rPr>
                <w:rFonts w:ascii="宋体" w:hAnsi="宋体" w:eastAsia="宋体"/>
                <w:sz w:val="16"/>
              </w:rPr>
              <w:t>保障护理人员人数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9427F">
            <w:pPr>
              <w:jc w:val="center"/>
            </w:pPr>
            <w:r>
              <w:rPr>
                <w:rFonts w:ascii="宋体" w:hAnsi="宋体" w:eastAsia="宋体"/>
                <w:sz w:val="16"/>
              </w:rPr>
              <w:t>&gt;=13人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10B6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D58A6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EE586">
            <w:pPr>
              <w:jc w:val="center"/>
            </w:pPr>
            <w:r>
              <w:rPr>
                <w:rFonts w:ascii="宋体" w:hAnsi="宋体" w:eastAsia="宋体"/>
                <w:sz w:val="16"/>
              </w:rPr>
              <w:t>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448F6">
            <w:pPr>
              <w:jc w:val="center"/>
            </w:pPr>
            <w:r>
              <w:rPr>
                <w:rFonts w:ascii="宋体" w:hAnsi="宋体" w:eastAsia="宋体"/>
                <w:sz w:val="16"/>
              </w:rPr>
              <w:t>15</w:t>
            </w:r>
          </w:p>
        </w:tc>
      </w:tr>
      <w:tr w14:paraId="5160E6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75DCE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97DB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32571">
            <w:pPr>
              <w:jc w:val="center"/>
            </w:pPr>
            <w:r>
              <w:rPr>
                <w:rFonts w:ascii="宋体" w:hAnsi="宋体" w:eastAsia="宋体"/>
                <w:sz w:val="16"/>
              </w:rPr>
              <w:t>开展护理员专业培训场次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DC183">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E603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B93B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21B3D">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C704D">
            <w:pPr>
              <w:jc w:val="center"/>
            </w:pPr>
            <w:r>
              <w:rPr>
                <w:rFonts w:ascii="宋体" w:hAnsi="宋体" w:eastAsia="宋体"/>
                <w:sz w:val="16"/>
              </w:rPr>
              <w:t>15</w:t>
            </w:r>
          </w:p>
        </w:tc>
      </w:tr>
      <w:tr w14:paraId="1285B1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99C6D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112E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45143">
            <w:pPr>
              <w:jc w:val="center"/>
            </w:pPr>
            <w:r>
              <w:rPr>
                <w:rFonts w:ascii="宋体" w:hAnsi="宋体" w:eastAsia="宋体"/>
                <w:sz w:val="16"/>
              </w:rPr>
              <w:t>供养人员经费发放率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8551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6946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BDCC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19C6F">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FE4EA">
            <w:pPr>
              <w:jc w:val="center"/>
            </w:pPr>
            <w:r>
              <w:rPr>
                <w:rFonts w:ascii="宋体" w:hAnsi="宋体" w:eastAsia="宋体"/>
                <w:sz w:val="16"/>
              </w:rPr>
              <w:t>15</w:t>
            </w:r>
          </w:p>
        </w:tc>
      </w:tr>
      <w:tr w14:paraId="6BE562E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B395C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FA33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023C9">
            <w:pPr>
              <w:jc w:val="center"/>
            </w:pPr>
            <w:r>
              <w:rPr>
                <w:rFonts w:ascii="宋体" w:hAnsi="宋体" w:eastAsia="宋体"/>
                <w:sz w:val="16"/>
              </w:rPr>
              <w:t>护理人员经费发放率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14E4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56FD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A69E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6BC6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A6E99">
            <w:pPr>
              <w:jc w:val="center"/>
            </w:pPr>
            <w:r>
              <w:rPr>
                <w:rFonts w:ascii="宋体" w:hAnsi="宋体" w:eastAsia="宋体"/>
                <w:sz w:val="16"/>
              </w:rPr>
              <w:t>15</w:t>
            </w:r>
          </w:p>
        </w:tc>
      </w:tr>
    </w:tbl>
    <w:p w14:paraId="5390C4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306BD01C">
        <w:tblPrEx>
          <w:tblCellMar>
            <w:top w:w="0" w:type="dxa"/>
            <w:left w:w="108" w:type="dxa"/>
            <w:bottom w:w="0" w:type="dxa"/>
            <w:right w:w="108" w:type="dxa"/>
          </w:tblCellMar>
        </w:tblPrEx>
        <w:tc>
          <w:tcPr>
            <w:tcW w:w="8848" w:type="dxa"/>
            <w:gridSpan w:val="14"/>
            <w:vAlign w:val="center"/>
          </w:tcPr>
          <w:p w14:paraId="43996999">
            <w:pPr>
              <w:jc w:val="center"/>
            </w:pPr>
            <w:r>
              <w:rPr>
                <w:rFonts w:ascii="宋体" w:hAnsi="宋体" w:eastAsia="宋体"/>
                <w:sz w:val="24"/>
              </w:rPr>
              <w:t>项目支出绩效自评表</w:t>
            </w:r>
          </w:p>
        </w:tc>
      </w:tr>
      <w:tr w14:paraId="1864B7E3">
        <w:tblPrEx>
          <w:tblCellMar>
            <w:top w:w="0" w:type="dxa"/>
            <w:left w:w="108" w:type="dxa"/>
            <w:bottom w:w="0" w:type="dxa"/>
            <w:right w:w="108" w:type="dxa"/>
          </w:tblCellMar>
        </w:tblPrEx>
        <w:tc>
          <w:tcPr>
            <w:tcW w:w="8848" w:type="dxa"/>
            <w:gridSpan w:val="14"/>
            <w:vAlign w:val="center"/>
          </w:tcPr>
          <w:p w14:paraId="2B454C98">
            <w:pPr>
              <w:jc w:val="center"/>
            </w:pPr>
            <w:r>
              <w:rPr>
                <w:rFonts w:ascii="宋体" w:hAnsi="宋体" w:eastAsia="宋体"/>
                <w:sz w:val="24"/>
              </w:rPr>
              <w:t>(2024年度)</w:t>
            </w:r>
          </w:p>
        </w:tc>
      </w:tr>
      <w:tr w14:paraId="39DD48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D6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3E30E7">
            <w:pPr>
              <w:jc w:val="center"/>
            </w:pPr>
            <w:r>
              <w:rPr>
                <w:rFonts w:ascii="宋体" w:hAnsi="宋体" w:eastAsia="宋体"/>
                <w:sz w:val="16"/>
              </w:rPr>
              <w:t>2024年困难群众救助补助资金（集中供养人员生活补助）</w:t>
            </w:r>
          </w:p>
        </w:tc>
      </w:tr>
      <w:tr w14:paraId="6F1ECA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EB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C298FC">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D1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51EC04">
            <w:pPr>
              <w:jc w:val="center"/>
            </w:pPr>
            <w:r>
              <w:rPr>
                <w:rFonts w:ascii="宋体" w:hAnsi="宋体" w:eastAsia="宋体"/>
                <w:sz w:val="16"/>
              </w:rPr>
              <w:t>裕民县社会福利院</w:t>
            </w:r>
          </w:p>
        </w:tc>
      </w:tr>
      <w:tr w14:paraId="6F5113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5B7F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A63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B4F1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540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3AA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4B0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683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A0362">
            <w:pPr>
              <w:jc w:val="center"/>
            </w:pPr>
            <w:r>
              <w:rPr>
                <w:rFonts w:ascii="宋体" w:hAnsi="宋体" w:eastAsia="宋体"/>
                <w:sz w:val="16"/>
              </w:rPr>
              <w:t>得分</w:t>
            </w:r>
          </w:p>
        </w:tc>
      </w:tr>
      <w:tr w14:paraId="0E11C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275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900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35102">
            <w:pPr>
              <w:jc w:val="center"/>
            </w:pPr>
            <w:r>
              <w:rPr>
                <w:rFonts w:ascii="宋体" w:hAnsi="宋体" w:eastAsia="宋体"/>
                <w:sz w:val="16"/>
              </w:rPr>
              <w:t>56.14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DD3B4">
            <w:pPr>
              <w:jc w:val="center"/>
            </w:pPr>
            <w:r>
              <w:rPr>
                <w:rFonts w:ascii="宋体" w:hAnsi="宋体" w:eastAsia="宋体"/>
                <w:sz w:val="16"/>
              </w:rPr>
              <w:t>37.68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72254">
            <w:pPr>
              <w:jc w:val="center"/>
            </w:pPr>
            <w:r>
              <w:rPr>
                <w:rFonts w:ascii="宋体" w:hAnsi="宋体" w:eastAsia="宋体"/>
                <w:sz w:val="16"/>
              </w:rPr>
              <w:t>37.68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FBE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9FD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999B">
            <w:pPr>
              <w:jc w:val="center"/>
            </w:pPr>
            <w:r>
              <w:rPr>
                <w:rFonts w:ascii="宋体" w:hAnsi="宋体" w:eastAsia="宋体"/>
                <w:sz w:val="16"/>
              </w:rPr>
              <w:t>10.00</w:t>
            </w:r>
          </w:p>
        </w:tc>
      </w:tr>
      <w:tr w14:paraId="0F45D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603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5436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AF956">
            <w:pPr>
              <w:jc w:val="center"/>
            </w:pPr>
            <w:r>
              <w:rPr>
                <w:rFonts w:ascii="宋体" w:hAnsi="宋体" w:eastAsia="宋体"/>
                <w:sz w:val="16"/>
              </w:rPr>
              <w:t>56.14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889AC">
            <w:pPr>
              <w:jc w:val="center"/>
            </w:pPr>
            <w:r>
              <w:rPr>
                <w:rFonts w:ascii="宋体" w:hAnsi="宋体" w:eastAsia="宋体"/>
                <w:sz w:val="16"/>
              </w:rPr>
              <w:t>37.68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B89E7">
            <w:pPr>
              <w:jc w:val="center"/>
            </w:pPr>
            <w:r>
              <w:rPr>
                <w:rFonts w:ascii="宋体" w:hAnsi="宋体" w:eastAsia="宋体"/>
                <w:sz w:val="16"/>
              </w:rPr>
              <w:t>37.68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E0B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0B9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EDE6">
            <w:pPr>
              <w:jc w:val="center"/>
            </w:pPr>
            <w:r>
              <w:rPr>
                <w:rFonts w:ascii="宋体" w:hAnsi="宋体" w:eastAsia="宋体"/>
                <w:sz w:val="16"/>
              </w:rPr>
              <w:t>—</w:t>
            </w:r>
          </w:p>
        </w:tc>
      </w:tr>
      <w:tr w14:paraId="49E67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CB7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CB8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480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8C1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FF1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668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F82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B8B4">
            <w:pPr>
              <w:jc w:val="center"/>
            </w:pPr>
            <w:r>
              <w:rPr>
                <w:rFonts w:ascii="宋体" w:hAnsi="宋体" w:eastAsia="宋体"/>
                <w:sz w:val="16"/>
              </w:rPr>
              <w:t>—</w:t>
            </w:r>
          </w:p>
        </w:tc>
      </w:tr>
      <w:tr w14:paraId="40832F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C71B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E07D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50F220">
            <w:pPr>
              <w:jc w:val="center"/>
            </w:pPr>
            <w:r>
              <w:rPr>
                <w:rFonts w:ascii="宋体" w:hAnsi="宋体" w:eastAsia="宋体"/>
                <w:sz w:val="16"/>
              </w:rPr>
              <w:t>实际完成情况</w:t>
            </w:r>
          </w:p>
        </w:tc>
      </w:tr>
      <w:tr w14:paraId="3F2D9C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4C1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7B2309">
            <w:pPr>
              <w:jc w:val="both"/>
            </w:pPr>
            <w:r>
              <w:rPr>
                <w:rFonts w:ascii="宋体" w:hAnsi="宋体" w:eastAsia="宋体"/>
                <w:sz w:val="16"/>
              </w:rPr>
              <w:t>2024年困难群众救助补助资金（集中供养人员生活补助）项目2024年计划投入56.14万元，用于补助集中供养老人30人、集中供养儿童3人，经过该项目的实施达到保障集中供养人员基本生活的效益。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88DB4E">
            <w:pPr>
              <w:jc w:val="both"/>
            </w:pPr>
            <w:r>
              <w:rPr>
                <w:rFonts w:ascii="宋体" w:hAnsi="宋体" w:eastAsia="宋体"/>
                <w:sz w:val="16"/>
              </w:rPr>
              <w:t>2024年困难群众救助补助资金（集中供养人员生活补助）项目年初预算数56.14万元，资金到位数：37.68万元，其中集中供养孤儿生活补助：4.02万元，集中供养特困老人生活补助：33.66万元，截至2024年12月31日，已经支付37.68万元，项目按照计划正常实行，资金用于补助集中供养老人33人（生活补助标准1035元/人/月）、集中供养儿童3人（生活补助标准1610元/人/月），经过该项目的实施达到保障集中供养人员基本生活的效益。保障特困人员的基本生活，让他们在社会福利院快乐生活，提供良好的生活环境，让弱势群体感受到党和国家的温暖，安度晚年。</w:t>
            </w:r>
            <w:r>
              <w:rPr>
                <w:rFonts w:ascii="宋体" w:hAnsi="宋体" w:eastAsia="宋体"/>
                <w:sz w:val="16"/>
              </w:rPr>
              <w:br w:type="textWrapping"/>
            </w:r>
          </w:p>
        </w:tc>
      </w:tr>
      <w:tr w14:paraId="77639D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02B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18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3C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B7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EB8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C5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EFB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BCA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DA4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4F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AE4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CEA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F8C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E1C2">
            <w:pPr>
              <w:jc w:val="center"/>
            </w:pPr>
            <w:r>
              <w:rPr>
                <w:rFonts w:ascii="宋体" w:hAnsi="宋体" w:eastAsia="宋体"/>
                <w:sz w:val="16"/>
              </w:rPr>
              <w:t>偏差原因分析及改进措施</w:t>
            </w:r>
          </w:p>
        </w:tc>
      </w:tr>
      <w:tr w14:paraId="1BF109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857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A6D6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237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B508D">
            <w:pPr>
              <w:jc w:val="center"/>
            </w:pPr>
            <w:r>
              <w:rPr>
                <w:rFonts w:ascii="宋体" w:hAnsi="宋体" w:eastAsia="宋体"/>
                <w:sz w:val="16"/>
              </w:rPr>
              <w:t>享受生活补助的五保户和三无人员人数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4EFB">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F0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C4B4">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59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F4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90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73E8">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E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B4D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CAE9">
            <w:pPr>
              <w:jc w:val="center"/>
            </w:pPr>
          </w:p>
        </w:tc>
      </w:tr>
      <w:tr w14:paraId="00DF5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AFD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DE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7D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5BA3">
            <w:pPr>
              <w:jc w:val="center"/>
            </w:pPr>
            <w:r>
              <w:rPr>
                <w:rFonts w:ascii="宋体" w:hAnsi="宋体" w:eastAsia="宋体"/>
                <w:sz w:val="16"/>
              </w:rPr>
              <w:t>享受儿童补助人数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7DDFF">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ED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5CC2">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31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59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FA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2F86B">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41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21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EF71">
            <w:pPr>
              <w:jc w:val="center"/>
            </w:pPr>
          </w:p>
        </w:tc>
      </w:tr>
      <w:tr w14:paraId="0C4E5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A7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5C4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F16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D07A">
            <w:pPr>
              <w:jc w:val="center"/>
            </w:pPr>
            <w:r>
              <w:rPr>
                <w:rFonts w:ascii="宋体" w:hAnsi="宋体" w:eastAsia="宋体"/>
                <w:sz w:val="16"/>
              </w:rPr>
              <w:t>五保户和三无人员生活补助资金使用合格率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79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17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D8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BA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05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84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739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3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AF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539A">
            <w:pPr>
              <w:jc w:val="center"/>
            </w:pPr>
          </w:p>
        </w:tc>
      </w:tr>
      <w:tr w14:paraId="24913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C45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54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3D4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A635E">
            <w:pPr>
              <w:jc w:val="center"/>
            </w:pPr>
            <w:r>
              <w:rPr>
                <w:rFonts w:ascii="宋体" w:hAnsi="宋体" w:eastAsia="宋体"/>
                <w:sz w:val="16"/>
              </w:rPr>
              <w:t>儿童生活补助资金使用合格率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3F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B3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1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DF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78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F3F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24B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19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1D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7DC4">
            <w:pPr>
              <w:jc w:val="center"/>
            </w:pPr>
          </w:p>
        </w:tc>
      </w:tr>
      <w:tr w14:paraId="79EA6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7B4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48C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53D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283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24F4F">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C8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F2D1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40F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8D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4C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F3F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76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41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10F7">
            <w:pPr>
              <w:jc w:val="center"/>
            </w:pPr>
          </w:p>
        </w:tc>
      </w:tr>
      <w:tr w14:paraId="22B15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106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2AD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95B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3A07">
            <w:pPr>
              <w:jc w:val="center"/>
            </w:pPr>
            <w:r>
              <w:rPr>
                <w:rFonts w:ascii="宋体" w:hAnsi="宋体" w:eastAsia="宋体"/>
                <w:sz w:val="16"/>
              </w:rPr>
              <w:t>五保户和三无人员生活补助经费保障时长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5A7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EF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849F">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6E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73D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86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248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E9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87A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4C32">
            <w:pPr>
              <w:jc w:val="center"/>
            </w:pPr>
          </w:p>
        </w:tc>
      </w:tr>
      <w:tr w14:paraId="7E3D3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835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FF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CEB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B2E0">
            <w:pPr>
              <w:jc w:val="center"/>
            </w:pPr>
            <w:r>
              <w:rPr>
                <w:rFonts w:ascii="宋体" w:hAnsi="宋体" w:eastAsia="宋体"/>
                <w:sz w:val="16"/>
              </w:rPr>
              <w:t>项目支付及时率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DD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451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CFD7">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1F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8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3D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B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7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73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6409">
            <w:pPr>
              <w:jc w:val="center"/>
            </w:pPr>
          </w:p>
        </w:tc>
      </w:tr>
      <w:tr w14:paraId="177F6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C97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E36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3E0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7842">
            <w:pPr>
              <w:jc w:val="center"/>
            </w:pPr>
            <w:r>
              <w:rPr>
                <w:rFonts w:ascii="宋体" w:hAnsi="宋体" w:eastAsia="宋体"/>
                <w:sz w:val="16"/>
              </w:rPr>
              <w:t>五保户和三无人员生活补助标准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A4F6">
            <w:pPr>
              <w:jc w:val="center"/>
            </w:pPr>
            <w:r>
              <w:rPr>
                <w:rFonts w:ascii="宋体" w:hAnsi="宋体" w:eastAsia="宋体"/>
                <w:sz w:val="16"/>
              </w:rPr>
              <w:t>=1035元/人/月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7C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7023">
            <w:pPr>
              <w:jc w:val="center"/>
            </w:pPr>
            <w:r>
              <w:rPr>
                <w:rFonts w:ascii="宋体" w:hAnsi="宋体" w:eastAsia="宋体"/>
                <w:sz w:val="16"/>
              </w:rPr>
              <w:t>1035元/人/月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810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8C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25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97A6">
            <w:pPr>
              <w:jc w:val="center"/>
            </w:pPr>
            <w:r>
              <w:rPr>
                <w:rFonts w:ascii="宋体" w:hAnsi="宋体" w:eastAsia="宋体"/>
                <w:sz w:val="16"/>
              </w:rPr>
              <w:t>1035元/人/月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32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660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3FC7">
            <w:pPr>
              <w:jc w:val="center"/>
            </w:pPr>
          </w:p>
        </w:tc>
      </w:tr>
      <w:tr w14:paraId="3BD8EF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54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F61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0A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78006">
            <w:pPr>
              <w:jc w:val="center"/>
            </w:pPr>
            <w:r>
              <w:rPr>
                <w:rFonts w:ascii="宋体" w:hAnsi="宋体" w:eastAsia="宋体"/>
                <w:sz w:val="16"/>
              </w:rPr>
              <w:t>儿童生活补助标准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5716">
            <w:pPr>
              <w:jc w:val="center"/>
            </w:pPr>
            <w:r>
              <w:rPr>
                <w:rFonts w:ascii="宋体" w:hAnsi="宋体" w:eastAsia="宋体"/>
                <w:sz w:val="16"/>
              </w:rPr>
              <w:t>=1610元/人/月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83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E37D">
            <w:pPr>
              <w:jc w:val="center"/>
            </w:pPr>
            <w:r>
              <w:rPr>
                <w:rFonts w:ascii="宋体" w:hAnsi="宋体" w:eastAsia="宋体"/>
                <w:sz w:val="16"/>
              </w:rPr>
              <w:t>1610元/人/月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11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BE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A0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D72CF">
            <w:pPr>
              <w:jc w:val="center"/>
            </w:pPr>
            <w:r>
              <w:rPr>
                <w:rFonts w:ascii="宋体" w:hAnsi="宋体" w:eastAsia="宋体"/>
                <w:sz w:val="16"/>
              </w:rPr>
              <w:t>1610元/人/月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A9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00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7C5B">
            <w:pPr>
              <w:jc w:val="center"/>
            </w:pPr>
          </w:p>
        </w:tc>
      </w:tr>
      <w:tr w14:paraId="1E3CD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50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02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C39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7A8A">
            <w:pPr>
              <w:jc w:val="center"/>
            </w:pPr>
            <w:r>
              <w:rPr>
                <w:rFonts w:ascii="宋体" w:hAnsi="宋体" w:eastAsia="宋体"/>
                <w:sz w:val="16"/>
              </w:rPr>
              <w:t>保障集中供养人员基本生活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EF1A">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45D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D86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57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3D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82C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F54A">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6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E4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53BD">
            <w:pPr>
              <w:jc w:val="center"/>
            </w:pPr>
          </w:p>
        </w:tc>
      </w:tr>
      <w:tr w14:paraId="7BD4C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4F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95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ED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3FB4">
            <w:pPr>
              <w:jc w:val="center"/>
            </w:pPr>
            <w:r>
              <w:rPr>
                <w:rFonts w:ascii="宋体" w:hAnsi="宋体" w:eastAsia="宋体"/>
                <w:sz w:val="16"/>
              </w:rPr>
              <w:t>五保户和三无人员及儿童满意度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77D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57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A2F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871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74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1F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510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48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47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716A">
            <w:pPr>
              <w:jc w:val="center"/>
            </w:pPr>
          </w:p>
        </w:tc>
      </w:tr>
      <w:tr w14:paraId="3F3FA3E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6BB9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B15B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CF69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3D22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5F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19D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0188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29D8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30AB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F37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DE977C"/>
        </w:tc>
      </w:tr>
    </w:tbl>
    <w:p w14:paraId="293650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77D3B58">
        <w:tblPrEx>
          <w:tblCellMar>
            <w:top w:w="0" w:type="dxa"/>
            <w:left w:w="108" w:type="dxa"/>
            <w:bottom w:w="0" w:type="dxa"/>
            <w:right w:w="108" w:type="dxa"/>
          </w:tblCellMar>
        </w:tblPrEx>
        <w:tc>
          <w:tcPr>
            <w:tcW w:w="8848" w:type="dxa"/>
            <w:gridSpan w:val="14"/>
            <w:vAlign w:val="center"/>
          </w:tcPr>
          <w:p w14:paraId="24D6398C">
            <w:pPr>
              <w:jc w:val="center"/>
            </w:pPr>
            <w:r>
              <w:rPr>
                <w:rFonts w:ascii="宋体" w:hAnsi="宋体" w:eastAsia="宋体"/>
                <w:sz w:val="24"/>
              </w:rPr>
              <w:t>项目支出绩效自评表</w:t>
            </w:r>
          </w:p>
        </w:tc>
      </w:tr>
      <w:tr w14:paraId="15674450">
        <w:tblPrEx>
          <w:tblCellMar>
            <w:top w:w="0" w:type="dxa"/>
            <w:left w:w="108" w:type="dxa"/>
            <w:bottom w:w="0" w:type="dxa"/>
            <w:right w:w="108" w:type="dxa"/>
          </w:tblCellMar>
        </w:tblPrEx>
        <w:tc>
          <w:tcPr>
            <w:tcW w:w="8848" w:type="dxa"/>
            <w:gridSpan w:val="14"/>
            <w:vAlign w:val="center"/>
          </w:tcPr>
          <w:p w14:paraId="340201C7">
            <w:pPr>
              <w:jc w:val="center"/>
            </w:pPr>
            <w:r>
              <w:rPr>
                <w:rFonts w:ascii="宋体" w:hAnsi="宋体" w:eastAsia="宋体"/>
                <w:sz w:val="24"/>
              </w:rPr>
              <w:t>(2024年度)</w:t>
            </w:r>
          </w:p>
        </w:tc>
      </w:tr>
      <w:tr w14:paraId="491B20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8B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5A0D12">
            <w:pPr>
              <w:jc w:val="center"/>
            </w:pPr>
            <w:r>
              <w:rPr>
                <w:rFonts w:ascii="宋体" w:hAnsi="宋体" w:eastAsia="宋体"/>
                <w:sz w:val="16"/>
              </w:rPr>
              <w:t>90岁以上自费老人生活费</w:t>
            </w:r>
          </w:p>
        </w:tc>
      </w:tr>
      <w:tr w14:paraId="3D53D4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DE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AB157C">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B6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06CB50">
            <w:pPr>
              <w:jc w:val="center"/>
            </w:pPr>
            <w:r>
              <w:rPr>
                <w:rFonts w:ascii="宋体" w:hAnsi="宋体" w:eastAsia="宋体"/>
                <w:sz w:val="16"/>
              </w:rPr>
              <w:t>裕民县社会福利院</w:t>
            </w:r>
          </w:p>
        </w:tc>
      </w:tr>
      <w:tr w14:paraId="4A0E59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095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321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F48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A7D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C33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8D3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A74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FE50">
            <w:pPr>
              <w:jc w:val="center"/>
            </w:pPr>
            <w:r>
              <w:rPr>
                <w:rFonts w:ascii="宋体" w:hAnsi="宋体" w:eastAsia="宋体"/>
                <w:sz w:val="16"/>
              </w:rPr>
              <w:t>得分</w:t>
            </w:r>
          </w:p>
        </w:tc>
      </w:tr>
      <w:tr w14:paraId="79F98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42E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2DD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CA402">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842BE">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37CF3">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509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C6C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D6A3">
            <w:pPr>
              <w:jc w:val="center"/>
            </w:pPr>
            <w:r>
              <w:rPr>
                <w:rFonts w:ascii="宋体" w:hAnsi="宋体" w:eastAsia="宋体"/>
                <w:sz w:val="16"/>
              </w:rPr>
              <w:t>10.00</w:t>
            </w:r>
          </w:p>
        </w:tc>
      </w:tr>
      <w:tr w14:paraId="61D73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4E0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F97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32DDA">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5417D">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7A777">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966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04E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01BC">
            <w:pPr>
              <w:jc w:val="center"/>
            </w:pPr>
            <w:r>
              <w:rPr>
                <w:rFonts w:ascii="宋体" w:hAnsi="宋体" w:eastAsia="宋体"/>
                <w:sz w:val="16"/>
              </w:rPr>
              <w:t>—</w:t>
            </w:r>
          </w:p>
        </w:tc>
      </w:tr>
      <w:tr w14:paraId="19B5EE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88B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BB9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FA8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4E2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F65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B17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E78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007F">
            <w:pPr>
              <w:jc w:val="center"/>
            </w:pPr>
            <w:r>
              <w:rPr>
                <w:rFonts w:ascii="宋体" w:hAnsi="宋体" w:eastAsia="宋体"/>
                <w:sz w:val="16"/>
              </w:rPr>
              <w:t>—</w:t>
            </w:r>
          </w:p>
        </w:tc>
      </w:tr>
      <w:tr w14:paraId="4D14C3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30E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9CB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C4C3F7">
            <w:pPr>
              <w:jc w:val="center"/>
            </w:pPr>
            <w:r>
              <w:rPr>
                <w:rFonts w:ascii="宋体" w:hAnsi="宋体" w:eastAsia="宋体"/>
                <w:sz w:val="16"/>
              </w:rPr>
              <w:t>实际完成情况</w:t>
            </w:r>
          </w:p>
        </w:tc>
      </w:tr>
      <w:tr w14:paraId="5A0CCC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2FF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6F1DB2">
            <w:pPr>
              <w:jc w:val="both"/>
            </w:pPr>
            <w:r>
              <w:rPr>
                <w:rFonts w:ascii="宋体" w:hAnsi="宋体" w:eastAsia="宋体"/>
                <w:sz w:val="16"/>
              </w:rPr>
              <w:t>裕民县社会福利院认真贯彻实施为民办实事服务，切实开展高龄补贴专项发放工作，努力解决群众关注热点、难点问题，促进民政部门“以民为本、为民解困、为民服务”工作宗旨的落实。2024年自治区彩票公益金资助90岁以上自费老年人基本生活津贴项目资金为0.78万元。90岁以上自费老人1人，650元/人/月，一年老人补助资金7800元，根据文件要求专款专用，有专人负责，资金用于老人生活费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88CA8E">
            <w:pPr>
              <w:jc w:val="both"/>
            </w:pPr>
            <w:r>
              <w:rPr>
                <w:rFonts w:ascii="宋体" w:hAnsi="宋体" w:eastAsia="宋体"/>
                <w:sz w:val="16"/>
              </w:rPr>
              <w:t>裕民县社会福利院90岁以上自费老人生活补助预算数为0.78万元，实际支出0.78万元，执行率100%，生活补助标准650元/人/月。</w:t>
            </w:r>
            <w:r>
              <w:rPr>
                <w:rFonts w:ascii="宋体" w:hAnsi="宋体" w:eastAsia="宋体"/>
                <w:sz w:val="16"/>
              </w:rPr>
              <w:br w:type="textWrapping"/>
            </w:r>
            <w:r>
              <w:rPr>
                <w:rFonts w:ascii="宋体" w:hAnsi="宋体" w:eastAsia="宋体"/>
                <w:sz w:val="16"/>
              </w:rPr>
              <w:t>社会福利院90岁以上自费老人生活补助主要用于自费老人吃、住、护理、日用品等费用支出。</w:t>
            </w:r>
            <w:r>
              <w:rPr>
                <w:rFonts w:ascii="宋体" w:hAnsi="宋体" w:eastAsia="宋体"/>
                <w:sz w:val="16"/>
              </w:rPr>
              <w:br w:type="textWrapping"/>
            </w:r>
            <w:r>
              <w:rPr>
                <w:rFonts w:ascii="宋体" w:hAnsi="宋体" w:eastAsia="宋体"/>
                <w:sz w:val="16"/>
              </w:rPr>
              <w:t>老人生活补助有效保障老人基本生活，提高生活质量，满足了最基本的生存需求，同时，让弱势群体感受到党和国家的温暖，安度晚年。</w:t>
            </w:r>
          </w:p>
        </w:tc>
      </w:tr>
      <w:tr w14:paraId="6A78B9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5320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C48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D1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A3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0B0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5A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E2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0C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E62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33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7F6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DC5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A7D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88B0">
            <w:pPr>
              <w:jc w:val="center"/>
            </w:pPr>
            <w:r>
              <w:rPr>
                <w:rFonts w:ascii="宋体" w:hAnsi="宋体" w:eastAsia="宋体"/>
                <w:sz w:val="16"/>
              </w:rPr>
              <w:t>偏差原因分析及改进措施</w:t>
            </w:r>
          </w:p>
        </w:tc>
      </w:tr>
      <w:tr w14:paraId="021BAE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1A7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43EA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C9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F7F6">
            <w:pPr>
              <w:jc w:val="center"/>
            </w:pPr>
            <w:r>
              <w:rPr>
                <w:rFonts w:ascii="宋体" w:hAnsi="宋体" w:eastAsia="宋体"/>
                <w:sz w:val="16"/>
              </w:rPr>
              <w:t>享受生活补助90岁以上自费老人人数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709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61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2D7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3E0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9D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B9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4D5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F7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89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4DA5">
            <w:pPr>
              <w:jc w:val="center"/>
            </w:pPr>
          </w:p>
        </w:tc>
      </w:tr>
      <w:tr w14:paraId="3950A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FCB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A0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AA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C3D5">
            <w:pPr>
              <w:jc w:val="center"/>
            </w:pPr>
            <w:r>
              <w:rPr>
                <w:rFonts w:ascii="宋体" w:hAnsi="宋体" w:eastAsia="宋体"/>
                <w:sz w:val="16"/>
              </w:rPr>
              <w:t>自费老人生活补助资金使用合格率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45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2C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2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5E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F8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70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9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63B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4B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1862">
            <w:pPr>
              <w:jc w:val="center"/>
            </w:pPr>
          </w:p>
        </w:tc>
      </w:tr>
      <w:tr w14:paraId="37A3C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805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965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F2A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1B6A2">
            <w:pPr>
              <w:jc w:val="center"/>
            </w:pPr>
            <w:r>
              <w:rPr>
                <w:rFonts w:ascii="宋体" w:hAnsi="宋体" w:eastAsia="宋体"/>
                <w:sz w:val="16"/>
              </w:rPr>
              <w:t>自费老人生活补助经费保障时长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DEA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C30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D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5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EA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3B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098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D1F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12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A298">
            <w:pPr>
              <w:jc w:val="center"/>
            </w:pPr>
          </w:p>
        </w:tc>
      </w:tr>
      <w:tr w14:paraId="2690B4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9B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498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B77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AB9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26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8CC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1626">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51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9B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08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04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64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BD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51E7">
            <w:pPr>
              <w:jc w:val="center"/>
            </w:pPr>
          </w:p>
        </w:tc>
      </w:tr>
      <w:tr w14:paraId="79C6E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20E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F8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B0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AFB4">
            <w:pPr>
              <w:jc w:val="center"/>
            </w:pPr>
            <w:r>
              <w:rPr>
                <w:rFonts w:ascii="宋体" w:hAnsi="宋体" w:eastAsia="宋体"/>
                <w:sz w:val="16"/>
              </w:rPr>
              <w:t>90岁以上自费老人生活补助标准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71E5B">
            <w:pPr>
              <w:jc w:val="center"/>
            </w:pPr>
            <w:r>
              <w:rPr>
                <w:rFonts w:ascii="宋体" w:hAnsi="宋体" w:eastAsia="宋体"/>
                <w:sz w:val="16"/>
              </w:rPr>
              <w:t>=0.78万元/人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07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3631">
            <w:pPr>
              <w:jc w:val="center"/>
            </w:pPr>
            <w:r>
              <w:rPr>
                <w:rFonts w:ascii="宋体" w:hAnsi="宋体" w:eastAsia="宋体"/>
                <w:sz w:val="16"/>
              </w:rPr>
              <w:t>=0.78万元/人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79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47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BF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32A1">
            <w:pPr>
              <w:jc w:val="center"/>
            </w:pPr>
            <w:r>
              <w:rPr>
                <w:rFonts w:ascii="宋体" w:hAnsi="宋体" w:eastAsia="宋体"/>
                <w:sz w:val="16"/>
              </w:rPr>
              <w:t>0.78万元/人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F5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0B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BE09">
            <w:pPr>
              <w:jc w:val="center"/>
            </w:pPr>
          </w:p>
        </w:tc>
      </w:tr>
      <w:tr w14:paraId="159BF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C5B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32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A1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4365">
            <w:pPr>
              <w:jc w:val="center"/>
            </w:pPr>
            <w:r>
              <w:rPr>
                <w:rFonts w:ascii="宋体" w:hAnsi="宋体" w:eastAsia="宋体"/>
                <w:sz w:val="16"/>
              </w:rPr>
              <w:t>保障高龄自费老人基本生活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489D">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48E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E24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2A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C7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EBF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CEE1">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44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A1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6B1A">
            <w:pPr>
              <w:jc w:val="center"/>
            </w:pPr>
          </w:p>
        </w:tc>
      </w:tr>
      <w:tr w14:paraId="1CAB7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50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8A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29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D0E2">
            <w:pPr>
              <w:jc w:val="center"/>
            </w:pPr>
            <w:r>
              <w:rPr>
                <w:rFonts w:ascii="宋体" w:hAnsi="宋体" w:eastAsia="宋体"/>
                <w:sz w:val="16"/>
              </w:rPr>
              <w:t>90岁以上自费老人满意度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83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72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9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4B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40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5E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5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7F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42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E0B2">
            <w:pPr>
              <w:jc w:val="center"/>
            </w:pPr>
          </w:p>
        </w:tc>
      </w:tr>
      <w:tr w14:paraId="0F60AED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AF7B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00CD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0695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32D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4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FDEC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ACAC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3361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6E32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5EB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6A99B5"/>
        </w:tc>
      </w:tr>
    </w:tbl>
    <w:p w14:paraId="4A9845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F1AA3D6">
        <w:tc>
          <w:tcPr>
            <w:tcW w:w="8848" w:type="dxa"/>
            <w:gridSpan w:val="14"/>
            <w:vAlign w:val="center"/>
          </w:tcPr>
          <w:p w14:paraId="14194F8F">
            <w:pPr>
              <w:jc w:val="center"/>
            </w:pPr>
            <w:r>
              <w:rPr>
                <w:rFonts w:ascii="宋体" w:hAnsi="宋体" w:eastAsia="宋体"/>
                <w:sz w:val="24"/>
              </w:rPr>
              <w:t>项目支出绩效自评表</w:t>
            </w:r>
          </w:p>
        </w:tc>
      </w:tr>
      <w:tr w14:paraId="3BA33634">
        <w:tblPrEx>
          <w:tblCellMar>
            <w:top w:w="0" w:type="dxa"/>
            <w:left w:w="108" w:type="dxa"/>
            <w:bottom w:w="0" w:type="dxa"/>
            <w:right w:w="108" w:type="dxa"/>
          </w:tblCellMar>
        </w:tblPrEx>
        <w:tc>
          <w:tcPr>
            <w:tcW w:w="8848" w:type="dxa"/>
            <w:gridSpan w:val="14"/>
            <w:vAlign w:val="center"/>
          </w:tcPr>
          <w:p w14:paraId="18DA3868">
            <w:pPr>
              <w:jc w:val="center"/>
            </w:pPr>
            <w:r>
              <w:rPr>
                <w:rFonts w:ascii="宋体" w:hAnsi="宋体" w:eastAsia="宋体"/>
                <w:sz w:val="24"/>
              </w:rPr>
              <w:t>(2024年度)</w:t>
            </w:r>
          </w:p>
        </w:tc>
      </w:tr>
      <w:tr w14:paraId="10966B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972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AB54B8">
            <w:pPr>
              <w:jc w:val="center"/>
            </w:pPr>
            <w:r>
              <w:rPr>
                <w:rFonts w:ascii="宋体" w:hAnsi="宋体" w:eastAsia="宋体"/>
                <w:sz w:val="16"/>
              </w:rPr>
              <w:t>中央困难群众救助资金（农村、城市特困人员一次性生活补助）</w:t>
            </w:r>
          </w:p>
        </w:tc>
      </w:tr>
      <w:tr w14:paraId="2F734B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9D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8BF85E">
            <w:pPr>
              <w:jc w:val="center"/>
            </w:pPr>
            <w:r>
              <w:rPr>
                <w:rFonts w:ascii="宋体" w:hAnsi="宋体" w:eastAsia="宋体"/>
                <w:sz w:val="16"/>
              </w:rPr>
              <w:t>裕民县民政局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DF7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61EEA4">
            <w:pPr>
              <w:jc w:val="center"/>
            </w:pPr>
            <w:r>
              <w:rPr>
                <w:rFonts w:ascii="宋体" w:hAnsi="宋体" w:eastAsia="宋体"/>
                <w:sz w:val="16"/>
              </w:rPr>
              <w:t>裕民县社会福利院</w:t>
            </w:r>
          </w:p>
        </w:tc>
      </w:tr>
      <w:tr w14:paraId="1501E7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B75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B79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D09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EB8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6EF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FC8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DFC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8E52">
            <w:pPr>
              <w:jc w:val="center"/>
            </w:pPr>
            <w:r>
              <w:rPr>
                <w:rFonts w:ascii="宋体" w:hAnsi="宋体" w:eastAsia="宋体"/>
                <w:sz w:val="16"/>
              </w:rPr>
              <w:t>得分</w:t>
            </w:r>
          </w:p>
        </w:tc>
      </w:tr>
      <w:tr w14:paraId="04663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F23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5EB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93E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9272D">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99001">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8C8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F93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76E0">
            <w:pPr>
              <w:jc w:val="center"/>
            </w:pPr>
            <w:r>
              <w:rPr>
                <w:rFonts w:ascii="宋体" w:hAnsi="宋体" w:eastAsia="宋体"/>
                <w:sz w:val="16"/>
              </w:rPr>
              <w:t>10.00</w:t>
            </w:r>
          </w:p>
        </w:tc>
      </w:tr>
      <w:tr w14:paraId="4EA69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A0B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816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BEE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F6D78">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0EE08">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4D7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AFD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77FF">
            <w:pPr>
              <w:jc w:val="center"/>
            </w:pPr>
            <w:r>
              <w:rPr>
                <w:rFonts w:ascii="宋体" w:hAnsi="宋体" w:eastAsia="宋体"/>
                <w:sz w:val="16"/>
              </w:rPr>
              <w:t>—</w:t>
            </w:r>
          </w:p>
        </w:tc>
      </w:tr>
      <w:tr w14:paraId="1EE44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D00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1FE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999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4BF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915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57D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FB2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B1D7">
            <w:pPr>
              <w:jc w:val="center"/>
            </w:pPr>
            <w:r>
              <w:rPr>
                <w:rFonts w:ascii="宋体" w:hAnsi="宋体" w:eastAsia="宋体"/>
                <w:sz w:val="16"/>
              </w:rPr>
              <w:t>—</w:t>
            </w:r>
          </w:p>
        </w:tc>
      </w:tr>
      <w:tr w14:paraId="2B8BEA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BA23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653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2E799D">
            <w:pPr>
              <w:jc w:val="center"/>
            </w:pPr>
            <w:r>
              <w:rPr>
                <w:rFonts w:ascii="宋体" w:hAnsi="宋体" w:eastAsia="宋体"/>
                <w:sz w:val="16"/>
              </w:rPr>
              <w:t>实际完成情况</w:t>
            </w:r>
          </w:p>
        </w:tc>
      </w:tr>
      <w:tr w14:paraId="41EB3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075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87067">
            <w:pPr>
              <w:jc w:val="both"/>
            </w:pPr>
            <w:r>
              <w:rPr>
                <w:rFonts w:ascii="宋体" w:hAnsi="宋体" w:eastAsia="宋体"/>
                <w:sz w:val="16"/>
              </w:rPr>
              <w:t>根据国务院《社会救助暂行办法》，为 落实好自治区党委关于“力争到2024年有意愿的孤儿全部实现集中供养”的重要部署，切实为老人提供多元化全方位的服务，同时给老人们营造一个舒适的生活环境，让他们感觉到国家对弱势群体的关心、关怀是十分必要的。此项资金用于特困老人基本生活保障费，五保户和三无人员1000元/人/年，33人，共3.3万元，资金主要用于老人的生活费用、交通费用及外出活动开支，通过资金的使用，提高特困人员生活条件，让他们能够更快</w:t>
            </w:r>
            <w:r>
              <w:rPr>
                <w:rFonts w:hint="eastAsia" w:ascii="宋体" w:hAnsi="宋体"/>
                <w:sz w:val="16"/>
                <w:lang w:eastAsia="zh-CN"/>
              </w:rPr>
              <w:t>地</w:t>
            </w:r>
            <w:r>
              <w:rPr>
                <w:rFonts w:ascii="宋体" w:hAnsi="宋体" w:eastAsia="宋体"/>
                <w:sz w:val="16"/>
              </w:rPr>
              <w:t>适应社会生活，让他们懂得感恩社会，回报社会，在</w:t>
            </w:r>
            <w:r>
              <w:rPr>
                <w:rFonts w:hint="eastAsia" w:ascii="宋体" w:hAnsi="宋体"/>
                <w:sz w:val="16"/>
                <w:lang w:eastAsia="zh-CN"/>
              </w:rPr>
              <w:t>以后</w:t>
            </w:r>
            <w:r>
              <w:rPr>
                <w:rFonts w:ascii="宋体" w:hAnsi="宋体" w:eastAsia="宋体"/>
                <w:sz w:val="16"/>
              </w:rPr>
              <w:t>步入社会之时做一个德、智、体全面发展的有用人才。让他们感觉到国家对弱势群体的关心、关怀，感觉到党和国家政策的优越性。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AF2123">
            <w:pPr>
              <w:jc w:val="both"/>
            </w:pPr>
            <w:r>
              <w:rPr>
                <w:rFonts w:ascii="宋体" w:hAnsi="宋体" w:eastAsia="宋体"/>
                <w:sz w:val="16"/>
              </w:rPr>
              <w:t>根据塔地财社［2024]45号文件，为了更</w:t>
            </w:r>
            <w:r>
              <w:rPr>
                <w:rFonts w:hint="eastAsia" w:ascii="宋体" w:hAnsi="宋体"/>
                <w:sz w:val="16"/>
                <w:lang w:eastAsia="zh-CN"/>
              </w:rPr>
              <w:t>好地</w:t>
            </w:r>
            <w:r>
              <w:rPr>
                <w:rFonts w:ascii="宋体" w:hAnsi="宋体" w:eastAsia="宋体"/>
                <w:sz w:val="16"/>
              </w:rPr>
              <w:t>做好困难群众救助工作，下达的困难群众救助补助资金统筹用于人员供养、特困老人的基本生活保障支出，2024年社会福利院发放集中供养农村特困五保户和城市特困三无人员一次性生活补助中央资金：3.3万元，特困老人33人，1000元/人/年，资金主要用于特困人员吃、住、就医支出，资金发放给本人，目的是给弱势群体提供舒适的生活环境、让他们感受到国家对弱势群体的关怀。</w:t>
            </w:r>
          </w:p>
        </w:tc>
      </w:tr>
      <w:tr w14:paraId="47E3FF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73AF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200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529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C1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018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55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24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B9D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FA8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66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28F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EF4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49A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99F4">
            <w:pPr>
              <w:jc w:val="center"/>
            </w:pPr>
            <w:r>
              <w:rPr>
                <w:rFonts w:ascii="宋体" w:hAnsi="宋体" w:eastAsia="宋体"/>
                <w:sz w:val="16"/>
              </w:rPr>
              <w:t>偏差原因分析及改进措施</w:t>
            </w:r>
          </w:p>
        </w:tc>
      </w:tr>
      <w:tr w14:paraId="0D85B8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419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435B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822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8D3E">
            <w:pPr>
              <w:jc w:val="center"/>
            </w:pPr>
            <w:r>
              <w:rPr>
                <w:rFonts w:ascii="宋体" w:hAnsi="宋体" w:eastAsia="宋体"/>
                <w:sz w:val="16"/>
              </w:rPr>
              <w:t>集中供养特困老人人数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F984">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E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B9E4">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10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3A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4A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6E19">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DF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15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324F">
            <w:pPr>
              <w:jc w:val="center"/>
            </w:pPr>
          </w:p>
        </w:tc>
      </w:tr>
      <w:tr w14:paraId="093B87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4E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F6E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7BA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18A6">
            <w:pPr>
              <w:jc w:val="center"/>
            </w:pPr>
            <w:r>
              <w:rPr>
                <w:rFonts w:ascii="宋体" w:hAnsi="宋体" w:eastAsia="宋体"/>
                <w:sz w:val="16"/>
              </w:rPr>
              <w:t>集中供养老人生活补助覆盖率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08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2A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9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47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3E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FA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9A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8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2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33DF">
            <w:pPr>
              <w:jc w:val="center"/>
            </w:pPr>
          </w:p>
        </w:tc>
      </w:tr>
      <w:tr w14:paraId="6411F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BC3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CC7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D78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FF5E">
            <w:pPr>
              <w:jc w:val="center"/>
            </w:pPr>
            <w:r>
              <w:rPr>
                <w:rFonts w:ascii="宋体" w:hAnsi="宋体" w:eastAsia="宋体"/>
                <w:sz w:val="16"/>
              </w:rPr>
              <w:t>特困老人生活补助发放及时率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3D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B76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A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84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C9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5D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23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2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C70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063F">
            <w:pPr>
              <w:jc w:val="center"/>
            </w:pPr>
          </w:p>
        </w:tc>
      </w:tr>
      <w:tr w14:paraId="26117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E20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A38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078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C421">
            <w:pPr>
              <w:jc w:val="center"/>
            </w:pPr>
            <w:r>
              <w:rPr>
                <w:rFonts w:ascii="宋体" w:hAnsi="宋体" w:eastAsia="宋体"/>
                <w:sz w:val="16"/>
              </w:rPr>
              <w:t>救助资金发放时间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BA36">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547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CDF6">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F0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4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47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6E3C">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D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36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D2B27">
            <w:pPr>
              <w:jc w:val="center"/>
            </w:pPr>
          </w:p>
        </w:tc>
      </w:tr>
      <w:tr w14:paraId="6F06B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F8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DA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6E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CD41">
            <w:pPr>
              <w:jc w:val="center"/>
            </w:pPr>
            <w:r>
              <w:rPr>
                <w:rFonts w:ascii="宋体" w:hAnsi="宋体" w:eastAsia="宋体"/>
                <w:sz w:val="16"/>
              </w:rPr>
              <w:t>集中供养老人一次性生活补助标准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C8BE">
            <w:pPr>
              <w:jc w:val="center"/>
            </w:pPr>
            <w:r>
              <w:rPr>
                <w:rFonts w:ascii="宋体" w:hAnsi="宋体" w:eastAsia="宋体"/>
                <w:sz w:val="16"/>
              </w:rPr>
              <w:t>=1000元/人/年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F6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BF52">
            <w:pPr>
              <w:jc w:val="center"/>
            </w:pPr>
            <w:r>
              <w:rPr>
                <w:rFonts w:ascii="宋体" w:hAnsi="宋体" w:eastAsia="宋体"/>
                <w:sz w:val="16"/>
              </w:rPr>
              <w:t>1000元/人/年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52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FD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7D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CB20">
            <w:pPr>
              <w:jc w:val="center"/>
            </w:pPr>
            <w:r>
              <w:rPr>
                <w:rFonts w:ascii="宋体" w:hAnsi="宋体" w:eastAsia="宋体"/>
                <w:sz w:val="16"/>
              </w:rPr>
              <w:t>1000元/人/年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ED3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95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51FA0">
            <w:pPr>
              <w:jc w:val="center"/>
            </w:pPr>
          </w:p>
        </w:tc>
      </w:tr>
      <w:tr w14:paraId="5DC65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ED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9D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8C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874D">
            <w:pPr>
              <w:jc w:val="center"/>
            </w:pPr>
            <w:r>
              <w:rPr>
                <w:rFonts w:ascii="宋体" w:hAnsi="宋体" w:eastAsia="宋体"/>
                <w:sz w:val="16"/>
              </w:rPr>
              <w:t>保障集中供养人员基本生活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A6AE">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5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611D">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C0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A3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51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0E97">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7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DA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AC47">
            <w:pPr>
              <w:jc w:val="center"/>
            </w:pPr>
          </w:p>
        </w:tc>
      </w:tr>
      <w:tr w14:paraId="21073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24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FE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97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318E">
            <w:pPr>
              <w:jc w:val="center"/>
            </w:pPr>
            <w:r>
              <w:rPr>
                <w:rFonts w:ascii="宋体" w:hAnsi="宋体" w:eastAsia="宋体"/>
                <w:sz w:val="16"/>
              </w:rPr>
              <w:t>特困老人满意度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00B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C6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F1A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1B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82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ED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B9F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74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13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512A">
            <w:pPr>
              <w:jc w:val="center"/>
            </w:pPr>
          </w:p>
        </w:tc>
      </w:tr>
      <w:tr w14:paraId="14DC6BD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9385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6278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AE44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FAE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57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E879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B865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E2A9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70A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711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1A28E7"/>
        </w:tc>
      </w:tr>
    </w:tbl>
    <w:p w14:paraId="344D9C7E">
      <w:r>
        <w:br w:type="page"/>
      </w:r>
    </w:p>
    <w:p w14:paraId="545D635A">
      <w:pPr>
        <w:spacing w:line="640" w:lineRule="exact"/>
        <w:ind w:firstLine="640"/>
        <w:jc w:val="both"/>
        <w:outlineLvl w:val="2"/>
      </w:pPr>
      <w:r>
        <w:rPr>
          <w:rFonts w:ascii="黑体" w:hAnsi="黑体" w:eastAsia="黑体"/>
          <w:sz w:val="32"/>
        </w:rPr>
        <w:t>十二、其他需说明的事项</w:t>
      </w:r>
    </w:p>
    <w:p w14:paraId="70E2DF51">
      <w:pPr>
        <w:spacing w:line="580" w:lineRule="exact"/>
        <w:ind w:firstLine="640"/>
        <w:jc w:val="both"/>
      </w:pPr>
      <w:r>
        <w:rPr>
          <w:rFonts w:ascii="仿宋_GB2312" w:hAnsi="仿宋_GB2312" w:eastAsia="仿宋_GB2312"/>
          <w:b w:val="0"/>
          <w:sz w:val="32"/>
        </w:rPr>
        <w:t>本单位无其他需说明的事项。</w:t>
      </w:r>
    </w:p>
    <w:p w14:paraId="5DFFA8FF">
      <w:r>
        <w:br w:type="page"/>
      </w:r>
    </w:p>
    <w:p w14:paraId="64C61AA1">
      <w:pPr>
        <w:spacing w:line="240" w:lineRule="auto"/>
        <w:jc w:val="center"/>
        <w:outlineLvl w:val="1"/>
      </w:pPr>
      <w:r>
        <w:rPr>
          <w:rFonts w:ascii="黑体" w:hAnsi="黑体" w:eastAsia="黑体"/>
          <w:sz w:val="32"/>
        </w:rPr>
        <w:t>第三部分 专业名词解释</w:t>
      </w:r>
    </w:p>
    <w:p w14:paraId="1B36B5D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D6B63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80600D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B0CCE5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544797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322FB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4615B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D6F210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73EB5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BA0111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18A30D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0AE029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98AB6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8FF41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54EC36">
      <w:r>
        <w:br w:type="page"/>
      </w:r>
    </w:p>
    <w:p w14:paraId="4F1FF319">
      <w:pPr>
        <w:spacing w:line="240" w:lineRule="auto"/>
        <w:jc w:val="center"/>
        <w:outlineLvl w:val="1"/>
      </w:pPr>
      <w:r>
        <w:rPr>
          <w:rFonts w:ascii="黑体" w:hAnsi="黑体" w:eastAsia="黑体"/>
          <w:sz w:val="32"/>
        </w:rPr>
        <w:t>第四部分 部门决算报表（见附表）</w:t>
      </w:r>
    </w:p>
    <w:p w14:paraId="772DE0E5">
      <w:pPr>
        <w:spacing w:line="240" w:lineRule="auto"/>
        <w:ind w:firstLine="640"/>
        <w:jc w:val="both"/>
      </w:pPr>
      <w:r>
        <w:rPr>
          <w:rFonts w:ascii="仿宋_GB2312" w:hAnsi="仿宋_GB2312" w:eastAsia="仿宋_GB2312"/>
          <w:b w:val="0"/>
          <w:sz w:val="32"/>
        </w:rPr>
        <w:t>一、《收入支出决算总表》</w:t>
      </w:r>
    </w:p>
    <w:p w14:paraId="0B8FB9D0">
      <w:pPr>
        <w:spacing w:line="240" w:lineRule="auto"/>
        <w:ind w:firstLine="640"/>
        <w:jc w:val="both"/>
      </w:pPr>
      <w:r>
        <w:rPr>
          <w:rFonts w:ascii="仿宋_GB2312" w:hAnsi="仿宋_GB2312" w:eastAsia="仿宋_GB2312"/>
          <w:b w:val="0"/>
          <w:sz w:val="32"/>
        </w:rPr>
        <w:t>二、《收入决算表》</w:t>
      </w:r>
    </w:p>
    <w:p w14:paraId="41A4606E">
      <w:pPr>
        <w:spacing w:line="240" w:lineRule="auto"/>
        <w:ind w:firstLine="640"/>
        <w:jc w:val="both"/>
      </w:pPr>
      <w:r>
        <w:rPr>
          <w:rFonts w:ascii="仿宋_GB2312" w:hAnsi="仿宋_GB2312" w:eastAsia="仿宋_GB2312"/>
          <w:b w:val="0"/>
          <w:sz w:val="32"/>
        </w:rPr>
        <w:t>三、《支出决算表》</w:t>
      </w:r>
    </w:p>
    <w:p w14:paraId="4676EAAA">
      <w:pPr>
        <w:spacing w:line="240" w:lineRule="auto"/>
        <w:ind w:firstLine="640"/>
        <w:jc w:val="both"/>
      </w:pPr>
      <w:r>
        <w:rPr>
          <w:rFonts w:ascii="仿宋_GB2312" w:hAnsi="仿宋_GB2312" w:eastAsia="仿宋_GB2312"/>
          <w:b w:val="0"/>
          <w:sz w:val="32"/>
        </w:rPr>
        <w:t>四、《财政拨款收入支出决算总表》</w:t>
      </w:r>
    </w:p>
    <w:p w14:paraId="717293C2">
      <w:pPr>
        <w:spacing w:line="240" w:lineRule="auto"/>
        <w:ind w:firstLine="640"/>
        <w:jc w:val="both"/>
      </w:pPr>
      <w:r>
        <w:rPr>
          <w:rFonts w:ascii="仿宋_GB2312" w:hAnsi="仿宋_GB2312" w:eastAsia="仿宋_GB2312"/>
          <w:b w:val="0"/>
          <w:sz w:val="32"/>
        </w:rPr>
        <w:t>五、《一般公共预算财政拨款支出决算表》</w:t>
      </w:r>
    </w:p>
    <w:p w14:paraId="2EF519A5">
      <w:pPr>
        <w:spacing w:line="240" w:lineRule="auto"/>
        <w:ind w:firstLine="640"/>
        <w:jc w:val="both"/>
      </w:pPr>
      <w:r>
        <w:rPr>
          <w:rFonts w:ascii="仿宋_GB2312" w:hAnsi="仿宋_GB2312" w:eastAsia="仿宋_GB2312"/>
          <w:b w:val="0"/>
          <w:sz w:val="32"/>
        </w:rPr>
        <w:t>六、《一般公共预算财政拨款基本支出决算表》</w:t>
      </w:r>
    </w:p>
    <w:p w14:paraId="0C461A08">
      <w:pPr>
        <w:spacing w:line="240" w:lineRule="auto"/>
        <w:ind w:firstLine="640"/>
        <w:jc w:val="both"/>
      </w:pPr>
      <w:r>
        <w:rPr>
          <w:rFonts w:ascii="仿宋_GB2312" w:hAnsi="仿宋_GB2312" w:eastAsia="仿宋_GB2312"/>
          <w:b w:val="0"/>
          <w:sz w:val="32"/>
        </w:rPr>
        <w:t>七、《政府性基金预算财政拨款收入支出决算表》</w:t>
      </w:r>
    </w:p>
    <w:p w14:paraId="01C19D61">
      <w:pPr>
        <w:spacing w:line="240" w:lineRule="auto"/>
        <w:ind w:firstLine="640"/>
        <w:jc w:val="both"/>
      </w:pPr>
      <w:r>
        <w:rPr>
          <w:rFonts w:ascii="仿宋_GB2312" w:hAnsi="仿宋_GB2312" w:eastAsia="仿宋_GB2312"/>
          <w:b w:val="0"/>
          <w:sz w:val="32"/>
        </w:rPr>
        <w:t>八、《国有资本经营预算财政拨款收入支出决算表》</w:t>
      </w:r>
    </w:p>
    <w:p w14:paraId="772CD01E">
      <w:pPr>
        <w:spacing w:line="240" w:lineRule="auto"/>
        <w:ind w:firstLine="640"/>
        <w:jc w:val="both"/>
      </w:pPr>
      <w:r>
        <w:rPr>
          <w:rFonts w:ascii="仿宋_GB2312" w:hAnsi="仿宋_GB2312" w:eastAsia="仿宋_GB2312"/>
          <w:b w:val="0"/>
          <w:sz w:val="32"/>
        </w:rPr>
        <w:t>九、《财政拨款“三公”经费支出决算表》</w:t>
      </w:r>
    </w:p>
    <w:p w14:paraId="4FE445B4">
      <w:pPr>
        <w:spacing w:line="240" w:lineRule="auto"/>
        <w:ind w:firstLine="640"/>
        <w:jc w:val="both"/>
      </w:pPr>
    </w:p>
    <w:p w14:paraId="2C95B4C2">
      <w:pPr>
        <w:spacing w:line="240" w:lineRule="auto"/>
        <w:ind w:firstLine="640"/>
        <w:jc w:val="both"/>
      </w:pPr>
    </w:p>
    <w:p w14:paraId="1856CCC2">
      <w:pPr>
        <w:spacing w:line="240" w:lineRule="auto"/>
        <w:ind w:firstLine="640"/>
        <w:jc w:val="both"/>
      </w:pPr>
    </w:p>
    <w:p w14:paraId="1D97FFAC">
      <w:pPr>
        <w:spacing w:line="240" w:lineRule="auto"/>
        <w:ind w:firstLine="640"/>
        <w:jc w:val="both"/>
      </w:pPr>
    </w:p>
    <w:p w14:paraId="5561932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5">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753D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A64546"/>
    <w:rsid w:val="4B4C0111"/>
    <w:rsid w:val="4BB23021"/>
    <w:rsid w:val="4F3F074E"/>
    <w:rsid w:val="50DB5F45"/>
    <w:rsid w:val="52F92565"/>
    <w:rsid w:val="543D17CB"/>
    <w:rsid w:val="55DA564E"/>
    <w:rsid w:val="56E07045"/>
    <w:rsid w:val="583059FA"/>
    <w:rsid w:val="587E6212"/>
    <w:rsid w:val="5A09650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E00381"/>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6630</Words>
  <Characters>7517</Characters>
  <Lines>0</Lines>
  <Paragraphs>0</Paragraphs>
  <TotalTime>13</TotalTime>
  <ScaleCrop>false</ScaleCrop>
  <LinksUpToDate>false</LinksUpToDate>
  <CharactersWithSpaces>7526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2025-11-07T09:25:20Z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