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5E7FFE">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7CEB94B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FD2005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5B9029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EC4B5A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54F3DD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FC138F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005D7E6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B2C072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112CCE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BCECC1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8B8C79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517D10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FA655D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72F1C7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8C0EB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178B66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E9E437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146CEC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43F6BD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6071A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31BDF2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316D55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09C99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FA05C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B92CFC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EAFDD0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EACF68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DD1607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E6DAC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DC5550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1EBEA9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14935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45C5D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3E0854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42FF9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EB5EB1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007C5D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1AD5EE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6DF174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BADA4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F374E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70C795">
      <w:r>
        <w:br w:type="page"/>
      </w:r>
    </w:p>
    <w:p w14:paraId="7868AD76">
      <w:pPr>
        <w:spacing w:line="640" w:lineRule="exact"/>
        <w:jc w:val="center"/>
        <w:outlineLvl w:val="1"/>
      </w:pPr>
      <w:r>
        <w:rPr>
          <w:rFonts w:ascii="黑体" w:hAnsi="黑体" w:eastAsia="黑体"/>
          <w:sz w:val="32"/>
        </w:rPr>
        <w:t>第一部分 单位概况</w:t>
      </w:r>
    </w:p>
    <w:p w14:paraId="59D792CF">
      <w:pPr>
        <w:spacing w:line="640" w:lineRule="exact"/>
        <w:ind w:firstLine="640"/>
        <w:jc w:val="both"/>
        <w:outlineLvl w:val="2"/>
      </w:pPr>
      <w:r>
        <w:rPr>
          <w:rFonts w:ascii="黑体" w:hAnsi="黑体" w:eastAsia="黑体"/>
          <w:sz w:val="32"/>
        </w:rPr>
        <w:t>一、主要职能</w:t>
      </w:r>
    </w:p>
    <w:p w14:paraId="1B64B5C2">
      <w:pPr>
        <w:spacing w:line="580" w:lineRule="exact"/>
        <w:ind w:firstLine="640"/>
        <w:jc w:val="both"/>
      </w:pPr>
      <w:r>
        <w:rPr>
          <w:rFonts w:ascii="仿宋_GB2312" w:hAnsi="仿宋_GB2312" w:eastAsia="仿宋_GB2312"/>
          <w:sz w:val="32"/>
        </w:rPr>
        <w:t>（一）完成上级下达的疾病预防控制任务，负责县内疾病预防控制具体工作的管理和落实；负责县内疫苗使用管理，组织实施免疫、消毒、控制病媒生物的危害。</w:t>
      </w:r>
    </w:p>
    <w:p w14:paraId="4E473728">
      <w:pPr>
        <w:spacing w:line="580" w:lineRule="exact"/>
        <w:ind w:firstLine="640"/>
        <w:jc w:val="both"/>
      </w:pPr>
      <w:r>
        <w:rPr>
          <w:rFonts w:ascii="仿宋_GB2312" w:hAnsi="仿宋_GB2312" w:eastAsia="仿宋_GB2312"/>
          <w:sz w:val="32"/>
        </w:rPr>
        <w:t>（二）负责县内突发公共卫生事件的监测调查与信息收集、报告，落实具体控制措施。</w:t>
      </w:r>
    </w:p>
    <w:p w14:paraId="731F0DDB">
      <w:pPr>
        <w:spacing w:line="580" w:lineRule="exact"/>
        <w:ind w:firstLine="640"/>
        <w:jc w:val="both"/>
      </w:pPr>
      <w:r>
        <w:rPr>
          <w:rFonts w:ascii="仿宋_GB2312" w:hAnsi="仿宋_GB2312" w:eastAsia="仿宋_GB2312"/>
          <w:sz w:val="32"/>
        </w:rPr>
        <w:t>（三）开展病原微生物常规检验和常见污染物的检验。</w:t>
      </w:r>
    </w:p>
    <w:p w14:paraId="24EFAE92">
      <w:pPr>
        <w:spacing w:line="580" w:lineRule="exact"/>
        <w:ind w:firstLine="640"/>
        <w:jc w:val="both"/>
      </w:pPr>
      <w:r>
        <w:rPr>
          <w:rFonts w:ascii="仿宋_GB2312" w:hAnsi="仿宋_GB2312" w:eastAsia="仿宋_GB2312"/>
          <w:sz w:val="32"/>
        </w:rPr>
        <w:t>（四）承担卫生行政部门委托的与卫生监督执法相关的检验检测任务。</w:t>
      </w:r>
    </w:p>
    <w:p w14:paraId="257AF3D5">
      <w:pPr>
        <w:spacing w:line="580" w:lineRule="exact"/>
        <w:ind w:firstLine="640"/>
        <w:jc w:val="both"/>
      </w:pPr>
      <w:r>
        <w:rPr>
          <w:rFonts w:ascii="仿宋_GB2312" w:hAnsi="仿宋_GB2312" w:eastAsia="仿宋_GB2312"/>
          <w:sz w:val="32"/>
        </w:rPr>
        <w:t>（五）指导县内医疗卫生机构、社区卫生组织和农村乡（镇）卫生院开展卫生防病工作，负责考核和评价，对从事疾病预防控制相关工作人员进行培训。</w:t>
      </w:r>
    </w:p>
    <w:p w14:paraId="3D6EB5A1">
      <w:pPr>
        <w:spacing w:line="580" w:lineRule="exact"/>
        <w:ind w:firstLine="640"/>
        <w:jc w:val="both"/>
      </w:pPr>
      <w:r>
        <w:rPr>
          <w:rFonts w:ascii="仿宋_GB2312" w:hAnsi="仿宋_GB2312" w:eastAsia="仿宋_GB2312"/>
          <w:sz w:val="32"/>
        </w:rPr>
        <w:t>（六）负责</w:t>
      </w:r>
      <w:r>
        <w:rPr>
          <w:rFonts w:hint="eastAsia" w:ascii="仿宋_GB2312" w:hAnsi="仿宋_GB2312" w:eastAsia="仿宋_GB2312"/>
          <w:sz w:val="32"/>
          <w:lang w:val="en-US" w:eastAsia="zh-CN"/>
        </w:rPr>
        <w:t>YQ</w:t>
      </w:r>
      <w:r>
        <w:rPr>
          <w:rFonts w:ascii="仿宋_GB2312" w:hAnsi="仿宋_GB2312" w:eastAsia="仿宋_GB2312"/>
          <w:sz w:val="32"/>
        </w:rPr>
        <w:t>和公共卫生健康危害因素监测、报告，指导乡、村和有关部门收集、报告</w:t>
      </w:r>
      <w:r>
        <w:rPr>
          <w:rFonts w:hint="eastAsia" w:ascii="仿宋_GB2312" w:hAnsi="仿宋_GB2312" w:eastAsia="仿宋_GB2312"/>
          <w:sz w:val="32"/>
          <w:lang w:val="en-US" w:eastAsia="zh-CN"/>
        </w:rPr>
        <w:t>YQ</w:t>
      </w:r>
      <w:r>
        <w:rPr>
          <w:rFonts w:ascii="仿宋_GB2312" w:hAnsi="仿宋_GB2312" w:eastAsia="仿宋_GB2312"/>
          <w:sz w:val="32"/>
        </w:rPr>
        <w:t>。</w:t>
      </w:r>
    </w:p>
    <w:p w14:paraId="68C2BDB4">
      <w:pPr>
        <w:spacing w:line="580" w:lineRule="exact"/>
        <w:ind w:firstLine="640"/>
        <w:jc w:val="both"/>
      </w:pPr>
      <w:r>
        <w:rPr>
          <w:rFonts w:ascii="仿宋_GB2312" w:hAnsi="仿宋_GB2312" w:eastAsia="仿宋_GB2312"/>
          <w:sz w:val="32"/>
        </w:rPr>
        <w:t>（七）开展卫生宣传教育与健康促进活动，普及卫生防病知识。</w:t>
      </w:r>
    </w:p>
    <w:p w14:paraId="7A5BA114">
      <w:pPr>
        <w:spacing w:line="640" w:lineRule="exact"/>
        <w:ind w:firstLine="640"/>
        <w:jc w:val="both"/>
        <w:outlineLvl w:val="2"/>
      </w:pPr>
      <w:r>
        <w:rPr>
          <w:rFonts w:ascii="黑体" w:hAnsi="黑体" w:eastAsia="黑体"/>
          <w:sz w:val="32"/>
        </w:rPr>
        <w:t>二、机构设置及人员情况</w:t>
      </w:r>
    </w:p>
    <w:p w14:paraId="2694FED2">
      <w:pPr>
        <w:spacing w:line="580" w:lineRule="exact"/>
        <w:ind w:firstLine="640"/>
        <w:jc w:val="both"/>
      </w:pPr>
      <w:r>
        <w:rPr>
          <w:rFonts w:ascii="仿宋_GB2312" w:hAnsi="仿宋_GB2312" w:eastAsia="仿宋_GB2312"/>
          <w:sz w:val="32"/>
        </w:rPr>
        <w:t>裕民县疾病预防控制中心2024年度，实有人数65人，其中：在职人员33人，增加9人；离休人员0人，增加0人；退休人员32人,增加4人。</w:t>
      </w:r>
    </w:p>
    <w:p w14:paraId="0630E413">
      <w:pPr>
        <w:spacing w:line="580" w:lineRule="exact"/>
        <w:ind w:firstLine="640"/>
        <w:jc w:val="both"/>
      </w:pPr>
      <w:r>
        <w:rPr>
          <w:rFonts w:ascii="仿宋_GB2312" w:hAnsi="仿宋_GB2312" w:eastAsia="仿宋_GB2312"/>
          <w:sz w:val="32"/>
        </w:rPr>
        <w:t>裕民县疾病预防控制中心无下属预算单位，下设7个科室，分别是：办公室、传染病防治科、结核病防治科、地方病防治科、公共卫生科、检验科、财务科。</w:t>
      </w:r>
    </w:p>
    <w:p w14:paraId="08D16BE8">
      <w:r>
        <w:br w:type="page"/>
      </w:r>
    </w:p>
    <w:p w14:paraId="6DB81D49">
      <w:pPr>
        <w:spacing w:line="240" w:lineRule="auto"/>
        <w:jc w:val="center"/>
        <w:outlineLvl w:val="1"/>
      </w:pPr>
      <w:r>
        <w:rPr>
          <w:rFonts w:ascii="黑体" w:hAnsi="黑体" w:eastAsia="黑体"/>
          <w:sz w:val="32"/>
        </w:rPr>
        <w:t>第二部分 部门决算情况说明</w:t>
      </w:r>
    </w:p>
    <w:p w14:paraId="6F8C7E58">
      <w:pPr>
        <w:spacing w:line="640" w:lineRule="exact"/>
        <w:ind w:firstLine="640"/>
        <w:jc w:val="both"/>
        <w:outlineLvl w:val="2"/>
      </w:pPr>
      <w:r>
        <w:rPr>
          <w:rFonts w:ascii="黑体" w:hAnsi="黑体" w:eastAsia="黑体"/>
          <w:sz w:val="32"/>
        </w:rPr>
        <w:t>一、收入支出决算总体情况说明</w:t>
      </w:r>
    </w:p>
    <w:p w14:paraId="7F1D3D67">
      <w:pPr>
        <w:spacing w:line="580" w:lineRule="exact"/>
        <w:ind w:firstLine="640"/>
        <w:jc w:val="both"/>
      </w:pPr>
      <w:r>
        <w:rPr>
          <w:rFonts w:ascii="仿宋_GB2312" w:hAnsi="仿宋_GB2312" w:eastAsia="仿宋_GB2312"/>
          <w:b/>
          <w:sz w:val="32"/>
        </w:rPr>
        <w:t>2024年度收入总计930.64万元，</w:t>
      </w:r>
      <w:r>
        <w:rPr>
          <w:rFonts w:ascii="仿宋_GB2312" w:hAnsi="仿宋_GB2312" w:eastAsia="仿宋_GB2312"/>
          <w:b w:val="0"/>
          <w:sz w:val="32"/>
        </w:rPr>
        <w:t>其中：本年收入合计900.36万元，使用非财政拨款结余（含专用结余）0.00万元，年初结转和结余30.28万元。</w:t>
      </w:r>
    </w:p>
    <w:p w14:paraId="7B4CF3FB">
      <w:pPr>
        <w:spacing w:line="580" w:lineRule="exact"/>
        <w:ind w:firstLine="640"/>
        <w:jc w:val="both"/>
      </w:pPr>
      <w:r>
        <w:rPr>
          <w:rFonts w:ascii="仿宋_GB2312" w:hAnsi="仿宋_GB2312" w:eastAsia="仿宋_GB2312"/>
          <w:b/>
          <w:sz w:val="32"/>
        </w:rPr>
        <w:t>2024年度支出总计930.64万元，</w:t>
      </w:r>
      <w:r>
        <w:rPr>
          <w:rFonts w:ascii="仿宋_GB2312" w:hAnsi="仿宋_GB2312" w:eastAsia="仿宋_GB2312"/>
          <w:b w:val="0"/>
          <w:sz w:val="32"/>
        </w:rPr>
        <w:t>其中：本年支出合计838.25万元，结余分配0.00万元，年末结转和结余92.40万元。</w:t>
      </w:r>
    </w:p>
    <w:p w14:paraId="7547C74B">
      <w:pPr>
        <w:spacing w:line="580" w:lineRule="exact"/>
        <w:ind w:firstLine="640"/>
        <w:jc w:val="both"/>
      </w:pPr>
      <w:r>
        <w:rPr>
          <w:rFonts w:ascii="仿宋_GB2312" w:hAnsi="仿宋_GB2312" w:eastAsia="仿宋_GB2312"/>
          <w:b w:val="0"/>
          <w:sz w:val="32"/>
        </w:rPr>
        <w:t>收入支出总体与上年相比，增加211.87万元，增长29.48%，主要原因是：本年增加健康教育素养、传染病及突发公共卫生事件处理、肺结核患者健康管理、职业病防治项目。</w:t>
      </w:r>
    </w:p>
    <w:p w14:paraId="1195FA64">
      <w:pPr>
        <w:spacing w:line="640" w:lineRule="exact"/>
        <w:ind w:firstLine="640"/>
        <w:jc w:val="both"/>
        <w:outlineLvl w:val="2"/>
      </w:pPr>
      <w:r>
        <w:rPr>
          <w:rFonts w:ascii="黑体" w:hAnsi="黑体" w:eastAsia="黑体"/>
          <w:sz w:val="32"/>
        </w:rPr>
        <w:t>二、收入决算情况说明</w:t>
      </w:r>
    </w:p>
    <w:p w14:paraId="7B7C740C">
      <w:pPr>
        <w:spacing w:line="580" w:lineRule="exact"/>
        <w:ind w:firstLine="640"/>
        <w:jc w:val="both"/>
      </w:pPr>
      <w:r>
        <w:rPr>
          <w:rFonts w:ascii="仿宋_GB2312" w:hAnsi="仿宋_GB2312" w:eastAsia="仿宋_GB2312"/>
          <w:b/>
          <w:sz w:val="32"/>
        </w:rPr>
        <w:t>本年收入900.36万元，</w:t>
      </w:r>
      <w:r>
        <w:rPr>
          <w:rFonts w:ascii="仿宋_GB2312" w:hAnsi="仿宋_GB2312" w:eastAsia="仿宋_GB2312"/>
          <w:b w:val="0"/>
          <w:sz w:val="32"/>
        </w:rPr>
        <w:t>其中：财政拨款收入741.15万元，占82.32%；上级补助收入0.00万元，占0.00%；事业收入0.00万元，占0.00%；经营收入0.00万元，占0.00%；附属单位上缴收入0.00万元，占0.00%；其他收入159.21万元，占17.68%。</w:t>
      </w:r>
    </w:p>
    <w:p w14:paraId="69091562">
      <w:pPr>
        <w:spacing w:line="640" w:lineRule="exact"/>
        <w:ind w:firstLine="640"/>
        <w:jc w:val="both"/>
        <w:outlineLvl w:val="2"/>
      </w:pPr>
      <w:r>
        <w:rPr>
          <w:rFonts w:ascii="黑体" w:hAnsi="黑体" w:eastAsia="黑体"/>
          <w:sz w:val="32"/>
        </w:rPr>
        <w:t>三、支出决算情况说明</w:t>
      </w:r>
    </w:p>
    <w:p w14:paraId="181ED534">
      <w:pPr>
        <w:spacing w:line="580" w:lineRule="exact"/>
        <w:ind w:firstLine="640"/>
        <w:jc w:val="both"/>
      </w:pPr>
      <w:r>
        <w:rPr>
          <w:rFonts w:ascii="仿宋_GB2312" w:hAnsi="仿宋_GB2312" w:eastAsia="仿宋_GB2312"/>
          <w:b/>
          <w:sz w:val="32"/>
        </w:rPr>
        <w:t>本年支出838.25万元，</w:t>
      </w:r>
      <w:r>
        <w:rPr>
          <w:rFonts w:ascii="仿宋_GB2312" w:hAnsi="仿宋_GB2312" w:eastAsia="仿宋_GB2312"/>
          <w:b w:val="0"/>
          <w:sz w:val="32"/>
        </w:rPr>
        <w:t>其中：基本支出700.25万元，占83.54%；项目支出138.00万元，占16.46%；上缴上级支出0.00万元，占0.00%；经营支出0.00万元，占0.00%；对附属单位补助支出0.00万元，占0.00%。</w:t>
      </w:r>
    </w:p>
    <w:p w14:paraId="50F2A795">
      <w:pPr>
        <w:spacing w:line="640" w:lineRule="exact"/>
        <w:ind w:firstLine="640"/>
        <w:jc w:val="both"/>
        <w:outlineLvl w:val="2"/>
      </w:pPr>
      <w:r>
        <w:rPr>
          <w:rFonts w:ascii="黑体" w:hAnsi="黑体" w:eastAsia="黑体"/>
          <w:sz w:val="32"/>
        </w:rPr>
        <w:t>四、财政拨款收入支出决算总体情况说明</w:t>
      </w:r>
    </w:p>
    <w:p w14:paraId="770E3DF7">
      <w:pPr>
        <w:spacing w:line="580" w:lineRule="exact"/>
        <w:ind w:firstLine="640"/>
        <w:jc w:val="both"/>
      </w:pPr>
      <w:r>
        <w:rPr>
          <w:rFonts w:ascii="仿宋_GB2312" w:hAnsi="仿宋_GB2312" w:eastAsia="仿宋_GB2312"/>
          <w:b/>
          <w:sz w:val="32"/>
        </w:rPr>
        <w:t>2024年度财政拨款收入总计741.15万元，</w:t>
      </w:r>
      <w:r>
        <w:rPr>
          <w:rFonts w:ascii="仿宋_GB2312" w:hAnsi="仿宋_GB2312" w:eastAsia="仿宋_GB2312"/>
          <w:b w:val="0"/>
          <w:sz w:val="32"/>
        </w:rPr>
        <w:t>其中：年初财政拨款结转和结余0.00万元，本年财政拨款收入741.15万元。</w:t>
      </w:r>
      <w:r>
        <w:rPr>
          <w:rFonts w:ascii="仿宋_GB2312" w:hAnsi="仿宋_GB2312" w:eastAsia="仿宋_GB2312"/>
          <w:b/>
          <w:sz w:val="32"/>
        </w:rPr>
        <w:t>财政拨款支出总计741.15万元，</w:t>
      </w:r>
      <w:r>
        <w:rPr>
          <w:rFonts w:ascii="仿宋_GB2312" w:hAnsi="仿宋_GB2312" w:eastAsia="仿宋_GB2312"/>
          <w:b w:val="0"/>
          <w:sz w:val="32"/>
        </w:rPr>
        <w:t>其中：年末财政拨款结转和结余0.00万元，本年财政拨款支出741.15万元。</w:t>
      </w:r>
    </w:p>
    <w:p w14:paraId="10F9D79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增加152.51万元，增长25.91%，主要原因是：本年增加健康教育素养、传染病及突发公共卫生事件处理、肺结核患者健康管理、职业病防治项目。</w:t>
      </w:r>
      <w:r>
        <w:rPr>
          <w:rFonts w:ascii="仿宋_GB2312" w:hAnsi="仿宋_GB2312" w:eastAsia="仿宋_GB2312"/>
          <w:b/>
          <w:sz w:val="32"/>
        </w:rPr>
        <w:t>与年初预算相比，</w:t>
      </w:r>
      <w:r>
        <w:rPr>
          <w:rFonts w:ascii="仿宋_GB2312" w:hAnsi="仿宋_GB2312" w:eastAsia="仿宋_GB2312"/>
          <w:b w:val="0"/>
          <w:sz w:val="32"/>
        </w:rPr>
        <w:t>年初预算数761.34万元，决算数741.15万元，预决算差异率-2.65%，主要原因是：年中调减碘缺乏病检测补助项目资金。</w:t>
      </w:r>
    </w:p>
    <w:p w14:paraId="4CA0F9D4">
      <w:pPr>
        <w:spacing w:line="640" w:lineRule="exact"/>
        <w:ind w:firstLine="640"/>
        <w:jc w:val="both"/>
        <w:outlineLvl w:val="2"/>
      </w:pPr>
      <w:r>
        <w:rPr>
          <w:rFonts w:ascii="黑体" w:hAnsi="黑体" w:eastAsia="黑体"/>
          <w:sz w:val="32"/>
        </w:rPr>
        <w:t>五、一般公共预算财政拨款支出决算情况说明</w:t>
      </w:r>
    </w:p>
    <w:p w14:paraId="6A447E09">
      <w:pPr>
        <w:spacing w:line="640" w:lineRule="exact"/>
        <w:ind w:firstLine="640"/>
        <w:jc w:val="both"/>
        <w:outlineLvl w:val="3"/>
      </w:pPr>
      <w:r>
        <w:rPr>
          <w:rFonts w:ascii="楷体_GB2312" w:hAnsi="楷体_GB2312" w:eastAsia="楷体_GB2312"/>
          <w:b/>
          <w:sz w:val="32"/>
        </w:rPr>
        <w:t>（一）一般公共预算财政拨款支出决算总体情况</w:t>
      </w:r>
    </w:p>
    <w:p w14:paraId="3EE58DA1">
      <w:pPr>
        <w:spacing w:line="580" w:lineRule="exact"/>
        <w:ind w:firstLine="640"/>
        <w:jc w:val="both"/>
      </w:pPr>
      <w:r>
        <w:rPr>
          <w:rFonts w:ascii="仿宋_GB2312" w:hAnsi="仿宋_GB2312" w:eastAsia="仿宋_GB2312"/>
          <w:b/>
          <w:sz w:val="32"/>
        </w:rPr>
        <w:t>2024年度一般公共预算财政拨款支出741.15万元，</w:t>
      </w:r>
      <w:r>
        <w:rPr>
          <w:rFonts w:ascii="仿宋_GB2312" w:hAnsi="仿宋_GB2312" w:eastAsia="仿宋_GB2312"/>
          <w:b w:val="0"/>
          <w:sz w:val="32"/>
        </w:rPr>
        <w:t>占本年支出合计的88.42%。</w:t>
      </w:r>
      <w:r>
        <w:rPr>
          <w:rFonts w:ascii="仿宋_GB2312" w:hAnsi="仿宋_GB2312" w:eastAsia="仿宋_GB2312"/>
          <w:b/>
          <w:sz w:val="32"/>
        </w:rPr>
        <w:t>与上年相比，</w:t>
      </w:r>
      <w:r>
        <w:rPr>
          <w:rFonts w:ascii="仿宋_GB2312" w:hAnsi="仿宋_GB2312" w:eastAsia="仿宋_GB2312"/>
          <w:b w:val="0"/>
          <w:sz w:val="32"/>
        </w:rPr>
        <w:t>增加152.51万元，增长25.91%，主要原因是：本年增加健康教育素养、传染病及突发公共卫生事件处理、肺结核患者健康管理、职业病防治项目。</w:t>
      </w:r>
      <w:r>
        <w:rPr>
          <w:rFonts w:ascii="仿宋_GB2312" w:hAnsi="仿宋_GB2312" w:eastAsia="仿宋_GB2312"/>
          <w:b/>
          <w:sz w:val="32"/>
        </w:rPr>
        <w:t>与年初预算相比,</w:t>
      </w:r>
      <w:r>
        <w:rPr>
          <w:rFonts w:ascii="仿宋_GB2312" w:hAnsi="仿宋_GB2312" w:eastAsia="仿宋_GB2312"/>
          <w:b w:val="0"/>
          <w:sz w:val="32"/>
        </w:rPr>
        <w:t>年初预算数761.34万元，决算数741.15万元，预决算差异率-2.65%，主要原因是：年中调减碘缺乏病检测补助项目资金。</w:t>
      </w:r>
    </w:p>
    <w:p w14:paraId="2616B311">
      <w:pPr>
        <w:spacing w:line="640" w:lineRule="exact"/>
        <w:ind w:firstLine="640"/>
        <w:jc w:val="both"/>
        <w:outlineLvl w:val="3"/>
      </w:pPr>
      <w:r>
        <w:rPr>
          <w:rFonts w:ascii="楷体_GB2312" w:hAnsi="楷体_GB2312" w:eastAsia="楷体_GB2312"/>
          <w:b/>
          <w:sz w:val="32"/>
        </w:rPr>
        <w:t>（二）一般公共预算财政拨款支出决算结构情况</w:t>
      </w:r>
    </w:p>
    <w:p w14:paraId="45C541EF">
      <w:pPr>
        <w:spacing w:line="580" w:lineRule="exact"/>
        <w:ind w:firstLine="640"/>
        <w:jc w:val="both"/>
      </w:pPr>
      <w:r>
        <w:rPr>
          <w:rFonts w:ascii="仿宋_GB2312" w:hAnsi="仿宋_GB2312" w:eastAsia="仿宋_GB2312"/>
          <w:b w:val="0"/>
          <w:sz w:val="32"/>
        </w:rPr>
        <w:t>1.社会保障和就业支出(类)85.36万元,占11.52%。</w:t>
      </w:r>
    </w:p>
    <w:p w14:paraId="58D94999">
      <w:pPr>
        <w:spacing w:line="580" w:lineRule="exact"/>
        <w:ind w:firstLine="640"/>
        <w:jc w:val="both"/>
      </w:pPr>
      <w:r>
        <w:rPr>
          <w:rFonts w:ascii="仿宋_GB2312" w:hAnsi="仿宋_GB2312" w:eastAsia="仿宋_GB2312"/>
          <w:b w:val="0"/>
          <w:sz w:val="32"/>
        </w:rPr>
        <w:t>2.卫生健康支出(类)614.53万元,占82.92%。</w:t>
      </w:r>
    </w:p>
    <w:p w14:paraId="42718F32">
      <w:pPr>
        <w:spacing w:line="580" w:lineRule="exact"/>
        <w:ind w:firstLine="640"/>
        <w:jc w:val="both"/>
      </w:pPr>
      <w:r>
        <w:rPr>
          <w:rFonts w:ascii="仿宋_GB2312" w:hAnsi="仿宋_GB2312" w:eastAsia="仿宋_GB2312"/>
          <w:b w:val="0"/>
          <w:sz w:val="32"/>
        </w:rPr>
        <w:t>3.住房保障支出(类)41.26万元,占5.57%。</w:t>
      </w:r>
    </w:p>
    <w:p w14:paraId="64DCA24E">
      <w:pPr>
        <w:spacing w:line="640" w:lineRule="exact"/>
        <w:ind w:firstLine="640"/>
        <w:jc w:val="both"/>
        <w:outlineLvl w:val="3"/>
      </w:pPr>
      <w:r>
        <w:rPr>
          <w:rFonts w:ascii="楷体_GB2312" w:hAnsi="楷体_GB2312" w:eastAsia="楷体_GB2312"/>
          <w:b/>
          <w:sz w:val="32"/>
        </w:rPr>
        <w:t>（三）一般公共预算财政拨款支出决算具体情况</w:t>
      </w:r>
    </w:p>
    <w:p w14:paraId="62DF45F6">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22.90万元，比上年决算增加8.17万元，增长55.47%,主要原因是：本年增加退休人员，增加退休人员基础绩效奖，退休费支出增加。</w:t>
      </w:r>
    </w:p>
    <w:p w14:paraId="48C6611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55.60万元，比上年决算增加17.83万元，增长47.21%,主要原因是：本年在职人员增加，工资基数调增，养老缴费基数上涨，相应支出增加。</w:t>
      </w:r>
    </w:p>
    <w:p w14:paraId="7D30749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3.社会保障和就业支出(类)行政事业单位养老支出(款)机关事业单位职业年金缴费支出(项):支出决算数为6.86万元，比上年决算增加6.86万元，增长100.00%,主要原因是：本年新增退休人员，职业年金缴费支出增加。</w:t>
      </w:r>
    </w:p>
    <w:p w14:paraId="6CC4219C">
      <w:pPr>
        <w:spacing w:line="580" w:lineRule="exact"/>
        <w:ind w:firstLine="640"/>
        <w:jc w:val="both"/>
      </w:pPr>
      <w:r>
        <w:rPr>
          <w:rFonts w:ascii="仿宋_GB2312" w:hAnsi="仿宋_GB2312" w:eastAsia="仿宋_GB2312"/>
          <w:b w:val="0"/>
          <w:sz w:val="32"/>
        </w:rPr>
        <w:t>4.卫生健康支出(类)公共卫生(款)疾病预防控制机构(项):支出决算数为450.20万元，比上年决算增加91.30万元，增长25.44%,主要原因是：本年新增人员，人员工资调增，人员经费增加。</w:t>
      </w:r>
    </w:p>
    <w:p w14:paraId="161FAB25">
      <w:pPr>
        <w:spacing w:line="580" w:lineRule="exact"/>
        <w:ind w:firstLine="640"/>
        <w:jc w:val="both"/>
      </w:pPr>
      <w:r>
        <w:rPr>
          <w:rFonts w:ascii="仿宋_GB2312" w:hAnsi="仿宋_GB2312" w:eastAsia="仿宋_GB2312"/>
          <w:b w:val="0"/>
          <w:sz w:val="32"/>
        </w:rPr>
        <w:t>5.卫生健康支出(类)公共卫生(款)基本公共卫生服务(项):支出决算数为31.99万元，比上年决算增加4.81万元，增长17.70%,主要原因是：本年增加传染病及突发公共卫生事件处理项目。</w:t>
      </w:r>
    </w:p>
    <w:p w14:paraId="0F266F89">
      <w:pPr>
        <w:spacing w:line="580" w:lineRule="exact"/>
        <w:ind w:firstLine="640"/>
        <w:jc w:val="both"/>
      </w:pPr>
      <w:r>
        <w:rPr>
          <w:rFonts w:ascii="仿宋_GB2312" w:hAnsi="仿宋_GB2312" w:eastAsia="仿宋_GB2312"/>
          <w:b w:val="0"/>
          <w:sz w:val="32"/>
        </w:rPr>
        <w:t>6.卫生健康支出(类)公共卫生(款)重大公共卫生服务(项):支出决算数为105.51万元，比上年决算增加12.79万元，增长13.79%,主要原因是：本年增加重大疾病与健康危险因素监测项目资金。</w:t>
      </w:r>
    </w:p>
    <w:p w14:paraId="14EDDD03">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7.卫生健康支出(类)公共卫生(款)突发公共卫生事件应急处理(项):支出决算数为0.00万元，比上年决算减少9.04万元，下降100.00%,主要原因是：本年减少自治区医务人员临时性工作补助项目。</w:t>
      </w:r>
    </w:p>
    <w:p w14:paraId="2B9485D7">
      <w:pPr>
        <w:spacing w:line="580" w:lineRule="exact"/>
        <w:ind w:firstLine="640"/>
        <w:jc w:val="both"/>
      </w:pPr>
      <w:r>
        <w:rPr>
          <w:rFonts w:ascii="仿宋_GB2312" w:hAnsi="仿宋_GB2312" w:eastAsia="仿宋_GB2312"/>
          <w:b w:val="0"/>
          <w:sz w:val="32"/>
        </w:rPr>
        <w:t>8.卫生健康支出(类)公共卫生(款)其他公共卫生支出(项):支出决算数为0.50万元，比上年决算增加0.50万元，增长100.00%,主要原因是：本年新增县级配套全民体检费项目资金。</w:t>
      </w:r>
    </w:p>
    <w:p w14:paraId="3D1AAAA1">
      <w:pPr>
        <w:spacing w:line="580" w:lineRule="exact"/>
        <w:ind w:firstLine="640"/>
        <w:jc w:val="both"/>
      </w:pPr>
      <w:r>
        <w:rPr>
          <w:rFonts w:ascii="仿宋_GB2312" w:hAnsi="仿宋_GB2312" w:eastAsia="仿宋_GB2312"/>
          <w:b w:val="0"/>
          <w:sz w:val="32"/>
        </w:rPr>
        <w:t>9.卫生健康支出(类)行政事业单位医疗(款)事业单位医疗(项):支出决算数为24.15万元，比上年决算增加7.07万元，增长41.39%,主要原因是：本年在职人员增加，工资基数调增，医疗缴费基数上涨，相应支出增加。</w:t>
      </w:r>
    </w:p>
    <w:p w14:paraId="6D0A8F49">
      <w:pPr>
        <w:spacing w:line="580" w:lineRule="exact"/>
        <w:ind w:firstLine="640"/>
        <w:jc w:val="both"/>
      </w:pPr>
      <w:r>
        <w:rPr>
          <w:rFonts w:ascii="仿宋_GB2312" w:hAnsi="仿宋_GB2312" w:eastAsia="仿宋_GB2312"/>
          <w:b w:val="0"/>
          <w:sz w:val="32"/>
        </w:rPr>
        <w:t>10.卫生健康支出(类)行政事业单位医疗(款)公务员医疗补助(项):支出决算数为2.19万元，比上年决算增加2.19万元，增长100.00%,主要原因是：本年功能科目调整，公务员医疗补助上年度在主科目列支，本年单独列支，导致经费较上年增加。</w:t>
      </w:r>
    </w:p>
    <w:p w14:paraId="13B49276">
      <w:pPr>
        <w:spacing w:line="580" w:lineRule="exact"/>
        <w:ind w:firstLine="640"/>
        <w:jc w:val="both"/>
      </w:pPr>
      <w:r>
        <w:rPr>
          <w:rFonts w:ascii="仿宋_GB2312" w:hAnsi="仿宋_GB2312" w:eastAsia="仿宋_GB2312"/>
          <w:b w:val="0"/>
          <w:sz w:val="32"/>
        </w:rPr>
        <w:t>11.农林水支出(类)农业农村(款)其他农业农村支出(项):支出决算数为0.00万元，比上年决算减少2.70万元，下降100.00%,主要原因是：本年减少</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工作队经费项目。</w:t>
      </w:r>
    </w:p>
    <w:p w14:paraId="0CA32E2F">
      <w:pPr>
        <w:spacing w:line="580" w:lineRule="exact"/>
        <w:ind w:firstLine="640"/>
        <w:jc w:val="both"/>
      </w:pPr>
      <w:r>
        <w:rPr>
          <w:rFonts w:ascii="仿宋_GB2312" w:hAnsi="仿宋_GB2312" w:eastAsia="仿宋_GB2312"/>
          <w:b w:val="0"/>
          <w:sz w:val="32"/>
        </w:rPr>
        <w:t>12.住房保障支出(类)住房改革支出(款)住房公积金(项):支出决算数为41.26万元，比上年决算增加12.75万元，增长44.72%,主要原因是：本年在职人员增加，工资基数调增，公积金缴费基数上涨，相应支出增加。</w:t>
      </w:r>
    </w:p>
    <w:p w14:paraId="7BA7CD09">
      <w:pPr>
        <w:spacing w:line="640" w:lineRule="exact"/>
        <w:ind w:firstLine="640"/>
        <w:jc w:val="both"/>
        <w:outlineLvl w:val="2"/>
      </w:pPr>
      <w:r>
        <w:rPr>
          <w:rFonts w:ascii="黑体" w:hAnsi="黑体" w:eastAsia="黑体"/>
          <w:sz w:val="32"/>
        </w:rPr>
        <w:t>六、一般公共预算财政拨款基本支出决算情况说明</w:t>
      </w:r>
    </w:p>
    <w:p w14:paraId="1EFF2771">
      <w:pPr>
        <w:spacing w:line="580" w:lineRule="exact"/>
        <w:ind w:firstLine="640"/>
        <w:jc w:val="both"/>
      </w:pPr>
      <w:r>
        <w:rPr>
          <w:rFonts w:ascii="仿宋_GB2312" w:hAnsi="仿宋_GB2312" w:eastAsia="仿宋_GB2312"/>
          <w:b w:val="0"/>
          <w:sz w:val="32"/>
        </w:rPr>
        <w:t>2024年度一般公共预算财政拨款基本支出603.16万元，其中：</w:t>
      </w:r>
      <w:r>
        <w:rPr>
          <w:rFonts w:ascii="仿宋_GB2312" w:hAnsi="仿宋_GB2312" w:eastAsia="仿宋_GB2312"/>
          <w:b/>
          <w:sz w:val="32"/>
        </w:rPr>
        <w:t>人员经费579.80万元，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14:paraId="27D6CD25">
      <w:pPr>
        <w:spacing w:line="580" w:lineRule="exact"/>
        <w:ind w:firstLine="640"/>
        <w:jc w:val="both"/>
      </w:pPr>
      <w:r>
        <w:rPr>
          <w:rFonts w:ascii="仿宋_GB2312" w:hAnsi="仿宋_GB2312" w:eastAsia="仿宋_GB2312"/>
          <w:b/>
          <w:sz w:val="32"/>
        </w:rPr>
        <w:t>公用经费23.35万元，</w:t>
      </w:r>
      <w:r>
        <w:rPr>
          <w:rFonts w:ascii="仿宋_GB2312" w:hAnsi="仿宋_GB2312" w:eastAsia="仿宋_GB2312"/>
          <w:b w:val="0"/>
          <w:sz w:val="32"/>
        </w:rPr>
        <w:t>包括：办公费、水费、电费、邮电费、取暖费、委托业务费、工会经费、公务用车运行维护费。</w:t>
      </w:r>
    </w:p>
    <w:p w14:paraId="479BF4BD">
      <w:pPr>
        <w:spacing w:line="640" w:lineRule="exact"/>
        <w:ind w:firstLine="640"/>
        <w:jc w:val="both"/>
        <w:outlineLvl w:val="2"/>
      </w:pPr>
      <w:r>
        <w:rPr>
          <w:rFonts w:ascii="黑体" w:hAnsi="黑体" w:eastAsia="黑体"/>
          <w:sz w:val="32"/>
        </w:rPr>
        <w:t>七、政府性基金预算财政拨款收入支出决算情况说明</w:t>
      </w:r>
    </w:p>
    <w:p w14:paraId="37B174B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2401EE7">
      <w:pPr>
        <w:spacing w:line="640" w:lineRule="exact"/>
        <w:ind w:firstLine="640"/>
        <w:jc w:val="both"/>
        <w:outlineLvl w:val="2"/>
      </w:pPr>
      <w:r>
        <w:rPr>
          <w:rFonts w:ascii="黑体" w:hAnsi="黑体" w:eastAsia="黑体"/>
          <w:sz w:val="32"/>
        </w:rPr>
        <w:t>八、国有资本经营预算财政拨款收入支出决算情况说明</w:t>
      </w:r>
    </w:p>
    <w:p w14:paraId="03B44E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925D54">
      <w:pPr>
        <w:spacing w:line="640" w:lineRule="exact"/>
        <w:ind w:firstLine="640"/>
        <w:jc w:val="both"/>
        <w:outlineLvl w:val="2"/>
      </w:pPr>
      <w:r>
        <w:rPr>
          <w:rFonts w:ascii="黑体" w:hAnsi="黑体" w:eastAsia="黑体"/>
          <w:sz w:val="32"/>
        </w:rPr>
        <w:t>九、财政拨款“三公”经费支出决算情况说明</w:t>
      </w:r>
    </w:p>
    <w:p w14:paraId="528AAC20">
      <w:pPr>
        <w:spacing w:line="580" w:lineRule="exact"/>
        <w:ind w:firstLine="640"/>
        <w:jc w:val="both"/>
      </w:pPr>
      <w:r>
        <w:rPr>
          <w:rFonts w:ascii="仿宋_GB2312" w:hAnsi="仿宋_GB2312" w:eastAsia="仿宋_GB2312"/>
          <w:b/>
          <w:sz w:val="32"/>
        </w:rPr>
        <w:t>2024年度财政拨款“三公”经费支出1.08万元，</w:t>
      </w:r>
      <w:r>
        <w:rPr>
          <w:rFonts w:ascii="仿宋_GB2312" w:hAnsi="仿宋_GB2312" w:eastAsia="仿宋_GB2312"/>
          <w:b w:val="0"/>
          <w:sz w:val="32"/>
        </w:rPr>
        <w:t>比上年增加0.57万元，增长111.76%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1.08万元，占100.00%，比上年增加0.57万元，增长111.76%，主要原因是：本单位公务用车日渐老化，维修维护成本增加，导致公务用车运行维护费较上年增加。公务接待费支出0.00万元，占0.00%，比上年增加0.00万元，增长0.00%，主要原因是：2023年与2024年均未安排公务接待费支出。</w:t>
      </w:r>
    </w:p>
    <w:p w14:paraId="39F7A2BD">
      <w:pPr>
        <w:spacing w:line="580" w:lineRule="exact"/>
        <w:ind w:firstLine="640"/>
        <w:jc w:val="both"/>
      </w:pPr>
      <w:r>
        <w:rPr>
          <w:rFonts w:ascii="仿宋_GB2312" w:hAnsi="仿宋_GB2312" w:eastAsia="仿宋_GB2312"/>
          <w:b/>
          <w:sz w:val="32"/>
        </w:rPr>
        <w:t>具体情况如下：</w:t>
      </w:r>
    </w:p>
    <w:p w14:paraId="0FE9077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8258F0">
      <w:pPr>
        <w:spacing w:line="580" w:lineRule="exact"/>
        <w:ind w:firstLine="640"/>
        <w:jc w:val="both"/>
      </w:pPr>
      <w:r>
        <w:rPr>
          <w:rFonts w:ascii="仿宋_GB2312" w:hAnsi="仿宋_GB2312" w:eastAsia="仿宋_GB2312"/>
          <w:b w:val="0"/>
          <w:sz w:val="32"/>
        </w:rPr>
        <w:t>公务用车购置及运行维护费1.08万元，其中：公务用车购置费0.00万元，公务用车运行维护费1.08万元。公务用车运行维护费开支内容包括车辆加油费、维修费、保险费、审车费、过路费等。公务用车购置数0辆，公务用车保有量4辆。国有资产占用情况中固定资产车辆6辆，与公务用车保有量差异原因是：差异车辆为一般业务用车，预算未安排公务用车运行维护费。</w:t>
      </w:r>
    </w:p>
    <w:p w14:paraId="3CE8042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A71294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财政拨款“三公”经费支出全年预算数4.00万元，决算数1.08万元，预决算差异率-73.00%，主要原因是：严格落实中央</w:t>
      </w:r>
      <w:bookmarkStart w:id="0" w:name="_GoBack"/>
      <w:bookmarkEnd w:id="0"/>
      <w:r>
        <w:rPr>
          <w:rFonts w:ascii="仿宋_GB2312" w:hAnsi="仿宋_GB2312" w:eastAsia="仿宋_GB2312"/>
          <w:b w:val="0"/>
          <w:sz w:val="32"/>
        </w:rPr>
        <w:t>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1.08万元，预决算差异率-73.00%，主要原因是：严格落实中央八项规定精神，厉行节约，减少经费支出。公务接待费全年预算数0.00万元，决算数0.00万元，预决算差异率0.00%，主要原因是：本单位无公务接待费。</w:t>
      </w:r>
    </w:p>
    <w:p w14:paraId="640BA4D2">
      <w:pPr>
        <w:spacing w:line="640" w:lineRule="exact"/>
        <w:ind w:firstLine="640"/>
        <w:jc w:val="both"/>
        <w:outlineLvl w:val="2"/>
      </w:pPr>
      <w:r>
        <w:rPr>
          <w:rFonts w:ascii="黑体" w:hAnsi="黑体" w:eastAsia="黑体"/>
          <w:sz w:val="32"/>
        </w:rPr>
        <w:t>十、其他重要事项的情况说明</w:t>
      </w:r>
    </w:p>
    <w:p w14:paraId="33799412">
      <w:pPr>
        <w:spacing w:line="640" w:lineRule="exact"/>
        <w:ind w:firstLine="640"/>
        <w:jc w:val="both"/>
        <w:outlineLvl w:val="3"/>
      </w:pPr>
      <w:r>
        <w:rPr>
          <w:rFonts w:ascii="楷体_GB2312" w:hAnsi="楷体_GB2312" w:eastAsia="楷体_GB2312"/>
          <w:b/>
          <w:sz w:val="32"/>
        </w:rPr>
        <w:t>（一）机关运行经费及公用经费支出情况</w:t>
      </w:r>
    </w:p>
    <w:p w14:paraId="2A923350">
      <w:pPr>
        <w:spacing w:line="580" w:lineRule="exact"/>
        <w:ind w:firstLine="640"/>
        <w:jc w:val="both"/>
      </w:pPr>
      <w:r>
        <w:rPr>
          <w:rFonts w:ascii="仿宋_GB2312" w:hAnsi="仿宋_GB2312" w:eastAsia="仿宋_GB2312"/>
          <w:b w:val="0"/>
          <w:sz w:val="32"/>
        </w:rPr>
        <w:t>2024年度裕民县疾病预防控制中心（事业单位）公用经费支出23.35万元，比上年增加2.79万元，增长13.57%，主要原因是：本年更新、维护补充办公用品，导致公用经费较上年增加。</w:t>
      </w:r>
    </w:p>
    <w:p w14:paraId="7B94536A">
      <w:pPr>
        <w:spacing w:line="640" w:lineRule="exact"/>
        <w:ind w:firstLine="640"/>
        <w:jc w:val="both"/>
        <w:outlineLvl w:val="3"/>
      </w:pPr>
      <w:r>
        <w:rPr>
          <w:rFonts w:ascii="楷体_GB2312" w:hAnsi="楷体_GB2312" w:eastAsia="楷体_GB2312"/>
          <w:b/>
          <w:sz w:val="32"/>
        </w:rPr>
        <w:t>（二）政府采购情况</w:t>
      </w:r>
    </w:p>
    <w:p w14:paraId="5744ED94">
      <w:pPr>
        <w:spacing w:line="580" w:lineRule="exact"/>
        <w:ind w:firstLine="640"/>
        <w:jc w:val="both"/>
      </w:pPr>
      <w:r>
        <w:rPr>
          <w:rFonts w:ascii="仿宋_GB2312" w:hAnsi="仿宋_GB2312" w:eastAsia="仿宋_GB2312"/>
          <w:b w:val="0"/>
          <w:sz w:val="32"/>
        </w:rPr>
        <w:t>2024年度政府采购支出总额76.50万元，其中：政府采购货物支出47.44万元、政府采购工程支出0.00万元、政府采购服务支出29.07万元。</w:t>
      </w:r>
    </w:p>
    <w:p w14:paraId="61BBB336">
      <w:pPr>
        <w:spacing w:line="580" w:lineRule="exact"/>
        <w:ind w:firstLine="640"/>
        <w:jc w:val="both"/>
      </w:pPr>
      <w:r>
        <w:rPr>
          <w:rFonts w:ascii="仿宋_GB2312" w:hAnsi="仿宋_GB2312" w:eastAsia="仿宋_GB2312"/>
          <w:b w:val="0"/>
          <w:sz w:val="32"/>
        </w:rPr>
        <w:t>授予中小企业合同金额71.60万元，占政府采购支出总额的93.59%，其中：授予小微企业合同金额71.60万元，占政府采购支出总额的93.59%。</w:t>
      </w:r>
    </w:p>
    <w:p w14:paraId="4044D31A">
      <w:pPr>
        <w:spacing w:line="640" w:lineRule="exact"/>
        <w:ind w:firstLine="640"/>
        <w:jc w:val="both"/>
        <w:outlineLvl w:val="3"/>
      </w:pPr>
      <w:r>
        <w:rPr>
          <w:rFonts w:ascii="楷体_GB2312" w:hAnsi="楷体_GB2312" w:eastAsia="楷体_GB2312"/>
          <w:b/>
          <w:sz w:val="32"/>
        </w:rPr>
        <w:t>（三）国有资产占用情况说明</w:t>
      </w:r>
    </w:p>
    <w:p w14:paraId="3D1EA9EC">
      <w:pPr>
        <w:spacing w:line="580" w:lineRule="exact"/>
        <w:ind w:firstLine="640"/>
        <w:jc w:val="both"/>
      </w:pPr>
      <w:r>
        <w:rPr>
          <w:rFonts w:ascii="仿宋_GB2312" w:hAnsi="仿宋_GB2312" w:eastAsia="仿宋_GB2312"/>
          <w:b w:val="0"/>
          <w:sz w:val="32"/>
        </w:rPr>
        <w:t>截至2024年12月31日，房屋4,547.23平方米，价值995.72万元。车辆6辆，价值138.39万元，其中：副部（省）级及以上领导用车0辆、主要负责人用车0辆、机要通信用车0辆、应急保障用车0辆、执法执勤用车2辆、特种专业技术用车0辆、离退休干部服务用车0辆、其他用车4辆，其他用车主要是：一般公务用车。单价100万元（含）以上设备（不含车辆）0台（套）。</w:t>
      </w:r>
    </w:p>
    <w:p w14:paraId="259B10A9">
      <w:pPr>
        <w:spacing w:line="640" w:lineRule="exact"/>
        <w:ind w:firstLine="640"/>
        <w:jc w:val="both"/>
        <w:outlineLvl w:val="2"/>
      </w:pPr>
      <w:r>
        <w:rPr>
          <w:rFonts w:ascii="黑体" w:hAnsi="黑体" w:eastAsia="黑体"/>
          <w:sz w:val="32"/>
        </w:rPr>
        <w:t>十一、预算绩效的情况说明</w:t>
      </w:r>
    </w:p>
    <w:p w14:paraId="2B08F3B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930.64万元，实际执行总额838.24万元；预算绩效评价项目3个，全年预算数138.00万元，全年执行数138.00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二是绩效管理理念有待进一步强化。三是预算编制工作可进一步细化。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14:paraId="04BD49FC">
      <w:r>
        <w:br w:type="page"/>
      </w:r>
    </w:p>
    <w:tbl>
      <w:tblPr>
        <w:tblStyle w:val="9"/>
        <w:tblW w:w="4779" w:type="pct"/>
        <w:jc w:val="center"/>
        <w:tblLayout w:type="autofit"/>
        <w:tblCellMar>
          <w:top w:w="0" w:type="dxa"/>
          <w:left w:w="108" w:type="dxa"/>
          <w:bottom w:w="0" w:type="dxa"/>
          <w:right w:w="108" w:type="dxa"/>
        </w:tblCellMar>
      </w:tblPr>
      <w:tblGrid>
        <w:gridCol w:w="591"/>
        <w:gridCol w:w="1373"/>
        <w:gridCol w:w="1488"/>
        <w:gridCol w:w="999"/>
        <w:gridCol w:w="1819"/>
        <w:gridCol w:w="674"/>
        <w:gridCol w:w="1150"/>
        <w:gridCol w:w="566"/>
      </w:tblGrid>
      <w:tr w14:paraId="1DE2B622">
        <w:tblPrEx>
          <w:tblCellMar>
            <w:top w:w="0" w:type="dxa"/>
            <w:left w:w="108" w:type="dxa"/>
            <w:bottom w:w="0" w:type="dxa"/>
            <w:right w:w="108" w:type="dxa"/>
          </w:tblCellMar>
        </w:tblPrEx>
        <w:trPr>
          <w:trHeight w:val="467" w:hRule="atLeast"/>
          <w:jc w:val="center"/>
        </w:trPr>
        <w:tc>
          <w:tcPr>
            <w:tcW w:w="5000" w:type="pct"/>
            <w:gridSpan w:val="8"/>
            <w:vAlign w:val="center"/>
          </w:tcPr>
          <w:p w14:paraId="708FA448">
            <w:pPr>
              <w:snapToGrid w:val="0"/>
              <w:jc w:val="center"/>
            </w:pPr>
            <w:r>
              <w:rPr>
                <w:rFonts w:ascii="宋体" w:hAnsi="宋体" w:eastAsia="宋体"/>
                <w:sz w:val="24"/>
              </w:rPr>
              <w:t>单位整体支出绩效自评表</w:t>
            </w:r>
          </w:p>
        </w:tc>
      </w:tr>
      <w:tr w14:paraId="5FA56A93">
        <w:tblPrEx>
          <w:tblCellMar>
            <w:top w:w="0" w:type="dxa"/>
            <w:left w:w="108" w:type="dxa"/>
            <w:bottom w:w="0" w:type="dxa"/>
            <w:right w:w="108" w:type="dxa"/>
          </w:tblCellMar>
        </w:tblPrEx>
        <w:trPr>
          <w:trHeight w:val="467" w:hRule="atLeast"/>
          <w:jc w:val="center"/>
        </w:trPr>
        <w:tc>
          <w:tcPr>
            <w:tcW w:w="5000" w:type="pct"/>
            <w:gridSpan w:val="8"/>
            <w:vAlign w:val="center"/>
          </w:tcPr>
          <w:p w14:paraId="264FF9CE">
            <w:pPr>
              <w:snapToGrid w:val="0"/>
              <w:jc w:val="center"/>
            </w:pPr>
            <w:r>
              <w:rPr>
                <w:rFonts w:ascii="宋体" w:hAnsi="宋体" w:eastAsia="宋体"/>
                <w:sz w:val="24"/>
              </w:rPr>
              <w:t>（2024年度）</w:t>
            </w:r>
          </w:p>
        </w:tc>
      </w:tr>
      <w:tr w14:paraId="59F82D89">
        <w:tblPrEx>
          <w:tblCellMar>
            <w:top w:w="0" w:type="dxa"/>
            <w:left w:w="108" w:type="dxa"/>
            <w:bottom w:w="0" w:type="dxa"/>
            <w:right w:w="108" w:type="dxa"/>
          </w:tblCellMar>
        </w:tblPrEx>
        <w:trPr>
          <w:trHeight w:val="693" w:hRule="atLeast"/>
          <w:jc w:val="center"/>
        </w:trPr>
        <w:tc>
          <w:tcPr>
            <w:tcW w:w="341" w:type="pct"/>
            <w:tcBorders>
              <w:top w:val="single" w:color="auto" w:sz="10" w:space="0"/>
              <w:left w:val="single" w:color="auto" w:sz="10" w:space="0"/>
              <w:bottom w:val="single" w:color="auto" w:sz="10" w:space="0"/>
              <w:right w:val="single" w:color="auto" w:sz="10" w:space="0"/>
              <w:insideV w:val="single" w:sz="10" w:space="0"/>
            </w:tcBorders>
            <w:vAlign w:val="center"/>
          </w:tcPr>
          <w:p w14:paraId="3E84D4C8">
            <w:pPr>
              <w:snapToGrid w:val="0"/>
              <w:jc w:val="center"/>
            </w:pPr>
            <w:r>
              <w:rPr>
                <w:rFonts w:ascii="宋体" w:hAnsi="宋体" w:eastAsia="宋体"/>
                <w:sz w:val="16"/>
              </w:rPr>
              <w:t>单位名称</w:t>
            </w:r>
          </w:p>
        </w:tc>
        <w:tc>
          <w:tcPr>
            <w:tcW w:w="4658" w:type="pct"/>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C24A0">
            <w:pPr>
              <w:snapToGrid w:val="0"/>
              <w:jc w:val="center"/>
            </w:pPr>
            <w:r>
              <w:rPr>
                <w:rFonts w:ascii="宋体" w:hAnsi="宋体" w:eastAsia="宋体"/>
                <w:sz w:val="16"/>
              </w:rPr>
              <w:t>裕民县疾病预防控制中心</w:t>
            </w:r>
          </w:p>
        </w:tc>
      </w:tr>
      <w:tr w14:paraId="0AD42E4E">
        <w:tblPrEx>
          <w:tblCellMar>
            <w:top w:w="0" w:type="dxa"/>
            <w:left w:w="108" w:type="dxa"/>
            <w:bottom w:w="0" w:type="dxa"/>
            <w:right w:w="108" w:type="dxa"/>
          </w:tblCellMar>
        </w:tblPrEx>
        <w:trPr>
          <w:trHeight w:val="693" w:hRule="atLeast"/>
          <w:jc w:val="center"/>
        </w:trPr>
        <w:tc>
          <w:tcPr>
            <w:tcW w:w="34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B51BD">
            <w:pPr>
              <w:snapToGrid w:val="0"/>
              <w:jc w:val="center"/>
            </w:pPr>
            <w:r>
              <w:rPr>
                <w:rFonts w:ascii="宋体" w:hAnsi="宋体" w:eastAsia="宋体"/>
                <w:sz w:val="16"/>
              </w:rPr>
              <w:t>部门资金（万元）</w:t>
            </w: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2594C912">
            <w:pPr>
              <w:snapToGrid w:val="0"/>
              <w:jc w:val="center"/>
            </w:pPr>
            <w:r>
              <w:rPr>
                <w:rFonts w:ascii="宋体" w:hAnsi="宋体" w:eastAsia="宋体"/>
                <w:sz w:val="16"/>
              </w:rPr>
              <w:t>资金来源</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7DA8F8F8">
            <w:pPr>
              <w:snapToGrid w:val="0"/>
              <w:jc w:val="center"/>
            </w:pPr>
            <w:r>
              <w:rPr>
                <w:rFonts w:ascii="宋体" w:hAnsi="宋体" w:eastAsia="宋体"/>
                <w:sz w:val="16"/>
              </w:rPr>
              <w:t>年初预算数</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5037AB0D">
            <w:pPr>
              <w:snapToGrid w:val="0"/>
              <w:jc w:val="center"/>
            </w:pPr>
            <w:r>
              <w:rPr>
                <w:rFonts w:ascii="宋体" w:hAnsi="宋体" w:eastAsia="宋体"/>
                <w:sz w:val="16"/>
              </w:rPr>
              <w:t>全年预算数</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4135D909">
            <w:pPr>
              <w:snapToGrid w:val="0"/>
              <w:jc w:val="center"/>
            </w:pPr>
            <w:r>
              <w:rPr>
                <w:rFonts w:ascii="宋体" w:hAnsi="宋体" w:eastAsia="宋体"/>
                <w:sz w:val="16"/>
              </w:rPr>
              <w:t>全年执行数</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26605F67">
            <w:pPr>
              <w:snapToGrid w:val="0"/>
              <w:jc w:val="center"/>
            </w:pPr>
            <w:r>
              <w:rPr>
                <w:rFonts w:ascii="宋体" w:hAnsi="宋体" w:eastAsia="宋体"/>
                <w:sz w:val="16"/>
              </w:rPr>
              <w:t>分值权重</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0BF24755">
            <w:pPr>
              <w:snapToGrid w:val="0"/>
              <w:jc w:val="center"/>
            </w:pPr>
            <w:r>
              <w:rPr>
                <w:rFonts w:ascii="宋体" w:hAnsi="宋体" w:eastAsia="宋体"/>
                <w:sz w:val="16"/>
              </w:rPr>
              <w:t>执行率</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5C8C640">
            <w:pPr>
              <w:snapToGrid w:val="0"/>
              <w:jc w:val="center"/>
            </w:pPr>
            <w:r>
              <w:rPr>
                <w:rFonts w:ascii="宋体" w:hAnsi="宋体" w:eastAsia="宋体"/>
                <w:sz w:val="16"/>
              </w:rPr>
              <w:t>得分</w:t>
            </w:r>
          </w:p>
        </w:tc>
      </w:tr>
      <w:tr w14:paraId="0E328362">
        <w:tblPrEx>
          <w:tblCellMar>
            <w:top w:w="0" w:type="dxa"/>
            <w:left w:w="108" w:type="dxa"/>
            <w:bottom w:w="0" w:type="dxa"/>
            <w:right w:w="108" w:type="dxa"/>
          </w:tblCellMar>
        </w:tblPrEx>
        <w:trPr>
          <w:trHeight w:val="380"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72F687A5">
            <w:pPr>
              <w:snapToGrid w:val="0"/>
            </w:pP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041ADE0C">
            <w:pPr>
              <w:snapToGrid w:val="0"/>
              <w:jc w:val="center"/>
            </w:pPr>
            <w:r>
              <w:rPr>
                <w:rFonts w:ascii="宋体" w:hAnsi="宋体" w:eastAsia="宋体"/>
                <w:sz w:val="16"/>
              </w:rPr>
              <w:t>年度总资金</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0070B335">
            <w:pPr>
              <w:snapToGrid w:val="0"/>
              <w:jc w:val="center"/>
            </w:pPr>
            <w:r>
              <w:rPr>
                <w:rFonts w:ascii="宋体" w:hAnsi="宋体" w:eastAsia="宋体"/>
                <w:sz w:val="16"/>
              </w:rPr>
              <w:t>872.87</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079E8521">
            <w:pPr>
              <w:snapToGrid w:val="0"/>
              <w:jc w:val="center"/>
            </w:pPr>
            <w:r>
              <w:rPr>
                <w:rFonts w:ascii="宋体" w:hAnsi="宋体" w:eastAsia="宋体"/>
                <w:sz w:val="16"/>
              </w:rPr>
              <w:t>930.64</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07232621">
            <w:pPr>
              <w:snapToGrid w:val="0"/>
              <w:jc w:val="center"/>
            </w:pPr>
            <w:r>
              <w:rPr>
                <w:rFonts w:ascii="宋体" w:hAnsi="宋体" w:eastAsia="宋体"/>
                <w:sz w:val="16"/>
              </w:rPr>
              <w:t>838.24</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260EAEEE">
            <w:pPr>
              <w:snapToGrid w:val="0"/>
              <w:jc w:val="center"/>
            </w:pPr>
            <w:r>
              <w:rPr>
                <w:rFonts w:ascii="宋体" w:hAnsi="宋体" w:eastAsia="宋体"/>
                <w:sz w:val="16"/>
              </w:rPr>
              <w:t>10</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055BABD5">
            <w:pPr>
              <w:snapToGrid w:val="0"/>
              <w:jc w:val="center"/>
            </w:pPr>
            <w:r>
              <w:rPr>
                <w:rFonts w:ascii="宋体" w:hAnsi="宋体" w:eastAsia="宋体"/>
                <w:sz w:val="16"/>
              </w:rPr>
              <w:t>90.07%</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9E063A1">
            <w:pPr>
              <w:snapToGrid w:val="0"/>
              <w:jc w:val="center"/>
            </w:pPr>
            <w:r>
              <w:rPr>
                <w:rFonts w:ascii="宋体" w:hAnsi="宋体" w:eastAsia="宋体"/>
                <w:sz w:val="16"/>
              </w:rPr>
              <w:t>10</w:t>
            </w:r>
          </w:p>
        </w:tc>
      </w:tr>
      <w:tr w14:paraId="083E28CF">
        <w:tblPrEx>
          <w:tblCellMar>
            <w:top w:w="0" w:type="dxa"/>
            <w:left w:w="108" w:type="dxa"/>
            <w:bottom w:w="0" w:type="dxa"/>
            <w:right w:w="108" w:type="dxa"/>
          </w:tblCellMar>
        </w:tblPrEx>
        <w:trPr>
          <w:trHeight w:val="693"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68D4467A">
            <w:pPr>
              <w:snapToGrid w:val="0"/>
            </w:pP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7E0707F0">
            <w:pPr>
              <w:snapToGrid w:val="0"/>
              <w:jc w:val="center"/>
            </w:pPr>
            <w:r>
              <w:rPr>
                <w:rFonts w:ascii="宋体" w:hAnsi="宋体" w:eastAsia="宋体"/>
                <w:sz w:val="16"/>
              </w:rPr>
              <w:t>其中:上级安排资金：（万元）</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22D45503">
            <w:pPr>
              <w:snapToGrid w:val="0"/>
              <w:jc w:val="center"/>
            </w:pPr>
            <w:r>
              <w:rPr>
                <w:rFonts w:ascii="宋体" w:hAnsi="宋体" w:eastAsia="宋体"/>
                <w:sz w:val="16"/>
              </w:rPr>
              <w:t>125.65</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2147778C">
            <w:pPr>
              <w:snapToGrid w:val="0"/>
              <w:jc w:val="center"/>
            </w:pPr>
            <w:r>
              <w:rPr>
                <w:rFonts w:ascii="宋体" w:hAnsi="宋体" w:eastAsia="宋体"/>
                <w:sz w:val="16"/>
              </w:rPr>
              <w:t>138.00</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55A922C7">
            <w:pPr>
              <w:snapToGrid w:val="0"/>
              <w:jc w:val="center"/>
            </w:pPr>
            <w:r>
              <w:rPr>
                <w:rFonts w:ascii="宋体" w:hAnsi="宋体" w:eastAsia="宋体"/>
                <w:sz w:val="16"/>
              </w:rPr>
              <w:t>138.00</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19D6335C">
            <w:pPr>
              <w:snapToGrid w:val="0"/>
              <w:jc w:val="center"/>
            </w:pPr>
            <w:r>
              <w:rPr>
                <w:rFonts w:ascii="宋体" w:hAnsi="宋体" w:eastAsia="宋体"/>
                <w:sz w:val="16"/>
              </w:rPr>
              <w:t>-</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56CFC17D">
            <w:pPr>
              <w:snapToGrid w:val="0"/>
              <w:jc w:val="center"/>
            </w:pPr>
            <w:r>
              <w:rPr>
                <w:rFonts w:ascii="宋体" w:hAnsi="宋体" w:eastAsia="宋体"/>
                <w:sz w:val="16"/>
              </w:rPr>
              <w:t>-</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0001041">
            <w:pPr>
              <w:snapToGrid w:val="0"/>
              <w:jc w:val="center"/>
            </w:pPr>
            <w:r>
              <w:rPr>
                <w:rFonts w:ascii="宋体" w:hAnsi="宋体" w:eastAsia="宋体"/>
                <w:sz w:val="16"/>
              </w:rPr>
              <w:t>-</w:t>
            </w:r>
          </w:p>
        </w:tc>
      </w:tr>
      <w:tr w14:paraId="6CE37529">
        <w:tblPrEx>
          <w:tblCellMar>
            <w:top w:w="0" w:type="dxa"/>
            <w:left w:w="108" w:type="dxa"/>
            <w:bottom w:w="0" w:type="dxa"/>
            <w:right w:w="108" w:type="dxa"/>
          </w:tblCellMar>
        </w:tblPrEx>
        <w:trPr>
          <w:trHeight w:val="693"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22128B0A">
            <w:pPr>
              <w:snapToGrid w:val="0"/>
            </w:pP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11505EFF">
            <w:pPr>
              <w:snapToGrid w:val="0"/>
              <w:jc w:val="center"/>
            </w:pPr>
            <w:r>
              <w:rPr>
                <w:rFonts w:ascii="宋体" w:hAnsi="宋体" w:eastAsia="宋体"/>
                <w:sz w:val="16"/>
              </w:rPr>
              <w:t>本级安排资金：（万元）</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799D0261">
            <w:pPr>
              <w:snapToGrid w:val="0"/>
              <w:jc w:val="center"/>
            </w:pPr>
            <w:r>
              <w:rPr>
                <w:rFonts w:ascii="宋体" w:hAnsi="宋体" w:eastAsia="宋体"/>
                <w:sz w:val="16"/>
              </w:rPr>
              <w:t>635.69</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4B1730BB">
            <w:pPr>
              <w:snapToGrid w:val="0"/>
              <w:jc w:val="center"/>
            </w:pPr>
            <w:r>
              <w:rPr>
                <w:rFonts w:ascii="宋体" w:hAnsi="宋体" w:eastAsia="宋体"/>
                <w:sz w:val="16"/>
              </w:rPr>
              <w:t>603.15</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0DE0354D">
            <w:pPr>
              <w:snapToGrid w:val="0"/>
              <w:jc w:val="center"/>
            </w:pPr>
            <w:r>
              <w:rPr>
                <w:rFonts w:ascii="宋体" w:hAnsi="宋体" w:eastAsia="宋体"/>
                <w:sz w:val="16"/>
              </w:rPr>
              <w:t>603.15</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57321C83">
            <w:pPr>
              <w:snapToGrid w:val="0"/>
              <w:jc w:val="center"/>
            </w:pPr>
            <w:r>
              <w:rPr>
                <w:rFonts w:ascii="宋体" w:hAnsi="宋体" w:eastAsia="宋体"/>
                <w:sz w:val="16"/>
              </w:rPr>
              <w:t>-</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1A476319">
            <w:pPr>
              <w:snapToGrid w:val="0"/>
              <w:jc w:val="center"/>
            </w:pPr>
            <w:r>
              <w:rPr>
                <w:rFonts w:ascii="宋体" w:hAnsi="宋体" w:eastAsia="宋体"/>
                <w:sz w:val="16"/>
              </w:rPr>
              <w:t>-</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A1BC21D">
            <w:pPr>
              <w:snapToGrid w:val="0"/>
              <w:jc w:val="center"/>
            </w:pPr>
            <w:r>
              <w:rPr>
                <w:rFonts w:ascii="宋体" w:hAnsi="宋体" w:eastAsia="宋体"/>
                <w:sz w:val="16"/>
              </w:rPr>
              <w:t>-</w:t>
            </w:r>
          </w:p>
        </w:tc>
      </w:tr>
      <w:tr w14:paraId="0E7B553E">
        <w:tblPrEx>
          <w:tblCellMar>
            <w:top w:w="0" w:type="dxa"/>
            <w:left w:w="108" w:type="dxa"/>
            <w:bottom w:w="0" w:type="dxa"/>
            <w:right w:w="108" w:type="dxa"/>
          </w:tblCellMar>
        </w:tblPrEx>
        <w:trPr>
          <w:trHeight w:val="621"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5A71B98F">
            <w:pPr>
              <w:snapToGrid w:val="0"/>
            </w:pP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25C3395E">
            <w:pPr>
              <w:snapToGrid w:val="0"/>
              <w:jc w:val="center"/>
            </w:pPr>
            <w:r>
              <w:rPr>
                <w:rFonts w:ascii="宋体" w:hAnsi="宋体" w:eastAsia="宋体"/>
                <w:sz w:val="16"/>
              </w:rPr>
              <w:t>其他资金</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532CB492">
            <w:pPr>
              <w:snapToGrid w:val="0"/>
              <w:jc w:val="center"/>
            </w:pPr>
            <w:r>
              <w:rPr>
                <w:rFonts w:ascii="宋体" w:hAnsi="宋体" w:eastAsia="宋体"/>
                <w:sz w:val="16"/>
              </w:rPr>
              <w:t>111.53</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5F46DD4B">
            <w:pPr>
              <w:snapToGrid w:val="0"/>
              <w:jc w:val="center"/>
            </w:pPr>
            <w:r>
              <w:rPr>
                <w:rFonts w:ascii="宋体" w:hAnsi="宋体" w:eastAsia="宋体"/>
                <w:sz w:val="16"/>
              </w:rPr>
              <w:t>189.49</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41F31FDE">
            <w:pPr>
              <w:snapToGrid w:val="0"/>
              <w:jc w:val="center"/>
            </w:pPr>
            <w:r>
              <w:rPr>
                <w:rFonts w:ascii="宋体" w:hAnsi="宋体" w:eastAsia="宋体"/>
                <w:sz w:val="16"/>
              </w:rPr>
              <w:t>97.09</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0E53386E">
            <w:pPr>
              <w:snapToGrid w:val="0"/>
              <w:jc w:val="center"/>
            </w:pPr>
            <w:r>
              <w:rPr>
                <w:rFonts w:ascii="宋体" w:hAnsi="宋体" w:eastAsia="宋体"/>
                <w:sz w:val="16"/>
              </w:rPr>
              <w:t>-</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13DD8642">
            <w:pPr>
              <w:snapToGrid w:val="0"/>
              <w:jc w:val="center"/>
            </w:pPr>
            <w:r>
              <w:rPr>
                <w:rFonts w:ascii="宋体" w:hAnsi="宋体" w:eastAsia="宋体"/>
                <w:sz w:val="16"/>
              </w:rPr>
              <w:t>-</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E581556">
            <w:pPr>
              <w:snapToGrid w:val="0"/>
              <w:jc w:val="center"/>
            </w:pPr>
            <w:r>
              <w:rPr>
                <w:rFonts w:ascii="宋体" w:hAnsi="宋体" w:eastAsia="宋体"/>
                <w:sz w:val="16"/>
              </w:rPr>
              <w:t>-</w:t>
            </w:r>
          </w:p>
        </w:tc>
      </w:tr>
      <w:tr w14:paraId="77761A5D">
        <w:tblPrEx>
          <w:tblCellMar>
            <w:top w:w="0" w:type="dxa"/>
            <w:left w:w="108" w:type="dxa"/>
            <w:bottom w:w="0" w:type="dxa"/>
            <w:right w:w="108" w:type="dxa"/>
          </w:tblCellMar>
        </w:tblPrEx>
        <w:trPr>
          <w:trHeight w:val="380" w:hRule="atLeast"/>
          <w:jc w:val="center"/>
        </w:trPr>
        <w:tc>
          <w:tcPr>
            <w:tcW w:w="34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7DFE01">
            <w:pPr>
              <w:snapToGrid w:val="0"/>
              <w:jc w:val="center"/>
            </w:pPr>
            <w:r>
              <w:rPr>
                <w:rFonts w:ascii="宋体" w:hAnsi="宋体" w:eastAsia="宋体"/>
                <w:sz w:val="16"/>
              </w:rPr>
              <w:t>年度总体目标</w:t>
            </w:r>
          </w:p>
        </w:tc>
        <w:tc>
          <w:tcPr>
            <w:tcW w:w="2229"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247802">
            <w:pPr>
              <w:snapToGrid w:val="0"/>
              <w:jc w:val="center"/>
            </w:pPr>
            <w:r>
              <w:rPr>
                <w:rFonts w:ascii="宋体" w:hAnsi="宋体" w:eastAsia="宋体"/>
                <w:sz w:val="16"/>
              </w:rPr>
              <w:t>预期目标</w:t>
            </w:r>
          </w:p>
        </w:tc>
        <w:tc>
          <w:tcPr>
            <w:tcW w:w="2428"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4CA2E6">
            <w:pPr>
              <w:snapToGrid w:val="0"/>
              <w:jc w:val="center"/>
            </w:pPr>
            <w:r>
              <w:rPr>
                <w:rFonts w:ascii="宋体" w:hAnsi="宋体" w:eastAsia="宋体"/>
                <w:sz w:val="16"/>
              </w:rPr>
              <w:t>实际完成情况</w:t>
            </w:r>
          </w:p>
        </w:tc>
      </w:tr>
      <w:tr w14:paraId="56DB985E">
        <w:tblPrEx>
          <w:tblCellMar>
            <w:top w:w="0" w:type="dxa"/>
            <w:left w:w="108" w:type="dxa"/>
            <w:bottom w:w="0" w:type="dxa"/>
            <w:right w:w="108" w:type="dxa"/>
          </w:tblCellMar>
        </w:tblPrEx>
        <w:trPr>
          <w:trHeight w:val="2257"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3155F3DB">
            <w:pPr>
              <w:snapToGrid w:val="0"/>
            </w:pPr>
          </w:p>
        </w:tc>
        <w:tc>
          <w:tcPr>
            <w:tcW w:w="2229" w:type="pct"/>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6976A5">
            <w:pPr>
              <w:snapToGrid w:val="0"/>
              <w:jc w:val="both"/>
            </w:pPr>
            <w:r>
              <w:rPr>
                <w:rFonts w:ascii="宋体" w:hAnsi="宋体" w:eastAsia="宋体"/>
                <w:sz w:val="16"/>
              </w:rPr>
              <w:t>保障国家基本公共卫生服务项目工作顺利开展，提高基本公共卫生服务项目均等化水平，规范公共卫生服务行为，推进基本公共卫生服务项目免疫规划工作的开展，疾控中心组织各医疗卫生单位的预防接种人员进行业务培训，业务工作督导，预防接种人员接种费的发放，冷链管理，提高业务能力。通过宣传培训，增强群众对</w:t>
            </w:r>
            <w:r>
              <w:rPr>
                <w:rFonts w:hint="eastAsia" w:ascii="宋体" w:hAnsi="宋体"/>
                <w:sz w:val="16"/>
                <w:lang w:eastAsia="zh-CN"/>
              </w:rPr>
              <w:t>慢性</w:t>
            </w:r>
            <w:r>
              <w:rPr>
                <w:rFonts w:ascii="宋体" w:hAnsi="宋体" w:eastAsia="宋体"/>
                <w:sz w:val="16"/>
              </w:rPr>
              <w:t>病、传染病的预防意识。</w:t>
            </w:r>
          </w:p>
        </w:tc>
        <w:tc>
          <w:tcPr>
            <w:tcW w:w="2428" w:type="pct"/>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2C6B2C">
            <w:pPr>
              <w:snapToGrid w:val="0"/>
              <w:jc w:val="both"/>
            </w:pPr>
            <w:r>
              <w:rPr>
                <w:rFonts w:ascii="宋体" w:hAnsi="宋体" w:eastAsia="宋体"/>
                <w:sz w:val="16"/>
              </w:rPr>
              <w:t>2024年裕民县疾病预防控制中心保障国家基本公共卫生服务项目工作顺利开展，提高了基本公共卫生服务项目均等化水平，规范公共卫生服务行为，推进基本公共卫生服务项目免疫规划工作的开展，疾控中心组织各医疗卫生单位的预防接种人员进行业务宣传10次，业务工作督导5次，预防接种疫苗管理，提高业务能力。通过宣传督导，增强群众对</w:t>
            </w:r>
            <w:r>
              <w:rPr>
                <w:rFonts w:hint="eastAsia" w:ascii="宋体" w:hAnsi="宋体"/>
                <w:sz w:val="16"/>
                <w:lang w:eastAsia="zh-CN"/>
              </w:rPr>
              <w:t>慢性</w:t>
            </w:r>
            <w:r>
              <w:rPr>
                <w:rFonts w:ascii="宋体" w:hAnsi="宋体" w:eastAsia="宋体"/>
                <w:sz w:val="16"/>
              </w:rPr>
              <w:t>病、传染病的预防意识。</w:t>
            </w:r>
          </w:p>
        </w:tc>
      </w:tr>
      <w:tr w14:paraId="1EF98695">
        <w:tblPrEx>
          <w:tblCellMar>
            <w:top w:w="0" w:type="dxa"/>
            <w:left w:w="108" w:type="dxa"/>
            <w:bottom w:w="0" w:type="dxa"/>
            <w:right w:w="108" w:type="dxa"/>
          </w:tblCellMar>
        </w:tblPrEx>
        <w:trPr>
          <w:trHeight w:val="693" w:hRule="atLeast"/>
          <w:jc w:val="center"/>
        </w:trPr>
        <w:tc>
          <w:tcPr>
            <w:tcW w:w="341" w:type="pct"/>
            <w:tcBorders>
              <w:top w:val="single" w:color="auto" w:sz="10" w:space="0"/>
              <w:left w:val="single" w:color="auto" w:sz="10" w:space="0"/>
              <w:bottom w:val="single" w:color="auto" w:sz="10" w:space="0"/>
              <w:right w:val="single" w:color="auto" w:sz="10" w:space="0"/>
              <w:insideV w:val="single" w:sz="10" w:space="0"/>
            </w:tcBorders>
            <w:vAlign w:val="center"/>
          </w:tcPr>
          <w:p w14:paraId="2C04EE95">
            <w:pPr>
              <w:snapToGrid w:val="0"/>
              <w:jc w:val="center"/>
            </w:pPr>
            <w:r>
              <w:rPr>
                <w:rFonts w:ascii="宋体" w:hAnsi="宋体" w:eastAsia="宋体"/>
                <w:sz w:val="16"/>
              </w:rPr>
              <w:t>一级指标</w:t>
            </w:r>
          </w:p>
        </w:tc>
        <w:tc>
          <w:tcPr>
            <w:tcW w:w="793" w:type="pct"/>
            <w:tcBorders>
              <w:top w:val="single" w:color="auto" w:sz="10" w:space="0"/>
              <w:left w:val="single" w:color="auto" w:sz="10" w:space="0"/>
              <w:bottom w:val="single" w:color="auto" w:sz="10" w:space="0"/>
              <w:right w:val="single" w:color="auto" w:sz="10" w:space="0"/>
              <w:insideV w:val="single" w:sz="10" w:space="0"/>
            </w:tcBorders>
            <w:vAlign w:val="center"/>
          </w:tcPr>
          <w:p w14:paraId="00D23AC7">
            <w:pPr>
              <w:snapToGrid w:val="0"/>
              <w:jc w:val="center"/>
            </w:pPr>
            <w:r>
              <w:rPr>
                <w:rFonts w:ascii="宋体" w:hAnsi="宋体" w:eastAsia="宋体"/>
                <w:sz w:val="16"/>
              </w:rPr>
              <w:t>二级指标</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69EEA926">
            <w:pPr>
              <w:snapToGrid w:val="0"/>
              <w:jc w:val="center"/>
            </w:pPr>
            <w:r>
              <w:rPr>
                <w:rFonts w:ascii="宋体" w:hAnsi="宋体" w:eastAsia="宋体"/>
                <w:sz w:val="16"/>
              </w:rPr>
              <w:t>三级指标</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565084E1">
            <w:pPr>
              <w:snapToGrid w:val="0"/>
              <w:jc w:val="center"/>
            </w:pPr>
            <w:r>
              <w:rPr>
                <w:rFonts w:ascii="宋体" w:hAnsi="宋体" w:eastAsia="宋体"/>
                <w:sz w:val="16"/>
              </w:rPr>
              <w:t>预期指标值</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37D26702">
            <w:pPr>
              <w:snapToGrid w:val="0"/>
              <w:jc w:val="center"/>
            </w:pPr>
            <w:r>
              <w:rPr>
                <w:rFonts w:ascii="宋体" w:hAnsi="宋体" w:eastAsia="宋体"/>
                <w:sz w:val="16"/>
              </w:rPr>
              <w:t>指标值设定依据</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0D915587">
            <w:pPr>
              <w:snapToGrid w:val="0"/>
              <w:jc w:val="center"/>
            </w:pPr>
            <w:r>
              <w:rPr>
                <w:rFonts w:ascii="宋体" w:hAnsi="宋体" w:eastAsia="宋体"/>
                <w:sz w:val="16"/>
              </w:rPr>
              <w:t>分值权重</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37159272">
            <w:pPr>
              <w:snapToGrid w:val="0"/>
              <w:jc w:val="center"/>
            </w:pPr>
            <w:r>
              <w:rPr>
                <w:rFonts w:ascii="宋体" w:hAnsi="宋体" w:eastAsia="宋体"/>
                <w:sz w:val="16"/>
              </w:rPr>
              <w:t>实际完成指标值</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4B2422FE">
            <w:pPr>
              <w:snapToGrid w:val="0"/>
              <w:jc w:val="center"/>
            </w:pPr>
            <w:r>
              <w:rPr>
                <w:rFonts w:ascii="宋体" w:hAnsi="宋体" w:eastAsia="宋体"/>
                <w:sz w:val="16"/>
              </w:rPr>
              <w:t>得分</w:t>
            </w:r>
          </w:p>
        </w:tc>
      </w:tr>
      <w:tr w14:paraId="0247A508">
        <w:tblPrEx>
          <w:tblCellMar>
            <w:top w:w="0" w:type="dxa"/>
            <w:left w:w="108" w:type="dxa"/>
            <w:bottom w:w="0" w:type="dxa"/>
            <w:right w:w="108" w:type="dxa"/>
          </w:tblCellMar>
        </w:tblPrEx>
        <w:trPr>
          <w:trHeight w:val="693" w:hRule="atLeast"/>
          <w:jc w:val="center"/>
        </w:trPr>
        <w:tc>
          <w:tcPr>
            <w:tcW w:w="341"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47E58">
            <w:pPr>
              <w:snapToGrid w:val="0"/>
              <w:jc w:val="center"/>
            </w:pPr>
            <w:r>
              <w:rPr>
                <w:rFonts w:ascii="宋体" w:hAnsi="宋体" w:eastAsia="宋体"/>
                <w:sz w:val="16"/>
              </w:rPr>
              <w:t>履职效能</w:t>
            </w:r>
          </w:p>
        </w:tc>
        <w:tc>
          <w:tcPr>
            <w:tcW w:w="793"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071F3">
            <w:pPr>
              <w:snapToGrid w:val="0"/>
              <w:jc w:val="center"/>
            </w:pPr>
            <w:r>
              <w:rPr>
                <w:rFonts w:ascii="宋体" w:hAnsi="宋体" w:eastAsia="宋体"/>
                <w:sz w:val="16"/>
              </w:rPr>
              <w:t>数量指标</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0971181C">
            <w:pPr>
              <w:snapToGrid w:val="0"/>
              <w:jc w:val="center"/>
            </w:pPr>
            <w:r>
              <w:rPr>
                <w:rFonts w:ascii="宋体" w:hAnsi="宋体" w:eastAsia="宋体"/>
                <w:sz w:val="16"/>
              </w:rPr>
              <w:t>干部职工人数</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1BA44723">
            <w:pPr>
              <w:snapToGrid w:val="0"/>
              <w:jc w:val="center"/>
            </w:pPr>
            <w:r>
              <w:rPr>
                <w:rFonts w:ascii="宋体" w:hAnsi="宋体" w:eastAsia="宋体"/>
                <w:sz w:val="16"/>
              </w:rPr>
              <w:t>=31人</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50C2A7D1">
            <w:pPr>
              <w:snapToGrid w:val="0"/>
              <w:jc w:val="center"/>
            </w:pPr>
            <w:r>
              <w:rPr>
                <w:rFonts w:ascii="宋体" w:hAnsi="宋体" w:eastAsia="宋体"/>
                <w:sz w:val="16"/>
              </w:rPr>
              <w:t>2024年重点工作计划、三定方案</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359EF293">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5C74A578">
            <w:pPr>
              <w:snapToGrid w:val="0"/>
              <w:jc w:val="center"/>
            </w:pPr>
            <w:r>
              <w:rPr>
                <w:rFonts w:ascii="宋体" w:hAnsi="宋体" w:eastAsia="宋体"/>
                <w:sz w:val="16"/>
              </w:rPr>
              <w:t>32人</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56194410">
            <w:pPr>
              <w:snapToGrid w:val="0"/>
              <w:jc w:val="center"/>
            </w:pPr>
            <w:r>
              <w:rPr>
                <w:rFonts w:ascii="宋体" w:hAnsi="宋体" w:eastAsia="宋体"/>
                <w:sz w:val="16"/>
              </w:rPr>
              <w:t>15</w:t>
            </w:r>
          </w:p>
        </w:tc>
      </w:tr>
      <w:tr w14:paraId="05451738">
        <w:tblPrEx>
          <w:tblCellMar>
            <w:top w:w="0" w:type="dxa"/>
            <w:left w:w="108" w:type="dxa"/>
            <w:bottom w:w="0" w:type="dxa"/>
            <w:right w:w="108" w:type="dxa"/>
          </w:tblCellMar>
        </w:tblPrEx>
        <w:trPr>
          <w:trHeight w:val="693"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54447DF0">
            <w:pPr>
              <w:snapToGrid w:val="0"/>
            </w:pPr>
          </w:p>
        </w:tc>
        <w:tc>
          <w:tcPr>
            <w:tcW w:w="793" w:type="pct"/>
            <w:vMerge w:val="continue"/>
            <w:tcBorders>
              <w:top w:val="single" w:color="auto" w:sz="10" w:space="0"/>
              <w:left w:val="single" w:color="auto" w:sz="10" w:space="0"/>
              <w:bottom w:val="single" w:color="auto" w:sz="10" w:space="0"/>
              <w:right w:val="single" w:color="auto" w:sz="10" w:space="0"/>
              <w:insideV w:val="single" w:sz="10" w:space="0"/>
            </w:tcBorders>
          </w:tcPr>
          <w:p w14:paraId="38E1D8A6">
            <w:pPr>
              <w:snapToGrid w:val="0"/>
            </w:pP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20250432">
            <w:pPr>
              <w:snapToGrid w:val="0"/>
              <w:jc w:val="center"/>
            </w:pPr>
            <w:r>
              <w:rPr>
                <w:rFonts w:ascii="宋体" w:hAnsi="宋体" w:eastAsia="宋体"/>
                <w:sz w:val="16"/>
              </w:rPr>
              <w:t>传染病防治宣传次数</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6D303AA9">
            <w:pPr>
              <w:snapToGrid w:val="0"/>
              <w:jc w:val="center"/>
            </w:pPr>
            <w:r>
              <w:rPr>
                <w:rFonts w:ascii="宋体" w:hAnsi="宋体" w:eastAsia="宋体"/>
                <w:sz w:val="16"/>
              </w:rPr>
              <w:t>&gt;=10次</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6066291A">
            <w:pPr>
              <w:snapToGrid w:val="0"/>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规划、2024年重点工作计划</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06E624FB">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25FC8D2F">
            <w:pPr>
              <w:snapToGrid w:val="0"/>
              <w:jc w:val="center"/>
            </w:pPr>
            <w:r>
              <w:rPr>
                <w:rFonts w:ascii="宋体" w:hAnsi="宋体" w:eastAsia="宋体"/>
                <w:sz w:val="16"/>
              </w:rPr>
              <w:t>10次</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16EDA12A">
            <w:pPr>
              <w:snapToGrid w:val="0"/>
              <w:jc w:val="center"/>
            </w:pPr>
            <w:r>
              <w:rPr>
                <w:rFonts w:ascii="宋体" w:hAnsi="宋体" w:eastAsia="宋体"/>
                <w:sz w:val="16"/>
              </w:rPr>
              <w:t>15</w:t>
            </w:r>
          </w:p>
        </w:tc>
      </w:tr>
      <w:tr w14:paraId="6818F4B5">
        <w:tblPrEx>
          <w:tblCellMar>
            <w:top w:w="0" w:type="dxa"/>
            <w:left w:w="108" w:type="dxa"/>
            <w:bottom w:w="0" w:type="dxa"/>
            <w:right w:w="108" w:type="dxa"/>
          </w:tblCellMar>
        </w:tblPrEx>
        <w:trPr>
          <w:trHeight w:val="693"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007B4D4A">
            <w:pPr>
              <w:snapToGrid w:val="0"/>
            </w:pPr>
          </w:p>
        </w:tc>
        <w:tc>
          <w:tcPr>
            <w:tcW w:w="793" w:type="pct"/>
            <w:vMerge w:val="continue"/>
            <w:tcBorders>
              <w:top w:val="single" w:color="auto" w:sz="10" w:space="0"/>
              <w:left w:val="single" w:color="auto" w:sz="10" w:space="0"/>
              <w:bottom w:val="single" w:color="auto" w:sz="10" w:space="0"/>
              <w:right w:val="single" w:color="auto" w:sz="10" w:space="0"/>
              <w:insideV w:val="single" w:sz="10" w:space="0"/>
            </w:tcBorders>
          </w:tcPr>
          <w:p w14:paraId="077EEA02">
            <w:pPr>
              <w:snapToGrid w:val="0"/>
            </w:pP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26546DE7">
            <w:pPr>
              <w:snapToGrid w:val="0"/>
              <w:jc w:val="center"/>
            </w:pPr>
            <w:r>
              <w:rPr>
                <w:rFonts w:ascii="宋体" w:hAnsi="宋体" w:eastAsia="宋体"/>
                <w:sz w:val="16"/>
              </w:rPr>
              <w:t>督导各乡镇次数（次）</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300BE2D2">
            <w:pPr>
              <w:snapToGrid w:val="0"/>
              <w:jc w:val="center"/>
            </w:pPr>
            <w:r>
              <w:rPr>
                <w:rFonts w:ascii="宋体" w:hAnsi="宋体" w:eastAsia="宋体"/>
                <w:sz w:val="16"/>
              </w:rPr>
              <w:t>&gt;=5次</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28FB7E54">
            <w:pPr>
              <w:snapToGrid w:val="0"/>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规划、2024年重点工作计划</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25B1BA82">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5EFBD7A0">
            <w:pPr>
              <w:snapToGrid w:val="0"/>
              <w:jc w:val="center"/>
            </w:pPr>
            <w:r>
              <w:rPr>
                <w:rFonts w:ascii="宋体" w:hAnsi="宋体" w:eastAsia="宋体"/>
                <w:sz w:val="16"/>
              </w:rPr>
              <w:t>5次</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6D7CAAA8">
            <w:pPr>
              <w:snapToGrid w:val="0"/>
              <w:jc w:val="center"/>
            </w:pPr>
            <w:r>
              <w:rPr>
                <w:rFonts w:ascii="宋体" w:hAnsi="宋体" w:eastAsia="宋体"/>
                <w:sz w:val="16"/>
              </w:rPr>
              <w:t>15</w:t>
            </w:r>
          </w:p>
        </w:tc>
      </w:tr>
      <w:tr w14:paraId="2052DFEE">
        <w:tblPrEx>
          <w:tblCellMar>
            <w:top w:w="0" w:type="dxa"/>
            <w:left w:w="108" w:type="dxa"/>
            <w:bottom w:w="0" w:type="dxa"/>
            <w:right w:w="108" w:type="dxa"/>
          </w:tblCellMar>
        </w:tblPrEx>
        <w:trPr>
          <w:trHeight w:val="380"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54083D7A">
            <w:pPr>
              <w:snapToGrid w:val="0"/>
            </w:pPr>
          </w:p>
        </w:tc>
        <w:tc>
          <w:tcPr>
            <w:tcW w:w="793" w:type="pct"/>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5F8A1">
            <w:pPr>
              <w:snapToGrid w:val="0"/>
              <w:jc w:val="center"/>
            </w:pPr>
            <w:r>
              <w:rPr>
                <w:rFonts w:ascii="宋体" w:hAnsi="宋体" w:eastAsia="宋体"/>
                <w:sz w:val="16"/>
              </w:rPr>
              <w:t>质量指标</w:t>
            </w: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043921F8">
            <w:pPr>
              <w:snapToGrid w:val="0"/>
              <w:jc w:val="center"/>
            </w:pPr>
            <w:r>
              <w:rPr>
                <w:rFonts w:ascii="宋体" w:hAnsi="宋体" w:eastAsia="宋体"/>
                <w:sz w:val="16"/>
              </w:rPr>
              <w:t>经费使用合格率</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6D62BDA2">
            <w:pPr>
              <w:snapToGrid w:val="0"/>
              <w:jc w:val="center"/>
            </w:pPr>
            <w:r>
              <w:rPr>
                <w:rFonts w:ascii="宋体" w:hAnsi="宋体" w:eastAsia="宋体"/>
                <w:sz w:val="16"/>
              </w:rPr>
              <w:t>=100%</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14AE2887">
            <w:pPr>
              <w:snapToGrid w:val="0"/>
              <w:jc w:val="center"/>
            </w:pPr>
            <w:r>
              <w:rPr>
                <w:rFonts w:ascii="宋体" w:hAnsi="宋体" w:eastAsia="宋体"/>
                <w:sz w:val="16"/>
              </w:rPr>
              <w:t>2024年重点工作计划</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331439F4">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64FE1E5A">
            <w:pPr>
              <w:snapToGrid w:val="0"/>
              <w:jc w:val="center"/>
            </w:pPr>
            <w:r>
              <w:rPr>
                <w:rFonts w:ascii="宋体" w:hAnsi="宋体" w:eastAsia="宋体"/>
                <w:sz w:val="16"/>
              </w:rPr>
              <w:t>100%</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01C5E04C">
            <w:pPr>
              <w:snapToGrid w:val="0"/>
              <w:jc w:val="center"/>
            </w:pPr>
            <w:r>
              <w:rPr>
                <w:rFonts w:ascii="宋体" w:hAnsi="宋体" w:eastAsia="宋体"/>
                <w:sz w:val="16"/>
              </w:rPr>
              <w:t>15</w:t>
            </w:r>
          </w:p>
        </w:tc>
      </w:tr>
      <w:tr w14:paraId="3E059897">
        <w:tblPrEx>
          <w:tblCellMar>
            <w:top w:w="0" w:type="dxa"/>
            <w:left w:w="108" w:type="dxa"/>
            <w:bottom w:w="0" w:type="dxa"/>
            <w:right w:w="108" w:type="dxa"/>
          </w:tblCellMar>
        </w:tblPrEx>
        <w:trPr>
          <w:trHeight w:val="380"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1F1D2294">
            <w:pPr>
              <w:snapToGrid w:val="0"/>
            </w:pPr>
          </w:p>
        </w:tc>
        <w:tc>
          <w:tcPr>
            <w:tcW w:w="793" w:type="pct"/>
            <w:vMerge w:val="continue"/>
            <w:tcBorders>
              <w:top w:val="single" w:color="auto" w:sz="10" w:space="0"/>
              <w:left w:val="single" w:color="auto" w:sz="10" w:space="0"/>
              <w:bottom w:val="single" w:color="auto" w:sz="10" w:space="0"/>
              <w:right w:val="single" w:color="auto" w:sz="10" w:space="0"/>
              <w:insideV w:val="single" w:sz="10" w:space="0"/>
            </w:tcBorders>
          </w:tcPr>
          <w:p w14:paraId="40BA98A0">
            <w:pPr>
              <w:snapToGrid w:val="0"/>
            </w:pP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5EBD67C7">
            <w:pPr>
              <w:snapToGrid w:val="0"/>
              <w:jc w:val="center"/>
            </w:pPr>
            <w:r>
              <w:rPr>
                <w:rFonts w:ascii="宋体" w:hAnsi="宋体" w:eastAsia="宋体"/>
                <w:sz w:val="16"/>
              </w:rPr>
              <w:t>培训督导完成率</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1196BB43">
            <w:pPr>
              <w:snapToGrid w:val="0"/>
              <w:jc w:val="center"/>
            </w:pPr>
            <w:r>
              <w:rPr>
                <w:rFonts w:ascii="宋体" w:hAnsi="宋体" w:eastAsia="宋体"/>
                <w:sz w:val="16"/>
              </w:rPr>
              <w:t>=100%</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6D6C7B48">
            <w:pPr>
              <w:snapToGrid w:val="0"/>
              <w:jc w:val="center"/>
            </w:pPr>
            <w:r>
              <w:rPr>
                <w:rFonts w:ascii="宋体" w:hAnsi="宋体" w:eastAsia="宋体"/>
                <w:sz w:val="16"/>
              </w:rPr>
              <w:t>2024年重点工作计划</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6F2697BB">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473CCB99">
            <w:pPr>
              <w:snapToGrid w:val="0"/>
              <w:jc w:val="center"/>
            </w:pPr>
            <w:r>
              <w:rPr>
                <w:rFonts w:ascii="宋体" w:hAnsi="宋体" w:eastAsia="宋体"/>
                <w:sz w:val="16"/>
              </w:rPr>
              <w:t>100%</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0B54E29A">
            <w:pPr>
              <w:snapToGrid w:val="0"/>
              <w:jc w:val="center"/>
            </w:pPr>
            <w:r>
              <w:rPr>
                <w:rFonts w:ascii="宋体" w:hAnsi="宋体" w:eastAsia="宋体"/>
                <w:sz w:val="16"/>
              </w:rPr>
              <w:t>15</w:t>
            </w:r>
          </w:p>
        </w:tc>
      </w:tr>
      <w:tr w14:paraId="034B658D">
        <w:tblPrEx>
          <w:tblCellMar>
            <w:top w:w="0" w:type="dxa"/>
            <w:left w:w="108" w:type="dxa"/>
            <w:bottom w:w="0" w:type="dxa"/>
            <w:right w:w="108" w:type="dxa"/>
          </w:tblCellMar>
        </w:tblPrEx>
        <w:trPr>
          <w:trHeight w:val="763" w:hRule="atLeast"/>
          <w:jc w:val="center"/>
        </w:trPr>
        <w:tc>
          <w:tcPr>
            <w:tcW w:w="341" w:type="pct"/>
            <w:vMerge w:val="continue"/>
            <w:tcBorders>
              <w:top w:val="single" w:color="auto" w:sz="10" w:space="0"/>
              <w:left w:val="single" w:color="auto" w:sz="10" w:space="0"/>
              <w:bottom w:val="single" w:color="auto" w:sz="10" w:space="0"/>
              <w:right w:val="single" w:color="auto" w:sz="10" w:space="0"/>
              <w:insideV w:val="single" w:sz="10" w:space="0"/>
            </w:tcBorders>
          </w:tcPr>
          <w:p w14:paraId="5B4CC479">
            <w:pPr>
              <w:snapToGrid w:val="0"/>
            </w:pPr>
          </w:p>
        </w:tc>
        <w:tc>
          <w:tcPr>
            <w:tcW w:w="793" w:type="pct"/>
            <w:vMerge w:val="continue"/>
            <w:tcBorders>
              <w:top w:val="single" w:color="auto" w:sz="10" w:space="0"/>
              <w:left w:val="single" w:color="auto" w:sz="10" w:space="0"/>
              <w:bottom w:val="single" w:color="auto" w:sz="10" w:space="0"/>
              <w:right w:val="single" w:color="auto" w:sz="10" w:space="0"/>
              <w:insideV w:val="single" w:sz="10" w:space="0"/>
            </w:tcBorders>
          </w:tcPr>
          <w:p w14:paraId="18A8549D">
            <w:pPr>
              <w:snapToGrid w:val="0"/>
            </w:pPr>
          </w:p>
        </w:tc>
        <w:tc>
          <w:tcPr>
            <w:tcW w:w="859" w:type="pct"/>
            <w:tcBorders>
              <w:top w:val="single" w:color="auto" w:sz="10" w:space="0"/>
              <w:left w:val="single" w:color="auto" w:sz="10" w:space="0"/>
              <w:bottom w:val="single" w:color="auto" w:sz="10" w:space="0"/>
              <w:right w:val="single" w:color="auto" w:sz="10" w:space="0"/>
              <w:insideV w:val="single" w:sz="10" w:space="0"/>
            </w:tcBorders>
            <w:vAlign w:val="center"/>
          </w:tcPr>
          <w:p w14:paraId="3C36775B">
            <w:pPr>
              <w:snapToGrid w:val="0"/>
              <w:jc w:val="center"/>
            </w:pPr>
            <w:r>
              <w:rPr>
                <w:rFonts w:ascii="宋体" w:hAnsi="宋体" w:eastAsia="宋体"/>
                <w:sz w:val="16"/>
              </w:rPr>
              <w:t>适龄儿童免疫规划疫苗接种率</w:t>
            </w:r>
          </w:p>
        </w:tc>
        <w:tc>
          <w:tcPr>
            <w:tcW w:w="576" w:type="pct"/>
            <w:tcBorders>
              <w:top w:val="single" w:color="auto" w:sz="10" w:space="0"/>
              <w:left w:val="single" w:color="auto" w:sz="10" w:space="0"/>
              <w:bottom w:val="single" w:color="auto" w:sz="10" w:space="0"/>
              <w:right w:val="single" w:color="auto" w:sz="10" w:space="0"/>
              <w:insideV w:val="single" w:sz="10" w:space="0"/>
            </w:tcBorders>
            <w:vAlign w:val="center"/>
          </w:tcPr>
          <w:p w14:paraId="6EB010F8">
            <w:pPr>
              <w:snapToGrid w:val="0"/>
              <w:jc w:val="center"/>
            </w:pPr>
            <w:r>
              <w:rPr>
                <w:rFonts w:ascii="宋体" w:hAnsi="宋体" w:eastAsia="宋体"/>
                <w:sz w:val="16"/>
              </w:rPr>
              <w:t>&gt;=95%</w:t>
            </w:r>
          </w:p>
        </w:tc>
        <w:tc>
          <w:tcPr>
            <w:tcW w:w="1050" w:type="pct"/>
            <w:tcBorders>
              <w:top w:val="single" w:color="auto" w:sz="10" w:space="0"/>
              <w:left w:val="single" w:color="auto" w:sz="10" w:space="0"/>
              <w:bottom w:val="single" w:color="auto" w:sz="10" w:space="0"/>
              <w:right w:val="single" w:color="auto" w:sz="10" w:space="0"/>
              <w:insideV w:val="single" w:sz="10" w:space="0"/>
            </w:tcBorders>
            <w:vAlign w:val="center"/>
          </w:tcPr>
          <w:p w14:paraId="4438B810">
            <w:pPr>
              <w:snapToGrid w:val="0"/>
              <w:jc w:val="center"/>
            </w:pPr>
            <w:r>
              <w:rPr>
                <w:rFonts w:ascii="宋体" w:hAnsi="宋体" w:eastAsia="宋体"/>
                <w:sz w:val="16"/>
              </w:rPr>
              <w:t>2024年重点工作计划</w:t>
            </w:r>
          </w:p>
        </w:tc>
        <w:tc>
          <w:tcPr>
            <w:tcW w:w="389" w:type="pct"/>
            <w:tcBorders>
              <w:top w:val="single" w:color="auto" w:sz="10" w:space="0"/>
              <w:left w:val="single" w:color="auto" w:sz="10" w:space="0"/>
              <w:bottom w:val="single" w:color="auto" w:sz="10" w:space="0"/>
              <w:right w:val="single" w:color="auto" w:sz="10" w:space="0"/>
              <w:insideV w:val="single" w:sz="10" w:space="0"/>
            </w:tcBorders>
            <w:vAlign w:val="center"/>
          </w:tcPr>
          <w:p w14:paraId="3592331E">
            <w:pPr>
              <w:snapToGrid w:val="0"/>
              <w:jc w:val="center"/>
            </w:pPr>
            <w:r>
              <w:rPr>
                <w:rFonts w:ascii="宋体" w:hAnsi="宋体" w:eastAsia="宋体"/>
                <w:sz w:val="16"/>
              </w:rPr>
              <w:t>15</w:t>
            </w:r>
          </w:p>
        </w:tc>
        <w:tc>
          <w:tcPr>
            <w:tcW w:w="664" w:type="pct"/>
            <w:tcBorders>
              <w:top w:val="single" w:color="auto" w:sz="10" w:space="0"/>
              <w:left w:val="single" w:color="auto" w:sz="10" w:space="0"/>
              <w:bottom w:val="single" w:color="auto" w:sz="10" w:space="0"/>
              <w:right w:val="single" w:color="auto" w:sz="10" w:space="0"/>
              <w:insideV w:val="single" w:sz="10" w:space="0"/>
            </w:tcBorders>
            <w:vAlign w:val="center"/>
          </w:tcPr>
          <w:p w14:paraId="2AFD168F">
            <w:pPr>
              <w:snapToGrid w:val="0"/>
              <w:jc w:val="center"/>
            </w:pPr>
            <w:r>
              <w:rPr>
                <w:rFonts w:ascii="宋体" w:hAnsi="宋体" w:eastAsia="宋体"/>
                <w:sz w:val="16"/>
              </w:rPr>
              <w:t>98%</w:t>
            </w:r>
          </w:p>
        </w:tc>
        <w:tc>
          <w:tcPr>
            <w:tcW w:w="324" w:type="pct"/>
            <w:tcBorders>
              <w:top w:val="single" w:color="auto" w:sz="10" w:space="0"/>
              <w:left w:val="single" w:color="auto" w:sz="10" w:space="0"/>
              <w:bottom w:val="single" w:color="auto" w:sz="10" w:space="0"/>
              <w:right w:val="single" w:color="auto" w:sz="10" w:space="0"/>
              <w:insideV w:val="single" w:sz="10" w:space="0"/>
            </w:tcBorders>
            <w:vAlign w:val="center"/>
          </w:tcPr>
          <w:p w14:paraId="7FEC156A">
            <w:pPr>
              <w:snapToGrid w:val="0"/>
              <w:jc w:val="center"/>
            </w:pPr>
            <w:r>
              <w:rPr>
                <w:rFonts w:ascii="宋体" w:hAnsi="宋体" w:eastAsia="宋体"/>
                <w:sz w:val="16"/>
              </w:rPr>
              <w:t>15</w:t>
            </w:r>
          </w:p>
        </w:tc>
      </w:tr>
    </w:tbl>
    <w:p w14:paraId="155169FA">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2D5BEB">
        <w:tblPrEx>
          <w:tblCellMar>
            <w:top w:w="0" w:type="dxa"/>
            <w:left w:w="108" w:type="dxa"/>
            <w:bottom w:w="0" w:type="dxa"/>
            <w:right w:w="108" w:type="dxa"/>
          </w:tblCellMar>
        </w:tblPrEx>
        <w:tc>
          <w:tcPr>
            <w:tcW w:w="8848" w:type="dxa"/>
            <w:gridSpan w:val="14"/>
            <w:vAlign w:val="center"/>
          </w:tcPr>
          <w:p w14:paraId="0755E177">
            <w:pPr>
              <w:jc w:val="center"/>
            </w:pPr>
            <w:r>
              <w:rPr>
                <w:rFonts w:ascii="宋体" w:hAnsi="宋体" w:eastAsia="宋体"/>
                <w:sz w:val="24"/>
              </w:rPr>
              <w:t>项目支出绩效自评表</w:t>
            </w:r>
          </w:p>
        </w:tc>
      </w:tr>
      <w:tr w14:paraId="207A83B0">
        <w:tblPrEx>
          <w:tblCellMar>
            <w:top w:w="0" w:type="dxa"/>
            <w:left w:w="108" w:type="dxa"/>
            <w:bottom w:w="0" w:type="dxa"/>
            <w:right w:w="108" w:type="dxa"/>
          </w:tblCellMar>
        </w:tblPrEx>
        <w:tc>
          <w:tcPr>
            <w:tcW w:w="8848" w:type="dxa"/>
            <w:gridSpan w:val="14"/>
            <w:vAlign w:val="center"/>
          </w:tcPr>
          <w:p w14:paraId="7C5C78D1">
            <w:pPr>
              <w:jc w:val="center"/>
            </w:pPr>
            <w:r>
              <w:rPr>
                <w:rFonts w:ascii="宋体" w:hAnsi="宋体" w:eastAsia="宋体"/>
                <w:sz w:val="24"/>
              </w:rPr>
              <w:t>(2024年度)</w:t>
            </w:r>
          </w:p>
        </w:tc>
      </w:tr>
      <w:tr w14:paraId="17CE06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CD6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9291F4">
            <w:pPr>
              <w:jc w:val="center"/>
            </w:pPr>
            <w:r>
              <w:rPr>
                <w:rFonts w:ascii="宋体" w:hAnsi="宋体" w:eastAsia="宋体"/>
                <w:sz w:val="16"/>
              </w:rPr>
              <w:t>2024年基本公共卫生服务补助资金</w:t>
            </w:r>
          </w:p>
        </w:tc>
      </w:tr>
      <w:tr w14:paraId="237024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AB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AF1CB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DF3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021B49">
            <w:pPr>
              <w:jc w:val="center"/>
            </w:pPr>
            <w:r>
              <w:rPr>
                <w:rFonts w:ascii="宋体" w:hAnsi="宋体" w:eastAsia="宋体"/>
                <w:sz w:val="16"/>
              </w:rPr>
              <w:t>裕民县疾病预防控制中心</w:t>
            </w:r>
          </w:p>
        </w:tc>
      </w:tr>
      <w:tr w14:paraId="3FACF2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1B5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0C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95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09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44B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A78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507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AFD4">
            <w:pPr>
              <w:jc w:val="center"/>
            </w:pPr>
            <w:r>
              <w:rPr>
                <w:rFonts w:ascii="宋体" w:hAnsi="宋体" w:eastAsia="宋体"/>
                <w:sz w:val="16"/>
              </w:rPr>
              <w:t>得分</w:t>
            </w:r>
          </w:p>
        </w:tc>
      </w:tr>
      <w:tr w14:paraId="0402F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2E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18E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040C">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F92AC">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AB64">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E5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762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064EB">
            <w:pPr>
              <w:jc w:val="center"/>
            </w:pPr>
            <w:r>
              <w:rPr>
                <w:rFonts w:ascii="宋体" w:hAnsi="宋体" w:eastAsia="宋体"/>
                <w:sz w:val="16"/>
              </w:rPr>
              <w:t>10.00</w:t>
            </w:r>
          </w:p>
        </w:tc>
      </w:tr>
      <w:tr w14:paraId="0E8ED5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DA6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625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87920">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EEA1E">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45903">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E7D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14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97B0">
            <w:pPr>
              <w:jc w:val="center"/>
            </w:pPr>
            <w:r>
              <w:rPr>
                <w:rFonts w:ascii="宋体" w:hAnsi="宋体" w:eastAsia="宋体"/>
                <w:sz w:val="16"/>
              </w:rPr>
              <w:t>—</w:t>
            </w:r>
          </w:p>
        </w:tc>
      </w:tr>
      <w:tr w14:paraId="44CA4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2F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9310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9DD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E6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24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A6E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1A1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4FB5">
            <w:pPr>
              <w:jc w:val="center"/>
            </w:pPr>
            <w:r>
              <w:rPr>
                <w:rFonts w:ascii="宋体" w:hAnsi="宋体" w:eastAsia="宋体"/>
                <w:sz w:val="16"/>
              </w:rPr>
              <w:t>—</w:t>
            </w:r>
          </w:p>
        </w:tc>
      </w:tr>
      <w:tr w14:paraId="726628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1B3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AB5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FFA45">
            <w:pPr>
              <w:jc w:val="center"/>
            </w:pPr>
            <w:r>
              <w:rPr>
                <w:rFonts w:ascii="宋体" w:hAnsi="宋体" w:eastAsia="宋体"/>
                <w:sz w:val="16"/>
              </w:rPr>
              <w:t>实际完成情况</w:t>
            </w:r>
          </w:p>
        </w:tc>
      </w:tr>
      <w:tr w14:paraId="40E25B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185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2CF139">
            <w:pPr>
              <w:jc w:val="both"/>
            </w:pPr>
            <w:r>
              <w:rPr>
                <w:rFonts w:ascii="宋体" w:hAnsi="宋体" w:eastAsia="宋体"/>
                <w:sz w:val="16"/>
              </w:rPr>
              <w:t>本项目计划投入35.79万元，预计通过6次结核病、预防接种、地方病、职业病的宣传，对全</w:t>
            </w:r>
            <w:r>
              <w:rPr>
                <w:rFonts w:hint="eastAsia" w:ascii="宋体" w:hAnsi="宋体"/>
                <w:sz w:val="16"/>
                <w:lang w:eastAsia="zh-CN"/>
              </w:rPr>
              <w:t>县居</w:t>
            </w:r>
            <w:r>
              <w:rPr>
                <w:rFonts w:ascii="宋体" w:hAnsi="宋体" w:eastAsia="宋体"/>
                <w:sz w:val="16"/>
              </w:rPr>
              <w:t>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w:t>
            </w:r>
            <w:r>
              <w:rPr>
                <w:rFonts w:hint="eastAsia" w:ascii="宋体" w:hAnsi="宋体"/>
                <w:sz w:val="16"/>
                <w:lang w:eastAsia="zh-CN"/>
              </w:rPr>
              <w:t>基本公共卫生服务</w:t>
            </w:r>
            <w:r>
              <w:rPr>
                <w:rFonts w:ascii="宋体" w:hAnsi="宋体" w:eastAsia="宋体"/>
                <w:sz w:val="16"/>
              </w:rPr>
              <w:t>，主要健康危险因素得到有效控制，全县居民健康水平得到进一步提高。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52ED8">
            <w:pPr>
              <w:jc w:val="both"/>
            </w:pPr>
            <w:r>
              <w:rPr>
                <w:rFonts w:ascii="宋体" w:hAnsi="宋体" w:eastAsia="宋体"/>
                <w:sz w:val="16"/>
              </w:rPr>
              <w:t>2024年基本公共卫生服务补助资金项目年初预算31.99万元，全年执行数31.99万元，</w:t>
            </w:r>
            <w:r>
              <w:rPr>
                <w:rFonts w:hint="eastAsia" w:ascii="宋体" w:hAnsi="宋体"/>
                <w:sz w:val="16"/>
                <w:lang w:eastAsia="zh-CN"/>
              </w:rPr>
              <w:t>截至2024</w:t>
            </w:r>
            <w:r>
              <w:rPr>
                <w:rFonts w:ascii="宋体" w:hAnsi="宋体" w:eastAsia="宋体"/>
                <w:sz w:val="16"/>
              </w:rPr>
              <w:t>年12月25日支付31.99万元，该项目计划结核病、预防接种、地方病、职业病宣传6次，计划适龄儿童国家免疫规划疫苗接种率95%，实际完成接种率98%；计划传染病、突发公共卫生事件报告率95%，实际完成99%；计划培训督导4次，实际完成4次；通过项目的实施，对全</w:t>
            </w:r>
            <w:r>
              <w:rPr>
                <w:rFonts w:hint="eastAsia" w:ascii="宋体" w:hAnsi="宋体"/>
                <w:sz w:val="16"/>
                <w:lang w:eastAsia="zh-CN"/>
              </w:rPr>
              <w:t>县居</w:t>
            </w:r>
            <w:r>
              <w:rPr>
                <w:rFonts w:ascii="宋体" w:hAnsi="宋体" w:eastAsia="宋体"/>
                <w:sz w:val="16"/>
              </w:rPr>
              <w:t>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w:t>
            </w:r>
            <w:r>
              <w:rPr>
                <w:rFonts w:hint="eastAsia" w:ascii="宋体" w:hAnsi="宋体"/>
                <w:sz w:val="16"/>
                <w:lang w:eastAsia="zh-CN"/>
              </w:rPr>
              <w:t>基本公共卫生服务</w:t>
            </w:r>
            <w:r>
              <w:rPr>
                <w:rFonts w:ascii="宋体" w:hAnsi="宋体" w:eastAsia="宋体"/>
                <w:sz w:val="16"/>
              </w:rPr>
              <w:t>，主要健康危险因素得到有效控制，全县居民健康水平得到进一步提高。</w:t>
            </w:r>
          </w:p>
        </w:tc>
      </w:tr>
      <w:tr w14:paraId="18D42A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0759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0E2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E9C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EF4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7EE2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23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7F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76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78ED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F7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A39A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AC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03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4ED3">
            <w:pPr>
              <w:jc w:val="center"/>
            </w:pPr>
            <w:r>
              <w:rPr>
                <w:rFonts w:ascii="宋体" w:hAnsi="宋体" w:eastAsia="宋体"/>
                <w:sz w:val="16"/>
              </w:rPr>
              <w:t>偏差原因分析及改进措施</w:t>
            </w:r>
          </w:p>
        </w:tc>
      </w:tr>
      <w:tr w14:paraId="073649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14F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0FE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78F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5908A">
            <w:pPr>
              <w:jc w:val="center"/>
            </w:pPr>
            <w:r>
              <w:rPr>
                <w:rFonts w:ascii="宋体" w:hAnsi="宋体" w:eastAsia="宋体"/>
                <w:sz w:val="16"/>
              </w:rPr>
              <w:t>结核病、预防接种、地方病、职业病宣传次数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F821">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4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FED5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23C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92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E528">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63C71">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EB0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3F7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D181">
            <w:pPr>
              <w:jc w:val="center"/>
            </w:pPr>
          </w:p>
        </w:tc>
      </w:tr>
      <w:tr w14:paraId="52E32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63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7D5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17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B14C">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C78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AF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1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E4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B5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1DF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9C6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0055">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E6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A856">
            <w:pPr>
              <w:jc w:val="center"/>
            </w:pPr>
            <w:r>
              <w:rPr>
                <w:rFonts w:ascii="宋体" w:hAnsi="宋体" w:eastAsia="宋体"/>
                <w:sz w:val="16"/>
              </w:rPr>
              <w:t>该项目年初设置指标比较保守，改进措施：年初根据实际工作合理设置指标，后期合理使用资金</w:t>
            </w:r>
          </w:p>
        </w:tc>
      </w:tr>
      <w:tr w14:paraId="1FC0F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48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B15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D2A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768DE">
            <w:pPr>
              <w:jc w:val="center"/>
            </w:pPr>
            <w:r>
              <w:rPr>
                <w:rFonts w:ascii="宋体" w:hAnsi="宋体" w:eastAsia="宋体"/>
                <w:sz w:val="16"/>
              </w:rPr>
              <w:t>传染病、突发公共卫生事件报告率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EA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5C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E32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6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48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E0D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917E">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ACCB">
            <w:pPr>
              <w:jc w:val="center"/>
            </w:pPr>
            <w:r>
              <w:rPr>
                <w:rFonts w:ascii="宋体" w:hAnsi="宋体" w:eastAsia="宋体"/>
                <w:sz w:val="16"/>
              </w:rPr>
              <w:t>104.00%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27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A8AD">
            <w:pPr>
              <w:jc w:val="center"/>
            </w:pPr>
            <w:r>
              <w:rPr>
                <w:rFonts w:ascii="宋体" w:hAnsi="宋体" w:eastAsia="宋体"/>
                <w:sz w:val="16"/>
              </w:rPr>
              <w:t>该项目年初设置指标比较保守，改进措施：年初根据实际工作合理设置指标，后期合理使用资金</w:t>
            </w:r>
          </w:p>
        </w:tc>
      </w:tr>
      <w:tr w14:paraId="1ACE7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77E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0F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68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9587">
            <w:pPr>
              <w:jc w:val="center"/>
            </w:pPr>
            <w:r>
              <w:rPr>
                <w:rFonts w:ascii="宋体" w:hAnsi="宋体" w:eastAsia="宋体"/>
                <w:sz w:val="16"/>
              </w:rPr>
              <w:t>培训督导次数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0C9B">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E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962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61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FE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022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15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93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BBA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F7F3">
            <w:pPr>
              <w:jc w:val="center"/>
            </w:pPr>
          </w:p>
        </w:tc>
      </w:tr>
      <w:tr w14:paraId="11B38A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121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7B8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650F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DB0D">
            <w:pPr>
              <w:jc w:val="center"/>
            </w:pPr>
            <w:r>
              <w:rPr>
                <w:rFonts w:ascii="宋体" w:hAnsi="宋体" w:eastAsia="宋体"/>
                <w:sz w:val="16"/>
              </w:rPr>
              <w:t>基本公共卫生服务项目管理率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DED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7E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15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E4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26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98A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55E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83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AD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49EB">
            <w:pPr>
              <w:jc w:val="center"/>
            </w:pPr>
          </w:p>
        </w:tc>
      </w:tr>
      <w:tr w14:paraId="54EC8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71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2F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F55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D382">
            <w:pPr>
              <w:jc w:val="center"/>
            </w:pPr>
            <w:r>
              <w:rPr>
                <w:rFonts w:ascii="宋体" w:hAnsi="宋体" w:eastAsia="宋体"/>
                <w:sz w:val="16"/>
              </w:rPr>
              <w:t>培训督导完成率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D9A3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3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0F0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18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AD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676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93B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4A7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2D9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7E33">
            <w:pPr>
              <w:jc w:val="center"/>
            </w:pPr>
          </w:p>
        </w:tc>
      </w:tr>
      <w:tr w14:paraId="51AC5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D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74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6B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AE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922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04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E33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AF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33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BCB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F0D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1C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E41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A381C">
            <w:pPr>
              <w:jc w:val="center"/>
            </w:pPr>
          </w:p>
        </w:tc>
      </w:tr>
      <w:tr w14:paraId="2E2D6A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B4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74F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35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6EF8">
            <w:pPr>
              <w:jc w:val="center"/>
            </w:pPr>
            <w:r>
              <w:rPr>
                <w:rFonts w:ascii="宋体" w:hAnsi="宋体" w:eastAsia="宋体"/>
                <w:sz w:val="16"/>
              </w:rPr>
              <w:t>基本公共卫生服务补助成本控制率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52C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136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F7C1">
            <w:pPr>
              <w:jc w:val="center"/>
            </w:pPr>
            <w:r>
              <w:rPr>
                <w:rFonts w:ascii="宋体" w:hAnsi="宋体" w:eastAsia="宋体"/>
                <w:sz w:val="16"/>
              </w:rPr>
              <w:t>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902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90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40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E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BF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D8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5562">
            <w:pPr>
              <w:jc w:val="center"/>
            </w:pPr>
          </w:p>
        </w:tc>
      </w:tr>
      <w:tr w14:paraId="7C9B94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2AC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2D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33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56E1">
            <w:pPr>
              <w:jc w:val="center"/>
            </w:pPr>
            <w:r>
              <w:rPr>
                <w:rFonts w:ascii="宋体" w:hAnsi="宋体" w:eastAsia="宋体"/>
                <w:sz w:val="16"/>
              </w:rPr>
              <w:t>公共卫生均等化水平提高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8B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17C9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A98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29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7B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27F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22F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15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BD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0119">
            <w:pPr>
              <w:jc w:val="center"/>
            </w:pPr>
          </w:p>
        </w:tc>
      </w:tr>
      <w:tr w14:paraId="1C3FB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54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FF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A4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6D8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3FB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D4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F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77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08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3B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3C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ACC4">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2C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8AEE">
            <w:pPr>
              <w:jc w:val="center"/>
            </w:pPr>
            <w:r>
              <w:rPr>
                <w:rFonts w:ascii="宋体" w:hAnsi="宋体" w:eastAsia="宋体"/>
                <w:sz w:val="16"/>
              </w:rPr>
              <w:t>该项目年初设置指标比较保守，改进措施：年初根据实际工作合理设置指标，后期合理使用资金</w:t>
            </w:r>
          </w:p>
        </w:tc>
      </w:tr>
      <w:tr w14:paraId="775A666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E3FE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741A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DE7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C9A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9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FFC0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2210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97EA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D70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8A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4FB1B5"/>
        </w:tc>
      </w:tr>
    </w:tbl>
    <w:p w14:paraId="009748E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11A77D9">
        <w:tblPrEx>
          <w:tblCellMar>
            <w:top w:w="0" w:type="dxa"/>
            <w:left w:w="108" w:type="dxa"/>
            <w:bottom w:w="0" w:type="dxa"/>
            <w:right w:w="108" w:type="dxa"/>
          </w:tblCellMar>
        </w:tblPrEx>
        <w:tc>
          <w:tcPr>
            <w:tcW w:w="8848" w:type="dxa"/>
            <w:gridSpan w:val="14"/>
            <w:vAlign w:val="center"/>
          </w:tcPr>
          <w:p w14:paraId="3BE68ECA">
            <w:pPr>
              <w:jc w:val="center"/>
            </w:pPr>
            <w:r>
              <w:rPr>
                <w:rFonts w:ascii="宋体" w:hAnsi="宋体" w:eastAsia="宋体"/>
                <w:sz w:val="24"/>
              </w:rPr>
              <w:t>项目支出绩效自评表</w:t>
            </w:r>
          </w:p>
        </w:tc>
      </w:tr>
      <w:tr w14:paraId="1967D16D">
        <w:tblPrEx>
          <w:tblCellMar>
            <w:top w:w="0" w:type="dxa"/>
            <w:left w:w="108" w:type="dxa"/>
            <w:bottom w:w="0" w:type="dxa"/>
            <w:right w:w="108" w:type="dxa"/>
          </w:tblCellMar>
        </w:tblPrEx>
        <w:tc>
          <w:tcPr>
            <w:tcW w:w="8848" w:type="dxa"/>
            <w:gridSpan w:val="14"/>
            <w:vAlign w:val="center"/>
          </w:tcPr>
          <w:p w14:paraId="62D12E0A">
            <w:pPr>
              <w:jc w:val="center"/>
            </w:pPr>
            <w:r>
              <w:rPr>
                <w:rFonts w:ascii="宋体" w:hAnsi="宋体" w:eastAsia="宋体"/>
                <w:sz w:val="24"/>
              </w:rPr>
              <w:t>(2024年度)</w:t>
            </w:r>
          </w:p>
        </w:tc>
      </w:tr>
      <w:tr w14:paraId="1BEB47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C4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5BC41E">
            <w:pPr>
              <w:jc w:val="center"/>
            </w:pPr>
            <w:r>
              <w:rPr>
                <w:rFonts w:ascii="宋体" w:hAnsi="宋体" w:eastAsia="宋体"/>
                <w:sz w:val="16"/>
              </w:rPr>
              <w:t>2024年自治区公共卫生服务[地方公共卫生]补助资金</w:t>
            </w:r>
          </w:p>
        </w:tc>
      </w:tr>
      <w:tr w14:paraId="7F38F4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BBA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B29FA2">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38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381A5A">
            <w:pPr>
              <w:jc w:val="center"/>
            </w:pPr>
            <w:r>
              <w:rPr>
                <w:rFonts w:ascii="宋体" w:hAnsi="宋体" w:eastAsia="宋体"/>
                <w:sz w:val="16"/>
              </w:rPr>
              <w:t>裕民县疾病预防控制中心</w:t>
            </w:r>
          </w:p>
        </w:tc>
      </w:tr>
      <w:tr w14:paraId="7455D8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38FF8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1F8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A36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ADB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47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42E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0EE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C93E">
            <w:pPr>
              <w:jc w:val="center"/>
            </w:pPr>
            <w:r>
              <w:rPr>
                <w:rFonts w:ascii="宋体" w:hAnsi="宋体" w:eastAsia="宋体"/>
                <w:sz w:val="16"/>
              </w:rPr>
              <w:t>得分</w:t>
            </w:r>
          </w:p>
        </w:tc>
      </w:tr>
      <w:tr w14:paraId="0FF86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81C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D63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F9DF5">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AA1E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7A678">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3B2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F8AC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19430">
            <w:pPr>
              <w:jc w:val="center"/>
            </w:pPr>
            <w:r>
              <w:rPr>
                <w:rFonts w:ascii="宋体" w:hAnsi="宋体" w:eastAsia="宋体"/>
                <w:sz w:val="16"/>
              </w:rPr>
              <w:t>10.00</w:t>
            </w:r>
          </w:p>
        </w:tc>
      </w:tr>
      <w:tr w14:paraId="2A3B6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174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AF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E34BF">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849D7">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E1BA4">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C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5C3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E7F1">
            <w:pPr>
              <w:jc w:val="center"/>
            </w:pPr>
            <w:r>
              <w:rPr>
                <w:rFonts w:ascii="宋体" w:hAnsi="宋体" w:eastAsia="宋体"/>
                <w:sz w:val="16"/>
              </w:rPr>
              <w:t>—</w:t>
            </w:r>
          </w:p>
        </w:tc>
      </w:tr>
      <w:tr w14:paraId="618817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851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CD91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F5B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069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BB8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6A6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A98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6987">
            <w:pPr>
              <w:jc w:val="center"/>
            </w:pPr>
            <w:r>
              <w:rPr>
                <w:rFonts w:ascii="宋体" w:hAnsi="宋体" w:eastAsia="宋体"/>
                <w:sz w:val="16"/>
              </w:rPr>
              <w:t>—</w:t>
            </w:r>
          </w:p>
        </w:tc>
      </w:tr>
      <w:tr w14:paraId="688FF5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153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D69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8C74D9">
            <w:pPr>
              <w:jc w:val="center"/>
            </w:pPr>
            <w:r>
              <w:rPr>
                <w:rFonts w:ascii="宋体" w:hAnsi="宋体" w:eastAsia="宋体"/>
                <w:sz w:val="16"/>
              </w:rPr>
              <w:t>实际完成情况</w:t>
            </w:r>
          </w:p>
        </w:tc>
      </w:tr>
      <w:tr w14:paraId="30671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1EA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8D0356">
            <w:pPr>
              <w:jc w:val="both"/>
            </w:pPr>
            <w:r>
              <w:rPr>
                <w:rFonts w:ascii="宋体" w:hAnsi="宋体" w:eastAsia="宋体"/>
                <w:sz w:val="16"/>
              </w:rPr>
              <w:t>2024年自治区公共卫生服务[地方公共卫生]补助资金项目投入预算0.5万元，完成2024年度“双随机、一公开”监督抽查及各项监督检查任务，做好随机抽查效果评估。后期不断提升综合监督执法队伍能力和水平，创新监督方式，加强推进信息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819995">
            <w:pPr>
              <w:jc w:val="both"/>
            </w:pPr>
            <w:r>
              <w:rPr>
                <w:rFonts w:ascii="宋体" w:hAnsi="宋体" w:eastAsia="宋体"/>
                <w:sz w:val="16"/>
              </w:rPr>
              <w:t>2024年自治区公共卫生服务[地方公共卫生]补助资金项目年初预算0.5万元，全年执行数0.5万元，</w:t>
            </w:r>
            <w:r>
              <w:rPr>
                <w:rFonts w:hint="eastAsia" w:ascii="宋体" w:hAnsi="宋体"/>
                <w:sz w:val="16"/>
                <w:lang w:eastAsia="zh-CN"/>
              </w:rPr>
              <w:t>截至2024</w:t>
            </w:r>
            <w:r>
              <w:rPr>
                <w:rFonts w:ascii="宋体" w:hAnsi="宋体" w:eastAsia="宋体"/>
                <w:sz w:val="16"/>
              </w:rPr>
              <w:t>年8月20日支付0.5万元，该项目计划双随机抽查企业9家，实际机抽查企业9家；通过项目的实施，有效提升企业卫生水平，不断提升综合监督执法队伍能力和水平，创新监督方式，加强推进信息化建设。</w:t>
            </w:r>
          </w:p>
        </w:tc>
      </w:tr>
      <w:tr w14:paraId="548B4C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3FC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070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A1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C7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B7F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BBB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3E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B67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28E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74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DDF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E03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CBD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5260">
            <w:pPr>
              <w:jc w:val="center"/>
            </w:pPr>
            <w:r>
              <w:rPr>
                <w:rFonts w:ascii="宋体" w:hAnsi="宋体" w:eastAsia="宋体"/>
                <w:sz w:val="16"/>
              </w:rPr>
              <w:t>偏差原因分析及改进措施</w:t>
            </w:r>
          </w:p>
        </w:tc>
      </w:tr>
      <w:tr w14:paraId="5D1464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3EB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A579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717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CC71">
            <w:pPr>
              <w:jc w:val="center"/>
            </w:pPr>
            <w:r>
              <w:rPr>
                <w:rFonts w:ascii="宋体" w:hAnsi="宋体" w:eastAsia="宋体"/>
                <w:sz w:val="16"/>
              </w:rPr>
              <w:t>双随机抽查企业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91FE">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50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B54D">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74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4A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39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17DD">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C8B0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B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C263">
            <w:pPr>
              <w:jc w:val="center"/>
            </w:pPr>
          </w:p>
        </w:tc>
      </w:tr>
      <w:tr w14:paraId="32121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68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A79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D1AD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1FCF">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0914">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0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3C60C">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1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15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EF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47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CCA5">
            <w:pPr>
              <w:jc w:val="center"/>
            </w:pPr>
            <w:r>
              <w:rPr>
                <w:rFonts w:ascii="宋体" w:hAnsi="宋体" w:eastAsia="宋体"/>
                <w:sz w:val="16"/>
              </w:rPr>
              <w:t>125.00%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6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DFFD">
            <w:pPr>
              <w:jc w:val="center"/>
            </w:pPr>
            <w:r>
              <w:rPr>
                <w:rFonts w:ascii="宋体" w:hAnsi="宋体" w:eastAsia="宋体"/>
                <w:sz w:val="16"/>
              </w:rPr>
              <w:t>偏差原因：该项目年初设置指标比较保守，改进措施：年初根据实际工作合理设置指标，后期合理使用资金</w:t>
            </w:r>
          </w:p>
        </w:tc>
      </w:tr>
      <w:tr w14:paraId="60030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7DC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CC2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EE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CBB3">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9E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4C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734E">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8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A0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84A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688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F1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198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136A0">
            <w:pPr>
              <w:jc w:val="center"/>
            </w:pPr>
          </w:p>
        </w:tc>
      </w:tr>
      <w:tr w14:paraId="2BE4B3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42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4E0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81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58D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00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0DF81">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53EB">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6F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5E9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D6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0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4DF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0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B7D1">
            <w:pPr>
              <w:jc w:val="center"/>
            </w:pPr>
          </w:p>
        </w:tc>
      </w:tr>
      <w:tr w14:paraId="2E8A9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37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18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38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2F6E">
            <w:pPr>
              <w:jc w:val="center"/>
            </w:pPr>
            <w:r>
              <w:rPr>
                <w:rFonts w:ascii="宋体" w:hAnsi="宋体" w:eastAsia="宋体"/>
                <w:sz w:val="16"/>
              </w:rPr>
              <w:t>双随机抽查企业工作支出成本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C8E2">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854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DB49">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A6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C09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62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268E">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29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1E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7D6D">
            <w:pPr>
              <w:jc w:val="center"/>
            </w:pPr>
          </w:p>
        </w:tc>
      </w:tr>
      <w:tr w14:paraId="31E06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3A2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143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1A1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6D49">
            <w:pPr>
              <w:jc w:val="center"/>
            </w:pPr>
            <w:r>
              <w:rPr>
                <w:rFonts w:ascii="宋体" w:hAnsi="宋体" w:eastAsia="宋体"/>
                <w:sz w:val="16"/>
              </w:rPr>
              <w:t>有效提升企业卫生水平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3E6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F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0854">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85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10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0B20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DB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E91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311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13345">
            <w:pPr>
              <w:jc w:val="center"/>
            </w:pPr>
          </w:p>
        </w:tc>
      </w:tr>
      <w:tr w14:paraId="4A5EE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A9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B1E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37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2C0DF">
            <w:pPr>
              <w:jc w:val="center"/>
            </w:pPr>
            <w:r>
              <w:rPr>
                <w:rFonts w:ascii="宋体" w:hAnsi="宋体" w:eastAsia="宋体"/>
                <w:sz w:val="16"/>
              </w:rPr>
              <w:t>被抽查企业满意度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C8E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CA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0881">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057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A8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D0DA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885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30B6">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F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E95A5">
            <w:pPr>
              <w:jc w:val="center"/>
            </w:pPr>
            <w:r>
              <w:rPr>
                <w:rFonts w:ascii="宋体" w:hAnsi="宋体" w:eastAsia="宋体"/>
                <w:sz w:val="16"/>
              </w:rPr>
              <w:t>偏差在20%以内属于正常偏差，可视为无偏差</w:t>
            </w:r>
          </w:p>
        </w:tc>
      </w:tr>
      <w:tr w14:paraId="7C58F3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6CA1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FBB1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4A7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FB8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0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D528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9775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4E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4C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50C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E8A91D"/>
        </w:tc>
      </w:tr>
    </w:tbl>
    <w:p w14:paraId="27C8BBC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0FC0EC">
        <w:tblPrEx>
          <w:tblCellMar>
            <w:top w:w="0" w:type="dxa"/>
            <w:left w:w="108" w:type="dxa"/>
            <w:bottom w:w="0" w:type="dxa"/>
            <w:right w:w="108" w:type="dxa"/>
          </w:tblCellMar>
        </w:tblPrEx>
        <w:tc>
          <w:tcPr>
            <w:tcW w:w="8848" w:type="dxa"/>
            <w:gridSpan w:val="14"/>
            <w:vAlign w:val="center"/>
          </w:tcPr>
          <w:p w14:paraId="55FED111">
            <w:pPr>
              <w:jc w:val="center"/>
            </w:pPr>
            <w:r>
              <w:rPr>
                <w:rFonts w:ascii="宋体" w:hAnsi="宋体" w:eastAsia="宋体"/>
                <w:sz w:val="24"/>
              </w:rPr>
              <w:t>项目支出绩效自评表</w:t>
            </w:r>
          </w:p>
        </w:tc>
      </w:tr>
      <w:tr w14:paraId="2E043FFE">
        <w:tblPrEx>
          <w:tblCellMar>
            <w:top w:w="0" w:type="dxa"/>
            <w:left w:w="108" w:type="dxa"/>
            <w:bottom w:w="0" w:type="dxa"/>
            <w:right w:w="108" w:type="dxa"/>
          </w:tblCellMar>
        </w:tblPrEx>
        <w:tc>
          <w:tcPr>
            <w:tcW w:w="8848" w:type="dxa"/>
            <w:gridSpan w:val="14"/>
            <w:vAlign w:val="center"/>
          </w:tcPr>
          <w:p w14:paraId="34EC136C">
            <w:pPr>
              <w:jc w:val="center"/>
            </w:pPr>
            <w:r>
              <w:rPr>
                <w:rFonts w:ascii="宋体" w:hAnsi="宋体" w:eastAsia="宋体"/>
                <w:sz w:val="24"/>
              </w:rPr>
              <w:t>(2024年度)</w:t>
            </w:r>
          </w:p>
        </w:tc>
      </w:tr>
      <w:tr w14:paraId="208FD3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08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1A231B">
            <w:pPr>
              <w:jc w:val="center"/>
            </w:pPr>
            <w:r>
              <w:rPr>
                <w:rFonts w:ascii="宋体" w:hAnsi="宋体" w:eastAsia="宋体"/>
                <w:sz w:val="16"/>
              </w:rPr>
              <w:t>2024年重大传染病防控经费</w:t>
            </w:r>
          </w:p>
        </w:tc>
      </w:tr>
      <w:tr w14:paraId="01A02C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BAF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42326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709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8760F4">
            <w:pPr>
              <w:jc w:val="center"/>
            </w:pPr>
            <w:r>
              <w:rPr>
                <w:rFonts w:ascii="宋体" w:hAnsi="宋体" w:eastAsia="宋体"/>
                <w:sz w:val="16"/>
              </w:rPr>
              <w:t>裕民县疾病预防控制中心</w:t>
            </w:r>
          </w:p>
        </w:tc>
      </w:tr>
      <w:tr w14:paraId="69AE44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5D8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C5F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2CE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6AC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0F7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FED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7A4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9627">
            <w:pPr>
              <w:jc w:val="center"/>
            </w:pPr>
            <w:r>
              <w:rPr>
                <w:rFonts w:ascii="宋体" w:hAnsi="宋体" w:eastAsia="宋体"/>
                <w:sz w:val="16"/>
              </w:rPr>
              <w:t>得分</w:t>
            </w:r>
          </w:p>
        </w:tc>
      </w:tr>
      <w:tr w14:paraId="055EC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42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2B6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F7C0C">
            <w:pPr>
              <w:jc w:val="center"/>
            </w:pPr>
            <w:r>
              <w:rPr>
                <w:rFonts w:ascii="宋体" w:hAnsi="宋体" w:eastAsia="宋体"/>
                <w:sz w:val="16"/>
              </w:rPr>
              <w:t>88.71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E082">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ED7CA">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90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04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C1CA7">
            <w:pPr>
              <w:jc w:val="center"/>
            </w:pPr>
            <w:r>
              <w:rPr>
                <w:rFonts w:ascii="宋体" w:hAnsi="宋体" w:eastAsia="宋体"/>
                <w:sz w:val="16"/>
              </w:rPr>
              <w:t>10.00</w:t>
            </w:r>
          </w:p>
        </w:tc>
      </w:tr>
      <w:tr w14:paraId="5E305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478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D6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7E658">
            <w:pPr>
              <w:jc w:val="center"/>
            </w:pPr>
            <w:r>
              <w:rPr>
                <w:rFonts w:ascii="宋体" w:hAnsi="宋体" w:eastAsia="宋体"/>
                <w:sz w:val="16"/>
              </w:rPr>
              <w:t>87.56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075D2">
            <w:pPr>
              <w:jc w:val="center"/>
            </w:pPr>
            <w:r>
              <w:rPr>
                <w:rFonts w:ascii="宋体" w:hAnsi="宋体" w:eastAsia="宋体"/>
                <w:sz w:val="16"/>
              </w:rPr>
              <w:t>104.36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6577B">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C80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623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E7C3">
            <w:pPr>
              <w:jc w:val="center"/>
            </w:pPr>
            <w:r>
              <w:rPr>
                <w:rFonts w:ascii="宋体" w:hAnsi="宋体" w:eastAsia="宋体"/>
                <w:sz w:val="16"/>
              </w:rPr>
              <w:t>—</w:t>
            </w:r>
          </w:p>
        </w:tc>
      </w:tr>
      <w:tr w14:paraId="6C50C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C65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43D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1AFE">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6893">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400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EF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BE8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ACD4">
            <w:pPr>
              <w:jc w:val="center"/>
            </w:pPr>
            <w:r>
              <w:rPr>
                <w:rFonts w:ascii="宋体" w:hAnsi="宋体" w:eastAsia="宋体"/>
                <w:sz w:val="16"/>
              </w:rPr>
              <w:t>—</w:t>
            </w:r>
          </w:p>
        </w:tc>
      </w:tr>
      <w:tr w14:paraId="6DCEF1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695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B1C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A3B8AB">
            <w:pPr>
              <w:jc w:val="center"/>
            </w:pPr>
            <w:r>
              <w:rPr>
                <w:rFonts w:ascii="宋体" w:hAnsi="宋体" w:eastAsia="宋体"/>
                <w:sz w:val="16"/>
              </w:rPr>
              <w:t>实际完成情况</w:t>
            </w:r>
          </w:p>
        </w:tc>
      </w:tr>
      <w:tr w14:paraId="50AFF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CDC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D2E741">
            <w:pPr>
              <w:jc w:val="both"/>
            </w:pPr>
            <w:r>
              <w:rPr>
                <w:rFonts w:ascii="宋体" w:hAnsi="宋体" w:eastAsia="宋体"/>
                <w:sz w:val="16"/>
              </w:rPr>
              <w:t>2024年计划完成6</w:t>
            </w:r>
            <w:r>
              <w:rPr>
                <w:rFonts w:hint="eastAsia" w:ascii="宋体" w:hAnsi="宋体"/>
                <w:sz w:val="16"/>
                <w:lang w:eastAsia="zh-CN"/>
              </w:rPr>
              <w:t>次</w:t>
            </w:r>
            <w:r>
              <w:rPr>
                <w:rFonts w:ascii="宋体" w:hAnsi="宋体" w:eastAsia="宋体"/>
                <w:sz w:val="16"/>
              </w:rPr>
              <w:t>重大传染病宣传；学生常见病和健康影响因素监测学生1000人。通过该项目的实施对全</w:t>
            </w:r>
            <w:r>
              <w:rPr>
                <w:rFonts w:hint="eastAsia" w:ascii="宋体" w:hAnsi="宋体"/>
                <w:sz w:val="16"/>
                <w:lang w:eastAsia="zh-CN"/>
              </w:rPr>
              <w:t>县居</w:t>
            </w:r>
            <w:r>
              <w:rPr>
                <w:rFonts w:ascii="宋体" w:hAnsi="宋体" w:eastAsia="宋体"/>
                <w:sz w:val="16"/>
              </w:rPr>
              <w:t>民健康问题实施干预， 不断宣传，</w:t>
            </w:r>
            <w:r>
              <w:rPr>
                <w:rFonts w:hint="eastAsia" w:ascii="宋体" w:hAnsi="宋体"/>
                <w:sz w:val="16"/>
                <w:lang w:eastAsia="zh-CN"/>
              </w:rPr>
              <w:t>增强</w:t>
            </w:r>
            <w:r>
              <w:rPr>
                <w:rFonts w:ascii="宋体" w:hAnsi="宋体" w:eastAsia="宋体"/>
                <w:sz w:val="16"/>
              </w:rPr>
              <w:t>居民的疾病预防意识，减少居民的患病几率；以重大传染病患者为重点人群，提高慢性病等重大疾病和严重威胁妇女、儿童、老人等重点人群健康问题以及突发公共卫生事件预防和处置能力。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4FF18A">
            <w:pPr>
              <w:jc w:val="both"/>
            </w:pPr>
            <w:r>
              <w:rPr>
                <w:rFonts w:ascii="宋体" w:hAnsi="宋体" w:eastAsia="宋体"/>
                <w:sz w:val="16"/>
              </w:rPr>
              <w:t>2024年重大传染病防控经费项目年初预算105.51万元，全年执行数105.51万元，</w:t>
            </w:r>
            <w:r>
              <w:rPr>
                <w:rFonts w:hint="eastAsia" w:ascii="宋体" w:hAnsi="宋体"/>
                <w:sz w:val="16"/>
                <w:lang w:eastAsia="zh-CN"/>
              </w:rPr>
              <w:t>截至2024</w:t>
            </w:r>
            <w:r>
              <w:rPr>
                <w:rFonts w:ascii="宋体" w:hAnsi="宋体" w:eastAsia="宋体"/>
                <w:sz w:val="16"/>
              </w:rPr>
              <w:t>年12月25日支付105.51万元。该项目计划开展重大传染病宣传6次，实际宣传6次；计划开展督导</w:t>
            </w:r>
            <w:r>
              <w:rPr>
                <w:rFonts w:hint="eastAsia" w:ascii="宋体" w:hAnsi="宋体"/>
                <w:sz w:val="16"/>
                <w:lang w:eastAsia="zh-CN"/>
              </w:rPr>
              <w:t>检查</w:t>
            </w:r>
            <w:r>
              <w:rPr>
                <w:rFonts w:ascii="宋体" w:hAnsi="宋体" w:eastAsia="宋体"/>
                <w:sz w:val="16"/>
              </w:rPr>
              <w:t>10次，实际完成10次；计划购买实验室设备1台，实际购买1台；通过项目的实施</w:t>
            </w:r>
            <w:r>
              <w:rPr>
                <w:rFonts w:hint="eastAsia" w:ascii="宋体" w:hAnsi="宋体"/>
                <w:sz w:val="16"/>
                <w:lang w:eastAsia="zh-CN"/>
              </w:rPr>
              <w:t>，对</w:t>
            </w:r>
            <w:r>
              <w:rPr>
                <w:rFonts w:ascii="宋体" w:hAnsi="宋体" w:eastAsia="宋体"/>
                <w:sz w:val="16"/>
              </w:rPr>
              <w:t>全</w:t>
            </w:r>
            <w:r>
              <w:rPr>
                <w:rFonts w:hint="eastAsia" w:ascii="宋体" w:hAnsi="宋体"/>
                <w:sz w:val="16"/>
                <w:lang w:eastAsia="zh-CN"/>
              </w:rPr>
              <w:t>县居</w:t>
            </w:r>
            <w:r>
              <w:rPr>
                <w:rFonts w:ascii="宋体" w:hAnsi="宋体" w:eastAsia="宋体"/>
                <w:sz w:val="16"/>
              </w:rPr>
              <w:t>民健康问题实施干预， 不断宣传，提高l居民的疾病预防意识，减少居民的患病</w:t>
            </w:r>
            <w:r>
              <w:rPr>
                <w:rFonts w:hint="eastAsia" w:ascii="宋体" w:hAnsi="宋体"/>
                <w:sz w:val="16"/>
                <w:lang w:eastAsia="zh-CN"/>
              </w:rPr>
              <w:t>概率</w:t>
            </w:r>
            <w:r>
              <w:rPr>
                <w:rFonts w:ascii="宋体" w:hAnsi="宋体" w:eastAsia="宋体"/>
                <w:sz w:val="16"/>
              </w:rPr>
              <w:t>；以重大传染病患者为重点人群，提高慢性病等重大疾病和严重威胁妇女、儿童、老人等重点人群健康问题以及突发公共卫生事件预防和处置能力。</w:t>
            </w:r>
          </w:p>
        </w:tc>
      </w:tr>
      <w:tr w14:paraId="515946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C6D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AED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44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38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98A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E2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20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1E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62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ED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1F5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0E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D94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82ED">
            <w:pPr>
              <w:jc w:val="center"/>
            </w:pPr>
            <w:r>
              <w:rPr>
                <w:rFonts w:ascii="宋体" w:hAnsi="宋体" w:eastAsia="宋体"/>
                <w:sz w:val="16"/>
              </w:rPr>
              <w:t>偏差原因分析及改进措施</w:t>
            </w:r>
          </w:p>
        </w:tc>
      </w:tr>
      <w:tr w14:paraId="1226C2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C7A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178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30A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5AF5">
            <w:pPr>
              <w:jc w:val="center"/>
            </w:pPr>
            <w:r>
              <w:rPr>
                <w:rFonts w:ascii="宋体" w:hAnsi="宋体" w:eastAsia="宋体"/>
                <w:sz w:val="16"/>
              </w:rPr>
              <w:t>重大传染病宣传次数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1B12">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E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3330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C3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EE2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3C85">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6932">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B3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3A5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38C3">
            <w:pPr>
              <w:jc w:val="center"/>
            </w:pPr>
          </w:p>
        </w:tc>
      </w:tr>
      <w:tr w14:paraId="49042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D68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8A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AE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926E">
            <w:pPr>
              <w:jc w:val="center"/>
            </w:pPr>
            <w:r>
              <w:rPr>
                <w:rFonts w:ascii="宋体" w:hAnsi="宋体" w:eastAsia="宋体"/>
                <w:sz w:val="16"/>
              </w:rPr>
              <w:t>开展督导检查次数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3A3B">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E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863F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BD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4D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5003">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9E32">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59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57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6717B">
            <w:pPr>
              <w:jc w:val="center"/>
            </w:pPr>
          </w:p>
        </w:tc>
      </w:tr>
      <w:tr w14:paraId="4C994D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C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C9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39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A546">
            <w:pPr>
              <w:jc w:val="center"/>
            </w:pPr>
            <w:r>
              <w:rPr>
                <w:rFonts w:ascii="宋体" w:hAnsi="宋体" w:eastAsia="宋体"/>
                <w:sz w:val="16"/>
              </w:rPr>
              <w:t>购买实验室设备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FE78">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C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9314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1EC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2F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86D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3BCD">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01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01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384D6">
            <w:pPr>
              <w:jc w:val="center"/>
            </w:pPr>
          </w:p>
        </w:tc>
      </w:tr>
      <w:tr w14:paraId="5432D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77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ADE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0709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50AE">
            <w:pPr>
              <w:jc w:val="center"/>
            </w:pPr>
            <w:r>
              <w:rPr>
                <w:rFonts w:ascii="宋体" w:hAnsi="宋体" w:eastAsia="宋体"/>
                <w:sz w:val="16"/>
              </w:rPr>
              <w:t>死因监测规范报告率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632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E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A2B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FB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AF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715E2">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5468">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8F47">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AC3C">
            <w:pPr>
              <w:jc w:val="center"/>
            </w:pPr>
            <w:r>
              <w:rPr>
                <w:rFonts w:ascii="宋体" w:hAnsi="宋体" w:eastAsia="宋体"/>
                <w:sz w:val="16"/>
              </w:rPr>
              <w:t>4.35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B1FF2">
            <w:pPr>
              <w:jc w:val="center"/>
            </w:pPr>
            <w:r>
              <w:rPr>
                <w:rFonts w:ascii="宋体" w:hAnsi="宋体" w:eastAsia="宋体"/>
                <w:sz w:val="16"/>
              </w:rPr>
              <w:t>该项目年初设置指标比较保守，改进措施：年初根据实际工作合理设置指标，后期合理使用资金</w:t>
            </w:r>
          </w:p>
        </w:tc>
      </w:tr>
      <w:tr w14:paraId="22C51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C1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9B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4D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9560">
            <w:pPr>
              <w:jc w:val="center"/>
            </w:pPr>
            <w:r>
              <w:rPr>
                <w:rFonts w:ascii="宋体" w:hAnsi="宋体" w:eastAsia="宋体"/>
                <w:sz w:val="16"/>
              </w:rPr>
              <w:t>以乡镇（街道）为单位适龄儿童国家免疫规划疫苗接种率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034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762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4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469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DE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110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79EC">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66FE">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62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69DC">
            <w:pPr>
              <w:jc w:val="center"/>
            </w:pPr>
            <w:r>
              <w:rPr>
                <w:rFonts w:ascii="宋体" w:hAnsi="宋体" w:eastAsia="宋体"/>
                <w:sz w:val="16"/>
              </w:rPr>
              <w:t>该项目年初设置指标比较保守，改进措施：年初根据实际工作合理设置指标，后期合理使用资金</w:t>
            </w:r>
          </w:p>
        </w:tc>
      </w:tr>
      <w:tr w14:paraId="1AA0E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DA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11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E81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E3FAA">
            <w:pPr>
              <w:jc w:val="center"/>
            </w:pPr>
            <w:r>
              <w:rPr>
                <w:rFonts w:ascii="宋体" w:hAnsi="宋体" w:eastAsia="宋体"/>
                <w:sz w:val="16"/>
              </w:rPr>
              <w:t>设备使用合格率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546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6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FA8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96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01E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412C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36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B2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76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031E">
            <w:pPr>
              <w:jc w:val="center"/>
            </w:pPr>
          </w:p>
        </w:tc>
      </w:tr>
      <w:tr w14:paraId="1B8F7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105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97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7A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20B7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03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E5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E7F2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5E9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A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B4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11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E9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D9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BA6AC">
            <w:pPr>
              <w:jc w:val="center"/>
            </w:pPr>
          </w:p>
        </w:tc>
      </w:tr>
      <w:tr w14:paraId="1B914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E3B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DA02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663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FE46">
            <w:pPr>
              <w:jc w:val="center"/>
            </w:pPr>
            <w:r>
              <w:rPr>
                <w:rFonts w:ascii="宋体" w:hAnsi="宋体" w:eastAsia="宋体"/>
                <w:sz w:val="16"/>
              </w:rPr>
              <w:t>重大传染病防控经费支出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3528">
            <w:pPr>
              <w:jc w:val="center"/>
            </w:pPr>
            <w:r>
              <w:rPr>
                <w:rFonts w:ascii="宋体" w:hAnsi="宋体" w:eastAsia="宋体"/>
                <w:sz w:val="16"/>
              </w:rPr>
              <w:t>&lt;=87.61万元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E8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9BCB">
            <w:pPr>
              <w:jc w:val="center"/>
            </w:pPr>
            <w:r>
              <w:rPr>
                <w:rFonts w:ascii="宋体" w:hAnsi="宋体" w:eastAsia="宋体"/>
                <w:sz w:val="16"/>
              </w:rPr>
              <w: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132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0A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071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9235">
            <w:pPr>
              <w:jc w:val="center"/>
            </w:pPr>
            <w:r>
              <w:rPr>
                <w:rFonts w:ascii="宋体" w:hAnsi="宋体" w:eastAsia="宋体"/>
                <w:sz w:val="16"/>
              </w:rPr>
              <w:t>87.61万元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0D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6D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04265">
            <w:pPr>
              <w:jc w:val="center"/>
            </w:pPr>
          </w:p>
        </w:tc>
      </w:tr>
      <w:tr w14:paraId="5BE98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5A4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7B5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875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82D84">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F6C4">
            <w:pPr>
              <w:jc w:val="center"/>
            </w:pPr>
            <w:r>
              <w:rPr>
                <w:rFonts w:ascii="宋体" w:hAnsi="宋体" w:eastAsia="宋体"/>
                <w:sz w:val="16"/>
              </w:rPr>
              <w:t>&lt;=17.90万元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97C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1B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7A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46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743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B8AD">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07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6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538C7">
            <w:pPr>
              <w:jc w:val="center"/>
            </w:pPr>
          </w:p>
        </w:tc>
      </w:tr>
      <w:tr w14:paraId="757F4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A0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97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7E3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5208">
            <w:pPr>
              <w:jc w:val="center"/>
            </w:pPr>
            <w:r>
              <w:rPr>
                <w:rFonts w:ascii="宋体" w:hAnsi="宋体" w:eastAsia="宋体"/>
                <w:sz w:val="16"/>
              </w:rPr>
              <w:t>适龄儿童国家免疫规划疫苗针对传染病发病率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1F0D">
            <w:pPr>
              <w:jc w:val="center"/>
            </w:pPr>
            <w:r>
              <w:rPr>
                <w:rFonts w:ascii="宋体" w:hAnsi="宋体" w:eastAsia="宋体"/>
                <w:sz w:val="16"/>
              </w:rPr>
              <w:t>持续在较低水平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34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B39A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73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34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FD87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87D0">
            <w:pPr>
              <w:jc w:val="center"/>
            </w:pPr>
            <w:r>
              <w:rPr>
                <w:rFonts w:ascii="宋体" w:hAnsi="宋体" w:eastAsia="宋体"/>
                <w:sz w:val="16"/>
              </w:rPr>
              <w:t>持续在较低水平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E8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CAD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A16E">
            <w:pPr>
              <w:jc w:val="center"/>
            </w:pPr>
          </w:p>
        </w:tc>
      </w:tr>
      <w:tr w14:paraId="4DDC76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FD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C1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14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30E19">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81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F2C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6F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F9A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F65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016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2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05C1">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82C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9227">
            <w:pPr>
              <w:jc w:val="center"/>
            </w:pPr>
            <w:r>
              <w:rPr>
                <w:rFonts w:ascii="宋体" w:hAnsi="宋体" w:eastAsia="宋体"/>
                <w:sz w:val="16"/>
              </w:rPr>
              <w:t>该项目年初设置指标比较保守，改进措施：年初根据实际工作合理设置指标，后期合理使用资金</w:t>
            </w:r>
          </w:p>
        </w:tc>
      </w:tr>
      <w:tr w14:paraId="52C4DD6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9064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01AA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22C4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ED4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ED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03CE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ACC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45A6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B5C5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7EDB">
            <w:pPr>
              <w:jc w:val="center"/>
            </w:pPr>
            <w:r>
              <w:rPr>
                <w:rFonts w:ascii="宋体" w:hAnsi="宋体" w:eastAsia="宋体"/>
                <w:sz w:val="16"/>
              </w:rPr>
              <w:t>99.35分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69F60F"/>
        </w:tc>
      </w:tr>
    </w:tbl>
    <w:p w14:paraId="3C8C2F02">
      <w:r>
        <w:br w:type="page"/>
      </w:r>
    </w:p>
    <w:p w14:paraId="635D6811">
      <w:pPr>
        <w:spacing w:line="640" w:lineRule="exact"/>
        <w:ind w:firstLine="640"/>
        <w:jc w:val="both"/>
        <w:outlineLvl w:val="2"/>
      </w:pPr>
      <w:r>
        <w:rPr>
          <w:rFonts w:ascii="黑体" w:hAnsi="黑体" w:eastAsia="黑体"/>
          <w:sz w:val="32"/>
        </w:rPr>
        <w:t>十二、其他需说明的事项</w:t>
      </w:r>
    </w:p>
    <w:p w14:paraId="3CA66202">
      <w:pPr>
        <w:spacing w:line="580" w:lineRule="exact"/>
        <w:ind w:firstLine="640"/>
        <w:jc w:val="both"/>
      </w:pPr>
      <w:r>
        <w:rPr>
          <w:rFonts w:ascii="仿宋_GB2312" w:hAnsi="仿宋_GB2312" w:eastAsia="仿宋_GB2312"/>
          <w:b w:val="0"/>
          <w:sz w:val="32"/>
        </w:rPr>
        <w:t>本单位无其他需说明的事项。</w:t>
      </w:r>
    </w:p>
    <w:p w14:paraId="24130DB0">
      <w:r>
        <w:br w:type="page"/>
      </w:r>
    </w:p>
    <w:p w14:paraId="38806326">
      <w:pPr>
        <w:spacing w:line="240" w:lineRule="auto"/>
        <w:jc w:val="center"/>
        <w:outlineLvl w:val="1"/>
      </w:pPr>
      <w:r>
        <w:rPr>
          <w:rFonts w:ascii="黑体" w:hAnsi="黑体" w:eastAsia="黑体"/>
          <w:sz w:val="32"/>
        </w:rPr>
        <w:t>第三部分 专业名词解释</w:t>
      </w:r>
    </w:p>
    <w:p w14:paraId="0647321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7CEFF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32CBD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5298E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E1AB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3FFEC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73D351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D3D7F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E16AB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33B0BA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F3C8D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F8FD05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BEFF0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DF412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702D71">
      <w:r>
        <w:br w:type="page"/>
      </w:r>
    </w:p>
    <w:p w14:paraId="0077BE29">
      <w:pPr>
        <w:spacing w:line="240" w:lineRule="auto"/>
        <w:jc w:val="center"/>
        <w:outlineLvl w:val="1"/>
      </w:pPr>
      <w:r>
        <w:rPr>
          <w:rFonts w:ascii="黑体" w:hAnsi="黑体" w:eastAsia="黑体"/>
          <w:sz w:val="32"/>
        </w:rPr>
        <w:t>第四部分 部门决算报表（见附表）</w:t>
      </w:r>
    </w:p>
    <w:p w14:paraId="1ED9E4CF">
      <w:pPr>
        <w:spacing w:line="240" w:lineRule="auto"/>
        <w:ind w:firstLine="640"/>
        <w:jc w:val="both"/>
      </w:pPr>
      <w:r>
        <w:rPr>
          <w:rFonts w:ascii="仿宋_GB2312" w:hAnsi="仿宋_GB2312" w:eastAsia="仿宋_GB2312"/>
          <w:b w:val="0"/>
          <w:sz w:val="32"/>
        </w:rPr>
        <w:t>一、《收入支出决算总表》</w:t>
      </w:r>
    </w:p>
    <w:p w14:paraId="2E77192D">
      <w:pPr>
        <w:spacing w:line="240" w:lineRule="auto"/>
        <w:ind w:firstLine="640"/>
        <w:jc w:val="both"/>
      </w:pPr>
      <w:r>
        <w:rPr>
          <w:rFonts w:ascii="仿宋_GB2312" w:hAnsi="仿宋_GB2312" w:eastAsia="仿宋_GB2312"/>
          <w:b w:val="0"/>
          <w:sz w:val="32"/>
        </w:rPr>
        <w:t>二、《收入决算表》</w:t>
      </w:r>
    </w:p>
    <w:p w14:paraId="4A83FF87">
      <w:pPr>
        <w:spacing w:line="240" w:lineRule="auto"/>
        <w:ind w:firstLine="640"/>
        <w:jc w:val="both"/>
      </w:pPr>
      <w:r>
        <w:rPr>
          <w:rFonts w:ascii="仿宋_GB2312" w:hAnsi="仿宋_GB2312" w:eastAsia="仿宋_GB2312"/>
          <w:b w:val="0"/>
          <w:sz w:val="32"/>
        </w:rPr>
        <w:t>三、《支出决算表》</w:t>
      </w:r>
    </w:p>
    <w:p w14:paraId="5BC4D142">
      <w:pPr>
        <w:spacing w:line="240" w:lineRule="auto"/>
        <w:ind w:firstLine="640"/>
        <w:jc w:val="both"/>
      </w:pPr>
      <w:r>
        <w:rPr>
          <w:rFonts w:ascii="仿宋_GB2312" w:hAnsi="仿宋_GB2312" w:eastAsia="仿宋_GB2312"/>
          <w:b w:val="0"/>
          <w:sz w:val="32"/>
        </w:rPr>
        <w:t>四、《财政拨款收入支出决算总表》</w:t>
      </w:r>
    </w:p>
    <w:p w14:paraId="1E064E0E">
      <w:pPr>
        <w:spacing w:line="240" w:lineRule="auto"/>
        <w:ind w:firstLine="640"/>
        <w:jc w:val="both"/>
      </w:pPr>
      <w:r>
        <w:rPr>
          <w:rFonts w:ascii="仿宋_GB2312" w:hAnsi="仿宋_GB2312" w:eastAsia="仿宋_GB2312"/>
          <w:b w:val="0"/>
          <w:sz w:val="32"/>
        </w:rPr>
        <w:t>五、《一般公共预算财政拨款支出决算表》</w:t>
      </w:r>
    </w:p>
    <w:p w14:paraId="4AF7214D">
      <w:pPr>
        <w:spacing w:line="240" w:lineRule="auto"/>
        <w:ind w:firstLine="640"/>
        <w:jc w:val="both"/>
      </w:pPr>
      <w:r>
        <w:rPr>
          <w:rFonts w:ascii="仿宋_GB2312" w:hAnsi="仿宋_GB2312" w:eastAsia="仿宋_GB2312"/>
          <w:b w:val="0"/>
          <w:sz w:val="32"/>
        </w:rPr>
        <w:t>六、《一般公共预算财政拨款基本支出决算表》</w:t>
      </w:r>
    </w:p>
    <w:p w14:paraId="12812601">
      <w:pPr>
        <w:spacing w:line="240" w:lineRule="auto"/>
        <w:ind w:firstLine="640"/>
        <w:jc w:val="both"/>
      </w:pPr>
      <w:r>
        <w:rPr>
          <w:rFonts w:ascii="仿宋_GB2312" w:hAnsi="仿宋_GB2312" w:eastAsia="仿宋_GB2312"/>
          <w:b w:val="0"/>
          <w:sz w:val="32"/>
        </w:rPr>
        <w:t>七、《政府性基金预算财政拨款收入支出决算表》</w:t>
      </w:r>
    </w:p>
    <w:p w14:paraId="184E1F8F">
      <w:pPr>
        <w:spacing w:line="240" w:lineRule="auto"/>
        <w:ind w:firstLine="640"/>
        <w:jc w:val="both"/>
      </w:pPr>
      <w:r>
        <w:rPr>
          <w:rFonts w:ascii="仿宋_GB2312" w:hAnsi="仿宋_GB2312" w:eastAsia="仿宋_GB2312"/>
          <w:b w:val="0"/>
          <w:sz w:val="32"/>
        </w:rPr>
        <w:t>八、《国有资本经营预算财政拨款收入支出决算表》</w:t>
      </w:r>
    </w:p>
    <w:p w14:paraId="054380EF">
      <w:pPr>
        <w:spacing w:line="240" w:lineRule="auto"/>
        <w:ind w:firstLine="640"/>
        <w:jc w:val="both"/>
      </w:pPr>
      <w:r>
        <w:rPr>
          <w:rFonts w:ascii="仿宋_GB2312" w:hAnsi="仿宋_GB2312" w:eastAsia="仿宋_GB2312"/>
          <w:b w:val="0"/>
          <w:sz w:val="32"/>
        </w:rPr>
        <w:t>九、《财政拨款“三公”经费支出决算表》</w:t>
      </w:r>
    </w:p>
    <w:p w14:paraId="0C32B545">
      <w:pPr>
        <w:spacing w:line="240" w:lineRule="auto"/>
        <w:ind w:firstLine="640"/>
        <w:jc w:val="both"/>
      </w:pPr>
    </w:p>
    <w:p w14:paraId="4DC364D2">
      <w:pPr>
        <w:spacing w:line="240" w:lineRule="auto"/>
        <w:ind w:firstLine="640"/>
        <w:jc w:val="both"/>
      </w:pPr>
    </w:p>
    <w:p w14:paraId="11333690">
      <w:pPr>
        <w:spacing w:line="240" w:lineRule="auto"/>
        <w:ind w:firstLine="640"/>
        <w:jc w:val="both"/>
      </w:pPr>
    </w:p>
    <w:p w14:paraId="1F546FEF">
      <w:pPr>
        <w:spacing w:line="240" w:lineRule="auto"/>
        <w:ind w:firstLine="640"/>
        <w:jc w:val="both"/>
      </w:pPr>
    </w:p>
    <w:p w14:paraId="2A07D2E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21648E-BC81-46A9-AEF0-6E23931C88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ECC39BA-72C6-4488-916D-EF8C6F980280}"/>
  </w:font>
  <w:font w:name="仿宋_GB2312">
    <w:panose1 w:val="02010609030101010101"/>
    <w:charset w:val="86"/>
    <w:family w:val="auto"/>
    <w:pitch w:val="default"/>
    <w:sig w:usb0="00000001" w:usb1="080E0000" w:usb2="00000000" w:usb3="00000000" w:csb0="00040000" w:csb1="00000000"/>
    <w:embedRegular r:id="rId3" w:fontKey="{2D1C13C1-9466-4F5D-B3E7-C9271A753BF4}"/>
  </w:font>
  <w:font w:name="楷体_GB2312">
    <w:panose1 w:val="02010609030101010101"/>
    <w:charset w:val="86"/>
    <w:family w:val="auto"/>
    <w:pitch w:val="default"/>
    <w:sig w:usb0="00000001" w:usb1="080E0000" w:usb2="00000000" w:usb3="00000000" w:csb0="00040000" w:csb1="00000000"/>
    <w:embedRegular r:id="rId4" w:fontKey="{C85F4529-BEB4-462C-9440-F70B8E1D77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CA0C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F809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A2F809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2F76906"/>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72AC6"/>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FE02DD"/>
    <w:rsid w:val="6D8919A8"/>
    <w:rsid w:val="6E0F7A08"/>
    <w:rsid w:val="6E801ABC"/>
    <w:rsid w:val="71473612"/>
    <w:rsid w:val="718F7F65"/>
    <w:rsid w:val="73423603"/>
    <w:rsid w:val="737A5923"/>
    <w:rsid w:val="73DE4104"/>
    <w:rsid w:val="73FB6630"/>
    <w:rsid w:val="74CE04EC"/>
    <w:rsid w:val="74E76DCD"/>
    <w:rsid w:val="76660D7C"/>
    <w:rsid w:val="77DD48A4"/>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4988</Words>
  <Characters>5722</Characters>
  <Lines>0</Lines>
  <Paragraphs>0</Paragraphs>
  <TotalTime>7</TotalTime>
  <ScaleCrop>false</ScaleCrop>
  <LinksUpToDate>false</LinksUpToDate>
  <CharactersWithSpaces>5730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2025-11-07T08:40:47Z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