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B211D">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122D8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AD2A8A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F107A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E50E8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F82B1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裕民县环卫服务中心2024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A6F075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E7CAD4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AF7AF7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553EB9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20C196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F9F484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178466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1A85B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160A9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422F4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A4672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F7BACB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798E19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76933AB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D84398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BD19A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AFD80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724A3F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370DC5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EA4874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BF0DBD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C34553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B5C2B2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664C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61F758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7DFCA7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37C3C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E6008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02E1B2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1BAC4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A7D2E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7890A9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459AB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14DC85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C50FD0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D5CED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672191">
      <w:r>
        <w:br w:type="page"/>
      </w:r>
    </w:p>
    <w:p w14:paraId="725FCA42">
      <w:pPr>
        <w:spacing w:line="640" w:lineRule="exact"/>
        <w:jc w:val="center"/>
        <w:outlineLvl w:val="1"/>
      </w:pPr>
      <w:r>
        <w:rPr>
          <w:rFonts w:ascii="黑体" w:hAnsi="黑体" w:eastAsia="黑体"/>
          <w:sz w:val="32"/>
        </w:rPr>
        <w:t>第一部分 单位概况</w:t>
      </w:r>
    </w:p>
    <w:p w14:paraId="27BDD45C">
      <w:pPr>
        <w:spacing w:line="640" w:lineRule="exact"/>
        <w:ind w:firstLine="640"/>
        <w:jc w:val="both"/>
        <w:outlineLvl w:val="2"/>
      </w:pPr>
      <w:r>
        <w:rPr>
          <w:rFonts w:ascii="黑体" w:hAnsi="黑体" w:eastAsia="黑体"/>
          <w:sz w:val="32"/>
        </w:rPr>
        <w:t>一、主要职能</w:t>
      </w:r>
    </w:p>
    <w:p w14:paraId="6031DB96">
      <w:pPr>
        <w:spacing w:line="580" w:lineRule="exact"/>
        <w:ind w:firstLine="640"/>
        <w:jc w:val="both"/>
      </w:pPr>
      <w:r>
        <w:rPr>
          <w:rFonts w:ascii="仿宋_GB2312" w:hAnsi="仿宋_GB2312" w:eastAsia="仿宋_GB2312"/>
          <w:sz w:val="32"/>
        </w:rPr>
        <w:t>（1）负责城市市容环境卫生的管理检查。</w:t>
      </w:r>
    </w:p>
    <w:p w14:paraId="3E1AD016">
      <w:pPr>
        <w:spacing w:line="580" w:lineRule="exact"/>
        <w:ind w:firstLine="640"/>
        <w:jc w:val="both"/>
      </w:pPr>
      <w:r>
        <w:rPr>
          <w:rFonts w:ascii="仿宋_GB2312" w:hAnsi="仿宋_GB2312" w:eastAsia="仿宋_GB2312"/>
          <w:sz w:val="32"/>
        </w:rPr>
        <w:t>（2）负责城区内的生活垃圾、工业垃圾及医疗垃圾的统一清运，以及粪便和垃圾无害化处理(处理方式为简易卫生填埋。</w:t>
      </w:r>
    </w:p>
    <w:p w14:paraId="43D4D409">
      <w:pPr>
        <w:spacing w:line="580" w:lineRule="exact"/>
        <w:ind w:firstLine="640"/>
        <w:jc w:val="both"/>
      </w:pPr>
      <w:r>
        <w:rPr>
          <w:rFonts w:ascii="仿宋_GB2312" w:hAnsi="仿宋_GB2312" w:eastAsia="仿宋_GB2312"/>
          <w:sz w:val="32"/>
        </w:rPr>
        <w:t>（3）负责城区街道61万平方米的清扫保洁任务。</w:t>
      </w:r>
    </w:p>
    <w:p w14:paraId="08D39785">
      <w:pPr>
        <w:spacing w:line="580" w:lineRule="exact"/>
        <w:ind w:firstLine="640"/>
        <w:jc w:val="both"/>
      </w:pPr>
      <w:r>
        <w:rPr>
          <w:rFonts w:ascii="仿宋_GB2312" w:hAnsi="仿宋_GB2312" w:eastAsia="仿宋_GB2312"/>
          <w:sz w:val="32"/>
        </w:rPr>
        <w:t>（4）负责对市政建设施工进行监督检查及市政设施的日常管理，按照上级要求</w:t>
      </w:r>
      <w:r>
        <w:rPr>
          <w:rFonts w:hint="eastAsia" w:ascii="仿宋_GB2312" w:hAnsi="仿宋_GB2312" w:eastAsia="仿宋_GB2312"/>
          <w:sz w:val="32"/>
          <w:lang w:eastAsia="zh-CN"/>
        </w:rPr>
        <w:t>完成</w:t>
      </w:r>
      <w:r>
        <w:rPr>
          <w:rFonts w:ascii="仿宋_GB2312" w:hAnsi="仿宋_GB2312" w:eastAsia="仿宋_GB2312"/>
          <w:sz w:val="32"/>
        </w:rPr>
        <w:t>城市市政道路维护任务。</w:t>
      </w:r>
    </w:p>
    <w:p w14:paraId="6170DA24">
      <w:pPr>
        <w:spacing w:line="580" w:lineRule="exact"/>
        <w:ind w:firstLine="640"/>
        <w:jc w:val="both"/>
      </w:pPr>
      <w:r>
        <w:rPr>
          <w:rFonts w:ascii="仿宋_GB2312" w:hAnsi="仿宋_GB2312" w:eastAsia="仿宋_GB2312"/>
          <w:sz w:val="32"/>
        </w:rPr>
        <w:t>（5）开展城区垃圾处理费的收缴。</w:t>
      </w:r>
    </w:p>
    <w:p w14:paraId="5FA141DB">
      <w:pPr>
        <w:spacing w:line="640" w:lineRule="exact"/>
        <w:ind w:firstLine="640"/>
        <w:jc w:val="both"/>
        <w:outlineLvl w:val="2"/>
      </w:pPr>
      <w:r>
        <w:rPr>
          <w:rFonts w:ascii="黑体" w:hAnsi="黑体" w:eastAsia="黑体"/>
          <w:sz w:val="32"/>
        </w:rPr>
        <w:t>二、机构设置及人员情况</w:t>
      </w:r>
    </w:p>
    <w:p w14:paraId="4956D893">
      <w:pPr>
        <w:spacing w:line="580" w:lineRule="exact"/>
        <w:ind w:firstLine="640"/>
        <w:jc w:val="both"/>
      </w:pPr>
      <w:r>
        <w:rPr>
          <w:rFonts w:ascii="仿宋_GB2312" w:hAnsi="仿宋_GB2312" w:eastAsia="仿宋_GB2312"/>
          <w:sz w:val="32"/>
        </w:rPr>
        <w:t>裕民县环卫服务中心2024年度，实有人数99人，其中：在职人员53人，减少2人；离休人员0人，增加0人；退休人员46人,增加2人。</w:t>
      </w:r>
    </w:p>
    <w:p w14:paraId="7632C16C">
      <w:pPr>
        <w:spacing w:line="580" w:lineRule="exact"/>
        <w:ind w:firstLine="640"/>
        <w:jc w:val="both"/>
      </w:pPr>
      <w:r>
        <w:rPr>
          <w:rFonts w:ascii="仿宋_GB2312" w:hAnsi="仿宋_GB2312" w:eastAsia="仿宋_GB2312"/>
          <w:sz w:val="32"/>
        </w:rPr>
        <w:t>裕民县环卫服务中心无下属预算单位，下设</w:t>
      </w:r>
      <w:r>
        <w:rPr>
          <w:rFonts w:hint="eastAsia" w:ascii="仿宋_GB2312" w:hAnsi="仿宋_GB2312" w:eastAsia="仿宋_GB2312"/>
          <w:sz w:val="32"/>
          <w:lang w:val="en-US" w:eastAsia="zh-CN"/>
        </w:rPr>
        <w:t>3</w:t>
      </w:r>
      <w:r>
        <w:rPr>
          <w:rFonts w:ascii="仿宋_GB2312" w:hAnsi="仿宋_GB2312" w:eastAsia="仿宋_GB2312"/>
          <w:sz w:val="32"/>
        </w:rPr>
        <w:t>个科室，分别是：</w:t>
      </w:r>
      <w:r>
        <w:rPr>
          <w:rFonts w:hint="eastAsia" w:ascii="仿宋_GB2312" w:hAnsi="仿宋_GB2312" w:eastAsia="仿宋_GB2312"/>
          <w:sz w:val="32"/>
        </w:rPr>
        <w:t>书记主任办公室、办公室、财务室</w:t>
      </w:r>
      <w:r>
        <w:rPr>
          <w:rFonts w:ascii="仿宋_GB2312" w:hAnsi="仿宋_GB2312" w:eastAsia="仿宋_GB2312"/>
          <w:sz w:val="32"/>
        </w:rPr>
        <w:t>。</w:t>
      </w:r>
    </w:p>
    <w:p w14:paraId="594E1AC2">
      <w:r>
        <w:br w:type="page"/>
      </w:r>
    </w:p>
    <w:p w14:paraId="15F3CEF0">
      <w:pPr>
        <w:spacing w:line="240" w:lineRule="auto"/>
        <w:jc w:val="center"/>
        <w:outlineLvl w:val="1"/>
      </w:pPr>
      <w:r>
        <w:rPr>
          <w:rFonts w:ascii="黑体" w:hAnsi="黑体" w:eastAsia="黑体"/>
          <w:sz w:val="32"/>
        </w:rPr>
        <w:t>第二部分 部门决算情况说明</w:t>
      </w:r>
    </w:p>
    <w:p w14:paraId="392CEAB0">
      <w:pPr>
        <w:spacing w:line="640" w:lineRule="exact"/>
        <w:ind w:firstLine="640"/>
        <w:jc w:val="both"/>
        <w:outlineLvl w:val="2"/>
      </w:pPr>
      <w:r>
        <w:rPr>
          <w:rFonts w:ascii="黑体" w:hAnsi="黑体" w:eastAsia="黑体"/>
          <w:sz w:val="32"/>
        </w:rPr>
        <w:t>一、收入支出决算总体情况说明</w:t>
      </w:r>
    </w:p>
    <w:p w14:paraId="4C0BCA35">
      <w:pPr>
        <w:spacing w:line="580" w:lineRule="exact"/>
        <w:ind w:firstLine="640"/>
        <w:jc w:val="both"/>
      </w:pPr>
      <w:r>
        <w:rPr>
          <w:rFonts w:ascii="仿宋_GB2312" w:hAnsi="仿宋_GB2312" w:eastAsia="仿宋_GB2312"/>
          <w:b/>
          <w:sz w:val="32"/>
        </w:rPr>
        <w:t>2024年度收入总计1,394.97万元，</w:t>
      </w:r>
      <w:r>
        <w:rPr>
          <w:rFonts w:ascii="仿宋_GB2312" w:hAnsi="仿宋_GB2312" w:eastAsia="仿宋_GB2312"/>
          <w:b w:val="0"/>
          <w:sz w:val="32"/>
        </w:rPr>
        <w:t>其中：本年收入合计1,394.97万元，使用非财政拨款结余（含专用结余）0.00万元，年初结转和结余0.00万元。</w:t>
      </w:r>
    </w:p>
    <w:p w14:paraId="311CE4F0">
      <w:pPr>
        <w:spacing w:line="580" w:lineRule="exact"/>
        <w:ind w:firstLine="640"/>
        <w:jc w:val="both"/>
        <w:rPr>
          <w:w w:val="96"/>
          <w:sz w:val="32"/>
        </w:rPr>
      </w:pPr>
      <w:r>
        <w:rPr>
          <w:rFonts w:ascii="仿宋_GB2312" w:hAnsi="仿宋_GB2312" w:eastAsia="仿宋_GB2312"/>
          <w:b/>
          <w:w w:val="96"/>
          <w:sz w:val="32"/>
        </w:rPr>
        <w:t>2024年度支出总计1,394.97万元，</w:t>
      </w:r>
      <w:r>
        <w:rPr>
          <w:rFonts w:ascii="仿宋_GB2312" w:hAnsi="仿宋_GB2312" w:eastAsia="仿宋_GB2312"/>
          <w:b w:val="0"/>
          <w:w w:val="96"/>
          <w:sz w:val="32"/>
        </w:rPr>
        <w:t>其中：本年支出合计1,394.96万元，结余分配0.00万元，年末结转和结余0.01万元。</w:t>
      </w:r>
    </w:p>
    <w:p w14:paraId="08500E33">
      <w:pPr>
        <w:spacing w:line="580" w:lineRule="exact"/>
        <w:ind w:firstLine="640"/>
        <w:jc w:val="both"/>
      </w:pPr>
      <w:r>
        <w:rPr>
          <w:rFonts w:ascii="仿宋_GB2312" w:hAnsi="仿宋_GB2312" w:eastAsia="仿宋_GB2312"/>
          <w:b w:val="0"/>
          <w:sz w:val="32"/>
        </w:rPr>
        <w:t>收入支出总体与上年相比，增加288.92万元，增长26.12%，主要原因是：本年度环境卫生业务经费增加；在职人员工资调增，社保、公积金基数调增，人员经费增加。</w:t>
      </w:r>
    </w:p>
    <w:p w14:paraId="3D8B71CC">
      <w:pPr>
        <w:spacing w:line="640" w:lineRule="exact"/>
        <w:ind w:firstLine="640"/>
        <w:jc w:val="both"/>
        <w:outlineLvl w:val="2"/>
      </w:pPr>
      <w:r>
        <w:rPr>
          <w:rFonts w:ascii="黑体" w:hAnsi="黑体" w:eastAsia="黑体"/>
          <w:sz w:val="32"/>
        </w:rPr>
        <w:t>二、收入决算情况说明</w:t>
      </w:r>
    </w:p>
    <w:p w14:paraId="79F6E5D7">
      <w:pPr>
        <w:spacing w:line="580" w:lineRule="exact"/>
        <w:ind w:firstLine="640"/>
        <w:jc w:val="both"/>
        <w:rPr>
          <w:w w:val="95"/>
          <w:sz w:val="32"/>
        </w:rPr>
      </w:pPr>
      <w:r>
        <w:rPr>
          <w:rFonts w:ascii="仿宋_GB2312" w:hAnsi="仿宋_GB2312" w:eastAsia="仿宋_GB2312"/>
          <w:b/>
          <w:w w:val="95"/>
          <w:sz w:val="32"/>
        </w:rPr>
        <w:t>本年收入1,394.97万元，</w:t>
      </w:r>
      <w:r>
        <w:rPr>
          <w:rFonts w:ascii="仿宋_GB2312" w:hAnsi="仿宋_GB2312" w:eastAsia="仿宋_GB2312"/>
          <w:b w:val="0"/>
          <w:w w:val="95"/>
          <w:sz w:val="32"/>
        </w:rPr>
        <w:t>其中：财政拨款收入1,394.91万元，占100.00%；上级补助收入0.00万元，占0.00%；事业收入0.00万元，占0.00%；经营收入0.00万元，占0.00%；附属单位上缴收入0.00万元，占0.00%；其他收入0.06万元，占0.004%。</w:t>
      </w:r>
    </w:p>
    <w:p w14:paraId="057C9B7B">
      <w:pPr>
        <w:spacing w:line="640" w:lineRule="exact"/>
        <w:ind w:firstLine="640"/>
        <w:jc w:val="both"/>
        <w:outlineLvl w:val="2"/>
      </w:pPr>
      <w:r>
        <w:rPr>
          <w:rFonts w:ascii="黑体" w:hAnsi="黑体" w:eastAsia="黑体"/>
          <w:sz w:val="32"/>
        </w:rPr>
        <w:t>三、支出决算情况说明</w:t>
      </w:r>
    </w:p>
    <w:p w14:paraId="585E26DB">
      <w:pPr>
        <w:spacing w:line="580" w:lineRule="exact"/>
        <w:ind w:firstLine="640"/>
        <w:jc w:val="both"/>
      </w:pPr>
      <w:r>
        <w:rPr>
          <w:rFonts w:ascii="仿宋_GB2312" w:hAnsi="仿宋_GB2312" w:eastAsia="仿宋_GB2312"/>
          <w:b/>
          <w:sz w:val="32"/>
        </w:rPr>
        <w:t>本年支出1,394.96万元，</w:t>
      </w:r>
      <w:r>
        <w:rPr>
          <w:rFonts w:ascii="仿宋_GB2312" w:hAnsi="仿宋_GB2312" w:eastAsia="仿宋_GB2312"/>
          <w:b w:val="0"/>
          <w:sz w:val="32"/>
        </w:rPr>
        <w:t>其中：基本支出1,394.96万元，占100.00%；项目支出0.00万元，占0.00%；上缴上级支出0.00万元，占0.00%；经营支出0.00万元，占0.00%；对附属单位补助支出0.00万元，占0.00%。</w:t>
      </w:r>
    </w:p>
    <w:p w14:paraId="6106A858">
      <w:pPr>
        <w:spacing w:line="640" w:lineRule="exact"/>
        <w:ind w:firstLine="640"/>
        <w:jc w:val="both"/>
        <w:outlineLvl w:val="2"/>
      </w:pPr>
      <w:r>
        <w:rPr>
          <w:rFonts w:ascii="黑体" w:hAnsi="黑体" w:eastAsia="黑体"/>
          <w:sz w:val="32"/>
        </w:rPr>
        <w:t>四、财政拨款收入支出决算总体情况说明</w:t>
      </w:r>
    </w:p>
    <w:p w14:paraId="18B9DA5C">
      <w:pPr>
        <w:spacing w:line="580" w:lineRule="exact"/>
        <w:ind w:firstLine="640"/>
        <w:jc w:val="both"/>
      </w:pPr>
      <w:r>
        <w:rPr>
          <w:rFonts w:ascii="仿宋_GB2312" w:hAnsi="仿宋_GB2312" w:eastAsia="仿宋_GB2312"/>
          <w:b/>
          <w:sz w:val="32"/>
        </w:rPr>
        <w:t>2024年度财政拨款收入总计1,394.91万元，</w:t>
      </w:r>
      <w:r>
        <w:rPr>
          <w:rFonts w:ascii="仿宋_GB2312" w:hAnsi="仿宋_GB2312" w:eastAsia="仿宋_GB2312"/>
          <w:b w:val="0"/>
          <w:sz w:val="32"/>
        </w:rPr>
        <w:t>其中：年初财政拨款结转和结余0.00万元，本年财政拨款收入1,394.91万元。</w:t>
      </w:r>
      <w:r>
        <w:rPr>
          <w:rFonts w:ascii="仿宋_GB2312" w:hAnsi="仿宋_GB2312" w:eastAsia="仿宋_GB2312"/>
          <w:b/>
          <w:sz w:val="32"/>
        </w:rPr>
        <w:t>财政拨款支出总计1,394.91万元，</w:t>
      </w:r>
      <w:r>
        <w:rPr>
          <w:rFonts w:ascii="仿宋_GB2312" w:hAnsi="仿宋_GB2312" w:eastAsia="仿宋_GB2312"/>
          <w:b w:val="0"/>
          <w:sz w:val="32"/>
        </w:rPr>
        <w:t>其中：年末财政拨款结转和结余0.00万元，本年财政拨款支出1,394.91万元。</w:t>
      </w:r>
    </w:p>
    <w:p w14:paraId="3D9CDC5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增加288.93万元，增长26.12%，主要原因是：本年度环境卫生业务经费增加；在职人员工资调增，社保、公积金基数调增，人员经费增加。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年初预算数1,433.37万元，决算数1,394.91万元，预决算差异率-2.68%，主要原因是：本年在职人员</w:t>
      </w:r>
      <w:r>
        <w:rPr>
          <w:rFonts w:hint="eastAsia" w:ascii="仿宋_GB2312" w:hAnsi="仿宋_GB2312" w:eastAsia="仿宋_GB2312"/>
          <w:b w:val="0"/>
          <w:sz w:val="32"/>
          <w:lang w:val="en-US" w:eastAsia="zh-CN"/>
        </w:rPr>
        <w:t>转退休</w:t>
      </w:r>
      <w:r>
        <w:rPr>
          <w:rFonts w:ascii="仿宋_GB2312" w:hAnsi="仿宋_GB2312" w:eastAsia="仿宋_GB2312"/>
          <w:b w:val="0"/>
          <w:sz w:val="32"/>
        </w:rPr>
        <w:t>，年中调减人员经费，导致预决算存在差异。</w:t>
      </w:r>
    </w:p>
    <w:p w14:paraId="70328771">
      <w:pPr>
        <w:spacing w:line="640" w:lineRule="exact"/>
        <w:ind w:firstLine="640"/>
        <w:jc w:val="both"/>
        <w:outlineLvl w:val="2"/>
      </w:pPr>
      <w:r>
        <w:rPr>
          <w:rFonts w:ascii="黑体" w:hAnsi="黑体" w:eastAsia="黑体"/>
          <w:sz w:val="32"/>
        </w:rPr>
        <w:t>五、一般公共预算财政拨款支出决算情况说明</w:t>
      </w:r>
    </w:p>
    <w:p w14:paraId="0D810011">
      <w:pPr>
        <w:spacing w:line="640" w:lineRule="exact"/>
        <w:ind w:firstLine="640"/>
        <w:jc w:val="both"/>
        <w:outlineLvl w:val="3"/>
      </w:pPr>
      <w:r>
        <w:rPr>
          <w:rFonts w:ascii="楷体_GB2312" w:hAnsi="楷体_GB2312" w:eastAsia="楷体_GB2312"/>
          <w:b/>
          <w:sz w:val="32"/>
        </w:rPr>
        <w:t>（一）一般公共预算财政拨款支出决算总体情况</w:t>
      </w:r>
    </w:p>
    <w:p w14:paraId="2570EA94">
      <w:pPr>
        <w:spacing w:line="580" w:lineRule="exact"/>
        <w:ind w:firstLine="640"/>
        <w:jc w:val="both"/>
      </w:pPr>
      <w:r>
        <w:rPr>
          <w:rFonts w:ascii="仿宋_GB2312" w:hAnsi="仿宋_GB2312" w:eastAsia="仿宋_GB2312"/>
          <w:b/>
          <w:sz w:val="32"/>
        </w:rPr>
        <w:t>2024年度一般公共预算财政拨款支出1,394.91万元，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增加288.93万元，增长26.12%，主要原因是：本年度环境卫生业务经费增加；在职人员工资调增，社保、公积金基数调增，人员经费增加。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年初预算数1,433.37万元，决算数1,394.91万元，预决算差异率-2.68%，主要原因是：本年在职人员</w:t>
      </w:r>
      <w:r>
        <w:rPr>
          <w:rFonts w:hint="eastAsia" w:ascii="仿宋_GB2312" w:hAnsi="仿宋_GB2312" w:eastAsia="仿宋_GB2312"/>
          <w:b w:val="0"/>
          <w:sz w:val="32"/>
          <w:lang w:val="en-US" w:eastAsia="zh-CN"/>
        </w:rPr>
        <w:t>转退休</w:t>
      </w:r>
      <w:r>
        <w:rPr>
          <w:rFonts w:ascii="仿宋_GB2312" w:hAnsi="仿宋_GB2312" w:eastAsia="仿宋_GB2312"/>
          <w:b w:val="0"/>
          <w:sz w:val="32"/>
        </w:rPr>
        <w:t>，年中调减人员经费，导致预决算存在差异。</w:t>
      </w:r>
    </w:p>
    <w:p w14:paraId="6C672DFE">
      <w:pPr>
        <w:spacing w:line="640" w:lineRule="exact"/>
        <w:ind w:firstLine="640"/>
        <w:jc w:val="both"/>
        <w:outlineLvl w:val="3"/>
      </w:pPr>
      <w:r>
        <w:rPr>
          <w:rFonts w:ascii="楷体_GB2312" w:hAnsi="楷体_GB2312" w:eastAsia="楷体_GB2312"/>
          <w:b/>
          <w:sz w:val="32"/>
        </w:rPr>
        <w:t>（二）一般公共预算财政拨款支出决算结构情况</w:t>
      </w:r>
    </w:p>
    <w:p w14:paraId="70884A6B">
      <w:pPr>
        <w:spacing w:line="580" w:lineRule="exact"/>
        <w:ind w:firstLine="640"/>
        <w:jc w:val="both"/>
      </w:pPr>
      <w:r>
        <w:rPr>
          <w:rFonts w:ascii="仿宋_GB2312" w:hAnsi="仿宋_GB2312" w:eastAsia="仿宋_GB2312"/>
          <w:b w:val="0"/>
          <w:sz w:val="32"/>
        </w:rPr>
        <w:t>1.社会保障和就业支出(类)133.94万元,占9.60%。</w:t>
      </w:r>
    </w:p>
    <w:p w14:paraId="579E9A69">
      <w:pPr>
        <w:spacing w:line="580" w:lineRule="exact"/>
        <w:ind w:firstLine="640"/>
        <w:jc w:val="both"/>
      </w:pPr>
      <w:r>
        <w:rPr>
          <w:rFonts w:ascii="仿宋_GB2312" w:hAnsi="仿宋_GB2312" w:eastAsia="仿宋_GB2312"/>
          <w:b w:val="0"/>
          <w:sz w:val="32"/>
        </w:rPr>
        <w:t>2.卫生健康支出(类)35.57万元,占2.55%。</w:t>
      </w:r>
    </w:p>
    <w:p w14:paraId="4BAEECEA">
      <w:pPr>
        <w:spacing w:line="580" w:lineRule="exact"/>
        <w:ind w:firstLine="640"/>
        <w:jc w:val="both"/>
      </w:pPr>
      <w:r>
        <w:rPr>
          <w:rFonts w:ascii="仿宋_GB2312" w:hAnsi="仿宋_GB2312" w:eastAsia="仿宋_GB2312"/>
          <w:b w:val="0"/>
          <w:sz w:val="32"/>
        </w:rPr>
        <w:t>3.城乡社区支出(类)1,156.99万元,占82.94%。</w:t>
      </w:r>
    </w:p>
    <w:p w14:paraId="56A246E2">
      <w:pPr>
        <w:spacing w:line="580" w:lineRule="exact"/>
        <w:ind w:firstLine="640"/>
        <w:jc w:val="both"/>
      </w:pPr>
      <w:r>
        <w:rPr>
          <w:rFonts w:ascii="仿宋_GB2312" w:hAnsi="仿宋_GB2312" w:eastAsia="仿宋_GB2312"/>
          <w:b w:val="0"/>
          <w:sz w:val="32"/>
        </w:rPr>
        <w:t>4.住房保障支出(类)68.42万元,占4.90%。</w:t>
      </w:r>
    </w:p>
    <w:p w14:paraId="34516F37">
      <w:pPr>
        <w:spacing w:line="640" w:lineRule="exact"/>
        <w:ind w:firstLine="640"/>
        <w:jc w:val="both"/>
        <w:outlineLvl w:val="3"/>
      </w:pPr>
      <w:r>
        <w:rPr>
          <w:rFonts w:ascii="楷体_GB2312" w:hAnsi="楷体_GB2312" w:eastAsia="楷体_GB2312"/>
          <w:b/>
          <w:sz w:val="32"/>
        </w:rPr>
        <w:t>（三）一般公共预算财政拨款支出决算具体情况</w:t>
      </w:r>
    </w:p>
    <w:p w14:paraId="4E2CED2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1.社会保障和就业支出(类)行政事业单位养老支出(款)事业单位离退休(项):支出决算数为31.36万元，比上年决算增加8.79万元，增长38.95%,主要原因是：本年退休人员增加，退休费支出增加。</w:t>
      </w:r>
    </w:p>
    <w:p w14:paraId="4B3E995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83.91万元，比上年决算增加4.82万元，增长6.09%,主要原因是：本年在职人员工资基数调增，养老缴费基数上涨，相应支出增加。</w:t>
      </w:r>
    </w:p>
    <w:p w14:paraId="431D0AF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3.社会保障和就业支出(类)行政事业单位养老支出(款)机关事业单位职业年金缴费支出(项):支出决算数为18.66万元，比上年决算增加13.95万元，增长296.18%,主要原因是：本年新增退休人员</w:t>
      </w:r>
      <w:r>
        <w:rPr>
          <w:rFonts w:hint="eastAsia" w:ascii="仿宋_GB2312" w:hAnsi="仿宋_GB2312" w:eastAsia="仿宋_GB2312"/>
          <w:b w:val="0"/>
          <w:sz w:val="32"/>
          <w:lang w:val="en-US" w:eastAsia="zh-CN"/>
        </w:rPr>
        <w:t>职级较高</w:t>
      </w:r>
      <w:r>
        <w:rPr>
          <w:rFonts w:ascii="仿宋_GB2312" w:hAnsi="仿宋_GB2312" w:eastAsia="仿宋_GB2312"/>
          <w:b w:val="0"/>
          <w:sz w:val="32"/>
        </w:rPr>
        <w:t>，职业年金缴费支出增加。</w:t>
      </w:r>
    </w:p>
    <w:p w14:paraId="75E469E9">
      <w:pPr>
        <w:spacing w:line="580" w:lineRule="exact"/>
        <w:ind w:firstLine="640"/>
        <w:jc w:val="both"/>
      </w:pPr>
      <w:r>
        <w:rPr>
          <w:rFonts w:ascii="仿宋_GB2312" w:hAnsi="仿宋_GB2312" w:eastAsia="仿宋_GB2312"/>
          <w:b w:val="0"/>
          <w:sz w:val="32"/>
        </w:rPr>
        <w:t>4.卫生健康支出(类)行政事业单位医疗(款)事业单位医疗(项):支出决算数为35.57万元，比上年决算增加0.83万元，增长2.39%,主要原因是：本年在职人员工资基数调增，医疗缴费基数上涨，相应支出增加。</w:t>
      </w:r>
    </w:p>
    <w:p w14:paraId="73BDEA07">
      <w:pPr>
        <w:spacing w:line="580" w:lineRule="exact"/>
        <w:ind w:firstLine="640"/>
        <w:jc w:val="both"/>
      </w:pPr>
      <w:r>
        <w:rPr>
          <w:rFonts w:ascii="仿宋_GB2312" w:hAnsi="仿宋_GB2312" w:eastAsia="仿宋_GB2312"/>
          <w:b w:val="0"/>
          <w:sz w:val="32"/>
        </w:rPr>
        <w:t>5.节能环保支出(类)污染防治(款)其他污染防治支出(项):支出决算数为0.00万元，比上年决算减少32.38万元，下降100.00%,主要原因是：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2023年垃圾填埋场续建项目。</w:t>
      </w:r>
    </w:p>
    <w:p w14:paraId="58A9F83B">
      <w:pPr>
        <w:spacing w:line="580" w:lineRule="exact"/>
        <w:ind w:firstLine="640"/>
        <w:jc w:val="both"/>
      </w:pPr>
      <w:r>
        <w:rPr>
          <w:rFonts w:ascii="仿宋_GB2312" w:hAnsi="仿宋_GB2312" w:eastAsia="仿宋_GB2312"/>
          <w:b w:val="0"/>
          <w:sz w:val="32"/>
        </w:rPr>
        <w:t>6.城乡社区支出(类)城乡社区环境卫生(款)城乡社区环境卫生(项):支出决算数为1,156.99万元，比上年决算增加287.12万元，增长33.01%,主要原因是：本年度环境卫生业务经费增加；在职人员工资调增，人员经费增加。</w:t>
      </w:r>
    </w:p>
    <w:p w14:paraId="2B2A9FCF">
      <w:pPr>
        <w:spacing w:line="580" w:lineRule="exact"/>
        <w:ind w:firstLine="640"/>
        <w:jc w:val="both"/>
      </w:pPr>
      <w:r>
        <w:rPr>
          <w:rFonts w:ascii="仿宋_GB2312" w:hAnsi="仿宋_GB2312" w:eastAsia="仿宋_GB2312"/>
          <w:b w:val="0"/>
          <w:sz w:val="32"/>
        </w:rPr>
        <w:t>7.住房保障支出(类)住房改革支出(款)住房公积金(项):支出决算数为68.42万元，比上年决算增加5.79万元，增长9.24%,主要原因是：本年在职人员工资基数调增，公积金缴费基数上涨，相应支出增加。</w:t>
      </w:r>
    </w:p>
    <w:p w14:paraId="2FAB883A">
      <w:pPr>
        <w:spacing w:line="640" w:lineRule="exact"/>
        <w:ind w:firstLine="640"/>
        <w:jc w:val="both"/>
        <w:outlineLvl w:val="2"/>
      </w:pPr>
      <w:r>
        <w:rPr>
          <w:rFonts w:ascii="黑体" w:hAnsi="黑体" w:eastAsia="黑体"/>
          <w:sz w:val="32"/>
        </w:rPr>
        <w:t>六、一般公共预算财政拨款基本支出决算情况说明</w:t>
      </w:r>
    </w:p>
    <w:p w14:paraId="17483C8C">
      <w:pPr>
        <w:spacing w:line="580" w:lineRule="exact"/>
        <w:ind w:firstLine="640"/>
        <w:jc w:val="both"/>
      </w:pPr>
      <w:r>
        <w:rPr>
          <w:rFonts w:ascii="仿宋_GB2312" w:hAnsi="仿宋_GB2312" w:eastAsia="仿宋_GB2312"/>
          <w:b w:val="0"/>
          <w:sz w:val="32"/>
        </w:rPr>
        <w:t>2024年度一般公共预算财政拨款基本支出1,394.91万元，其中：</w:t>
      </w:r>
      <w:r>
        <w:rPr>
          <w:rFonts w:ascii="仿宋_GB2312" w:hAnsi="仿宋_GB2312" w:eastAsia="仿宋_GB2312"/>
          <w:b/>
          <w:sz w:val="32"/>
        </w:rPr>
        <w:t>人员经费850.22万元，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37B0132A">
      <w:pPr>
        <w:spacing w:line="580" w:lineRule="exact"/>
        <w:ind w:firstLine="640"/>
        <w:jc w:val="both"/>
      </w:pPr>
      <w:r>
        <w:rPr>
          <w:rFonts w:ascii="仿宋_GB2312" w:hAnsi="仿宋_GB2312" w:eastAsia="仿宋_GB2312"/>
          <w:b/>
          <w:sz w:val="32"/>
        </w:rPr>
        <w:t>公用经费544.69万元，</w:t>
      </w:r>
      <w:r>
        <w:rPr>
          <w:rFonts w:ascii="仿宋_GB2312" w:hAnsi="仿宋_GB2312" w:eastAsia="仿宋_GB2312"/>
          <w:b w:val="0"/>
          <w:sz w:val="32"/>
        </w:rPr>
        <w:t>包括：办公费、邮电费、取暖费、差旅费、维修（护）费、劳务费、委托业务费、工会经费、其他商品和服务支出、办公设备购置。</w:t>
      </w:r>
    </w:p>
    <w:p w14:paraId="26BB8407">
      <w:pPr>
        <w:spacing w:line="640" w:lineRule="exact"/>
        <w:ind w:firstLine="640"/>
        <w:jc w:val="both"/>
        <w:outlineLvl w:val="2"/>
      </w:pPr>
      <w:r>
        <w:rPr>
          <w:rFonts w:ascii="黑体" w:hAnsi="黑体" w:eastAsia="黑体"/>
          <w:sz w:val="32"/>
        </w:rPr>
        <w:t>七、政府性基金预算财政拨款收入支出决算情况说明</w:t>
      </w:r>
    </w:p>
    <w:p w14:paraId="690ACA2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EE3A63">
      <w:pPr>
        <w:spacing w:line="640" w:lineRule="exact"/>
        <w:ind w:firstLine="640"/>
        <w:jc w:val="both"/>
        <w:outlineLvl w:val="2"/>
      </w:pPr>
      <w:r>
        <w:rPr>
          <w:rFonts w:ascii="黑体" w:hAnsi="黑体" w:eastAsia="黑体"/>
          <w:sz w:val="32"/>
        </w:rPr>
        <w:t>八、国有资本经营预算财政拨款收入支出决算情况说明</w:t>
      </w:r>
    </w:p>
    <w:p w14:paraId="38E400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6FD7D2">
      <w:pPr>
        <w:spacing w:line="640" w:lineRule="exact"/>
        <w:ind w:firstLine="640"/>
        <w:jc w:val="both"/>
        <w:outlineLvl w:val="2"/>
      </w:pPr>
      <w:r>
        <w:rPr>
          <w:rFonts w:ascii="黑体" w:hAnsi="黑体" w:eastAsia="黑体"/>
          <w:sz w:val="32"/>
        </w:rPr>
        <w:t>九、财政拨款“三公”经费支出决算情况说明</w:t>
      </w:r>
    </w:p>
    <w:p w14:paraId="30D4484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22189D0">
      <w:pPr>
        <w:spacing w:line="580" w:lineRule="exact"/>
        <w:ind w:firstLine="640"/>
        <w:jc w:val="both"/>
      </w:pPr>
      <w:r>
        <w:rPr>
          <w:rFonts w:ascii="仿宋_GB2312" w:hAnsi="仿宋_GB2312" w:eastAsia="仿宋_GB2312"/>
          <w:b/>
          <w:sz w:val="32"/>
        </w:rPr>
        <w:t>具体情况如下：</w:t>
      </w:r>
    </w:p>
    <w:p w14:paraId="3C4E527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068C96">
      <w:pPr>
        <w:spacing w:line="580" w:lineRule="exact"/>
        <w:ind w:firstLine="640"/>
        <w:jc w:val="both"/>
        <w:rPr>
          <w:w w:val="96"/>
          <w:sz w:val="32"/>
        </w:rPr>
      </w:pPr>
      <w:r>
        <w:rPr>
          <w:rFonts w:ascii="仿宋_GB2312" w:hAnsi="仿宋_GB2312" w:eastAsia="仿宋_GB2312"/>
          <w:b w:val="0"/>
          <w:w w:val="9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561E4E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2CA7BB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5B5E1C6">
      <w:pPr>
        <w:spacing w:line="640" w:lineRule="exact"/>
        <w:ind w:firstLine="640"/>
        <w:jc w:val="both"/>
        <w:outlineLvl w:val="2"/>
      </w:pPr>
      <w:r>
        <w:rPr>
          <w:rFonts w:ascii="黑体" w:hAnsi="黑体" w:eastAsia="黑体"/>
          <w:sz w:val="32"/>
        </w:rPr>
        <w:t>十、其他重要事项的情况说明</w:t>
      </w:r>
    </w:p>
    <w:p w14:paraId="6F2E5A55">
      <w:pPr>
        <w:spacing w:line="640" w:lineRule="exact"/>
        <w:ind w:firstLine="640"/>
        <w:jc w:val="both"/>
        <w:outlineLvl w:val="3"/>
      </w:pPr>
      <w:r>
        <w:rPr>
          <w:rFonts w:ascii="楷体_GB2312" w:hAnsi="楷体_GB2312" w:eastAsia="楷体_GB2312"/>
          <w:b/>
          <w:sz w:val="32"/>
        </w:rPr>
        <w:t>（一）机关运行经费及公用经费支出情况</w:t>
      </w:r>
    </w:p>
    <w:p w14:paraId="129960B5">
      <w:pPr>
        <w:spacing w:line="580" w:lineRule="exact"/>
        <w:ind w:firstLine="640"/>
        <w:jc w:val="both"/>
      </w:pPr>
      <w:r>
        <w:rPr>
          <w:rFonts w:ascii="仿宋_GB2312" w:hAnsi="仿宋_GB2312" w:eastAsia="仿宋_GB2312"/>
          <w:b w:val="0"/>
          <w:sz w:val="32"/>
        </w:rPr>
        <w:t>2024年度裕民县环卫服务中心（事业单位）公用经费支出544.69万元，比上年增加298.05万元，增长120.84%，主要原因是：本年业务量增加，</w:t>
      </w:r>
      <w:r>
        <w:rPr>
          <w:rFonts w:hint="eastAsia" w:ascii="仿宋_GB2312" w:hAnsi="仿宋_GB2312" w:eastAsia="仿宋_GB2312"/>
          <w:b w:val="0"/>
          <w:sz w:val="32"/>
          <w:lang w:val="en-US" w:eastAsia="zh-CN"/>
        </w:rPr>
        <w:t>委托业务费支出较上年增加，</w:t>
      </w:r>
      <w:r>
        <w:rPr>
          <w:rFonts w:ascii="仿宋_GB2312" w:hAnsi="仿宋_GB2312" w:eastAsia="仿宋_GB2312"/>
          <w:b w:val="0"/>
          <w:sz w:val="32"/>
        </w:rPr>
        <w:t>公用经费增加。</w:t>
      </w:r>
    </w:p>
    <w:p w14:paraId="581394C7">
      <w:pPr>
        <w:spacing w:line="640" w:lineRule="exact"/>
        <w:ind w:firstLine="640"/>
        <w:jc w:val="both"/>
        <w:outlineLvl w:val="3"/>
      </w:pPr>
      <w:r>
        <w:rPr>
          <w:rFonts w:ascii="楷体_GB2312" w:hAnsi="楷体_GB2312" w:eastAsia="楷体_GB2312"/>
          <w:b/>
          <w:sz w:val="32"/>
        </w:rPr>
        <w:t>（二）政府采购情况</w:t>
      </w:r>
    </w:p>
    <w:p w14:paraId="091FFEF8">
      <w:pPr>
        <w:spacing w:line="580" w:lineRule="exact"/>
        <w:ind w:firstLine="640"/>
        <w:jc w:val="both"/>
      </w:pPr>
      <w:r>
        <w:rPr>
          <w:rFonts w:ascii="仿宋_GB2312" w:hAnsi="仿宋_GB2312" w:eastAsia="仿宋_GB2312"/>
          <w:b w:val="0"/>
          <w:sz w:val="32"/>
        </w:rPr>
        <w:t>2024年度政府采购支出总额2.25万元，其中：政府采购货物支出2.14万元、政府采购工程支出0.00万元、政府采购服务支出0.11万元。</w:t>
      </w:r>
    </w:p>
    <w:p w14:paraId="6DC2D7B9">
      <w:pPr>
        <w:spacing w:line="580" w:lineRule="exact"/>
        <w:ind w:firstLine="640"/>
        <w:jc w:val="both"/>
      </w:pPr>
      <w:r>
        <w:rPr>
          <w:rFonts w:ascii="仿宋_GB2312" w:hAnsi="仿宋_GB2312" w:eastAsia="仿宋_GB2312"/>
          <w:b w:val="0"/>
          <w:sz w:val="32"/>
        </w:rPr>
        <w:t>授予中小企业合同金额2.14万元，占政府采购支出总额的95.11%，其中：授予小微企业合同金额2.14万元，占政府采购支出总额的95.11%。</w:t>
      </w:r>
    </w:p>
    <w:p w14:paraId="4922CD93">
      <w:pPr>
        <w:spacing w:line="640" w:lineRule="exact"/>
        <w:ind w:firstLine="640"/>
        <w:jc w:val="both"/>
        <w:outlineLvl w:val="3"/>
      </w:pPr>
      <w:r>
        <w:rPr>
          <w:rFonts w:ascii="楷体_GB2312" w:hAnsi="楷体_GB2312" w:eastAsia="楷体_GB2312"/>
          <w:b/>
          <w:sz w:val="32"/>
        </w:rPr>
        <w:t>（三）国有资产占用情况说明</w:t>
      </w:r>
    </w:p>
    <w:p w14:paraId="776EDFE4">
      <w:pPr>
        <w:spacing w:line="580" w:lineRule="exact"/>
        <w:ind w:firstLine="640"/>
        <w:jc w:val="both"/>
      </w:pPr>
      <w:r>
        <w:rPr>
          <w:rFonts w:ascii="仿宋_GB2312" w:hAnsi="仿宋_GB2312" w:eastAsia="仿宋_GB2312"/>
          <w:b w:val="0"/>
          <w:sz w:val="32"/>
        </w:rPr>
        <w:t>截至2024年12月31日，房屋949.00平方米，价值144.26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w:t>
      </w:r>
    </w:p>
    <w:p w14:paraId="2DB35D4B">
      <w:pPr>
        <w:spacing w:line="640" w:lineRule="exact"/>
        <w:ind w:firstLine="640"/>
        <w:jc w:val="both"/>
        <w:outlineLvl w:val="2"/>
      </w:pPr>
      <w:r>
        <w:rPr>
          <w:rFonts w:ascii="黑体" w:hAnsi="黑体" w:eastAsia="黑体"/>
          <w:sz w:val="32"/>
        </w:rPr>
        <w:t>十一、预算绩效的情况说明</w:t>
      </w:r>
    </w:p>
    <w:p w14:paraId="169D310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1,394.97万元，实际执行总额1,394.96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7B0C05BA">
      <w:r>
        <w:br w:type="page"/>
      </w:r>
    </w:p>
    <w:tbl>
      <w:tblPr>
        <w:tblStyle w:val="9"/>
        <w:tblW w:w="0" w:type="auto"/>
        <w:tblInd w:w="0" w:type="dxa"/>
        <w:tblLayout w:type="autofit"/>
        <w:tblCellMar>
          <w:top w:w="0" w:type="dxa"/>
          <w:left w:w="108" w:type="dxa"/>
          <w:bottom w:w="0" w:type="dxa"/>
          <w:right w:w="108" w:type="dxa"/>
        </w:tblCellMar>
      </w:tblPr>
      <w:tblGrid>
        <w:gridCol w:w="1105"/>
        <w:gridCol w:w="1019"/>
        <w:gridCol w:w="1561"/>
        <w:gridCol w:w="1232"/>
        <w:gridCol w:w="1102"/>
        <w:gridCol w:w="1047"/>
        <w:gridCol w:w="982"/>
        <w:gridCol w:w="792"/>
      </w:tblGrid>
      <w:tr w14:paraId="5A7BCA46">
        <w:tc>
          <w:tcPr>
            <w:tcW w:w="8840" w:type="dxa"/>
            <w:gridSpan w:val="8"/>
            <w:vAlign w:val="center"/>
          </w:tcPr>
          <w:p w14:paraId="3D789C5E">
            <w:pPr>
              <w:jc w:val="center"/>
            </w:pPr>
            <w:r>
              <w:rPr>
                <w:rFonts w:ascii="宋体" w:hAnsi="宋体" w:eastAsia="宋体"/>
                <w:sz w:val="24"/>
              </w:rPr>
              <w:t>单位整体支出绩效自评表</w:t>
            </w:r>
          </w:p>
        </w:tc>
      </w:tr>
      <w:tr w14:paraId="64EE0E36">
        <w:tblPrEx>
          <w:tblCellMar>
            <w:top w:w="0" w:type="dxa"/>
            <w:left w:w="108" w:type="dxa"/>
            <w:bottom w:w="0" w:type="dxa"/>
            <w:right w:w="108" w:type="dxa"/>
          </w:tblCellMar>
        </w:tblPrEx>
        <w:tc>
          <w:tcPr>
            <w:tcW w:w="8840" w:type="dxa"/>
            <w:gridSpan w:val="8"/>
            <w:vAlign w:val="center"/>
          </w:tcPr>
          <w:p w14:paraId="20DB7C20">
            <w:pPr>
              <w:jc w:val="center"/>
            </w:pPr>
            <w:r>
              <w:rPr>
                <w:rFonts w:ascii="宋体" w:hAnsi="宋体" w:eastAsia="宋体"/>
                <w:sz w:val="24"/>
              </w:rPr>
              <w:t>（2024年度）</w:t>
            </w:r>
          </w:p>
        </w:tc>
      </w:tr>
      <w:tr w14:paraId="5E7E5B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B9C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AFF73">
            <w:pPr>
              <w:jc w:val="center"/>
            </w:pPr>
            <w:r>
              <w:rPr>
                <w:rFonts w:ascii="宋体" w:hAnsi="宋体" w:eastAsia="宋体"/>
                <w:sz w:val="16"/>
              </w:rPr>
              <w:t>裕民县环卫服务中心</w:t>
            </w:r>
          </w:p>
        </w:tc>
      </w:tr>
      <w:tr w14:paraId="6443B0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4AEDB">
            <w:pPr>
              <w:jc w:val="center"/>
            </w:pPr>
            <w:r>
              <w:rPr>
                <w:rFonts w:ascii="宋体" w:hAnsi="宋体" w:eastAsia="宋体"/>
                <w:sz w:val="16"/>
              </w:rPr>
              <w:t>部门资金（万元）</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E84CC25">
            <w:pPr>
              <w:jc w:val="center"/>
            </w:pPr>
            <w:r>
              <w:rPr>
                <w:rFonts w:ascii="宋体" w:hAnsi="宋体" w:eastAsia="宋体"/>
                <w:sz w:val="16"/>
              </w:rPr>
              <w:t>资金来源</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66E675FE">
            <w:pPr>
              <w:jc w:val="center"/>
            </w:pPr>
            <w:r>
              <w:rPr>
                <w:rFonts w:ascii="宋体" w:hAnsi="宋体" w:eastAsia="宋体"/>
                <w:sz w:val="16"/>
              </w:rPr>
              <w:t>年初预算数</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0901E33E">
            <w:pPr>
              <w:jc w:val="center"/>
            </w:pPr>
            <w:r>
              <w:rPr>
                <w:rFonts w:ascii="宋体" w:hAnsi="宋体" w:eastAsia="宋体"/>
                <w:sz w:val="16"/>
              </w:rPr>
              <w:t>全年预算数</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72036C93">
            <w:pPr>
              <w:jc w:val="center"/>
            </w:pPr>
            <w:r>
              <w:rPr>
                <w:rFonts w:ascii="宋体" w:hAnsi="宋体" w:eastAsia="宋体"/>
                <w:sz w:val="16"/>
              </w:rPr>
              <w:t>全年执行数</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69883C45">
            <w:pPr>
              <w:jc w:val="center"/>
            </w:pPr>
            <w:r>
              <w:rPr>
                <w:rFonts w:ascii="宋体" w:hAnsi="宋体" w:eastAsia="宋体"/>
                <w:sz w:val="16"/>
              </w:rPr>
              <w:t>分值权重</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5E0DB84E">
            <w:pPr>
              <w:jc w:val="center"/>
            </w:pPr>
            <w:r>
              <w:rPr>
                <w:rFonts w:ascii="宋体" w:hAnsi="宋体" w:eastAsia="宋体"/>
                <w:sz w:val="16"/>
              </w:rPr>
              <w:t>执行率</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7565B09A">
            <w:pPr>
              <w:jc w:val="center"/>
            </w:pPr>
            <w:r>
              <w:rPr>
                <w:rFonts w:ascii="宋体" w:hAnsi="宋体" w:eastAsia="宋体"/>
                <w:sz w:val="16"/>
              </w:rPr>
              <w:t>得分</w:t>
            </w:r>
          </w:p>
        </w:tc>
      </w:tr>
      <w:tr w14:paraId="5404C7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F88B8F"/>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CF812C5">
            <w:pPr>
              <w:jc w:val="center"/>
            </w:pPr>
            <w:r>
              <w:rPr>
                <w:rFonts w:ascii="宋体" w:hAnsi="宋体" w:eastAsia="宋体"/>
                <w:sz w:val="16"/>
              </w:rPr>
              <w:t>年度总资金</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7E75A140">
            <w:pPr>
              <w:jc w:val="center"/>
            </w:pPr>
            <w:r>
              <w:rPr>
                <w:rFonts w:ascii="宋体" w:hAnsi="宋体" w:eastAsia="宋体"/>
                <w:sz w:val="16"/>
              </w:rPr>
              <w:t>1,433.37</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713B20A5">
            <w:pPr>
              <w:jc w:val="center"/>
            </w:pPr>
            <w:r>
              <w:rPr>
                <w:rFonts w:ascii="宋体" w:hAnsi="宋体" w:eastAsia="宋体"/>
                <w:sz w:val="16"/>
              </w:rPr>
              <w:t>1,394.97</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4408F8F8">
            <w:pPr>
              <w:jc w:val="center"/>
            </w:pPr>
            <w:r>
              <w:rPr>
                <w:rFonts w:ascii="宋体" w:hAnsi="宋体" w:eastAsia="宋体"/>
                <w:sz w:val="16"/>
              </w:rPr>
              <w:t>1,394.96</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1E55F811">
            <w:pPr>
              <w:jc w:val="center"/>
            </w:pPr>
            <w:r>
              <w:rPr>
                <w:rFonts w:ascii="宋体" w:hAnsi="宋体" w:eastAsia="宋体"/>
                <w:sz w:val="16"/>
              </w:rPr>
              <w:t>10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72A3BB0A">
            <w:pPr>
              <w:jc w:val="center"/>
            </w:pPr>
            <w:r>
              <w:rPr>
                <w:rFonts w:ascii="宋体" w:hAnsi="宋体" w:eastAsia="宋体"/>
                <w:sz w:val="16"/>
              </w:rPr>
              <w:t>100%</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184B1590">
            <w:pPr>
              <w:jc w:val="center"/>
            </w:pPr>
            <w:r>
              <w:rPr>
                <w:rFonts w:ascii="宋体" w:hAnsi="宋体" w:eastAsia="宋体"/>
                <w:sz w:val="16"/>
              </w:rPr>
              <w:t>10</w:t>
            </w:r>
          </w:p>
        </w:tc>
      </w:tr>
      <w:tr w14:paraId="39AAD3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6E96D8"/>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21DD440">
            <w:pPr>
              <w:jc w:val="center"/>
            </w:pPr>
            <w:r>
              <w:rPr>
                <w:rFonts w:ascii="宋体" w:hAnsi="宋体" w:eastAsia="宋体"/>
                <w:sz w:val="16"/>
              </w:rPr>
              <w:t>其中:上级安排资金：（万元）</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02FF47B2">
            <w:pPr>
              <w:jc w:val="center"/>
            </w:pPr>
            <w:r>
              <w:rPr>
                <w:rFonts w:ascii="宋体" w:hAnsi="宋体" w:eastAsia="宋体"/>
                <w:sz w:val="16"/>
              </w:rPr>
              <w:t>0.00</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47212002">
            <w:pPr>
              <w:jc w:val="center"/>
            </w:pPr>
            <w:r>
              <w:rPr>
                <w:rFonts w:ascii="宋体" w:hAnsi="宋体" w:eastAsia="宋体"/>
                <w:sz w:val="16"/>
              </w:rPr>
              <w:t>0.00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60091C7F">
            <w:pPr>
              <w:jc w:val="center"/>
            </w:pPr>
            <w:r>
              <w:rPr>
                <w:rFonts w:ascii="宋体" w:hAnsi="宋体" w:eastAsia="宋体"/>
                <w:sz w:val="16"/>
              </w:rPr>
              <w:t>0.00</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693F243E">
            <w:pPr>
              <w:jc w:val="center"/>
            </w:pPr>
            <w:r>
              <w:rPr>
                <w:rFonts w:ascii="宋体" w:hAnsi="宋体" w:eastAsia="宋体"/>
                <w:sz w:val="16"/>
              </w:rPr>
              <w:t>-</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43CE26A8">
            <w:pPr>
              <w:jc w:val="center"/>
            </w:pPr>
            <w:r>
              <w:rPr>
                <w:rFonts w:ascii="宋体" w:hAnsi="宋体" w:eastAsia="宋体"/>
                <w:sz w:val="16"/>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1A7C1386">
            <w:pPr>
              <w:jc w:val="center"/>
            </w:pPr>
            <w:r>
              <w:rPr>
                <w:rFonts w:ascii="宋体" w:hAnsi="宋体" w:eastAsia="宋体"/>
                <w:sz w:val="16"/>
              </w:rPr>
              <w:t>-</w:t>
            </w:r>
          </w:p>
        </w:tc>
      </w:tr>
      <w:tr w14:paraId="348366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B3FCCE"/>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E1D4032">
            <w:pPr>
              <w:jc w:val="center"/>
            </w:pPr>
            <w:r>
              <w:rPr>
                <w:rFonts w:ascii="宋体" w:hAnsi="宋体" w:eastAsia="宋体"/>
                <w:sz w:val="16"/>
              </w:rPr>
              <w:t>本级安排资金：（万元）</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6EF9D68A">
            <w:pPr>
              <w:jc w:val="center"/>
            </w:pPr>
            <w:r>
              <w:rPr>
                <w:rFonts w:ascii="宋体" w:hAnsi="宋体" w:eastAsia="宋体"/>
                <w:sz w:val="16"/>
              </w:rPr>
              <w:t>1,433.37</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2A0D2977">
            <w:pPr>
              <w:jc w:val="center"/>
            </w:pPr>
            <w:r>
              <w:rPr>
                <w:rFonts w:ascii="宋体" w:hAnsi="宋体" w:eastAsia="宋体"/>
                <w:sz w:val="16"/>
              </w:rPr>
              <w:t>1,394.97</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3AD2A7E0">
            <w:pPr>
              <w:jc w:val="center"/>
            </w:pPr>
            <w:r>
              <w:rPr>
                <w:rFonts w:ascii="宋体" w:hAnsi="宋体" w:eastAsia="宋体"/>
                <w:sz w:val="16"/>
              </w:rPr>
              <w:t>1,394.96</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4734E9EE">
            <w:pPr>
              <w:jc w:val="center"/>
            </w:pPr>
            <w:r>
              <w:rPr>
                <w:rFonts w:ascii="宋体" w:hAnsi="宋体" w:eastAsia="宋体"/>
                <w:sz w:val="16"/>
              </w:rPr>
              <w:t>-</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2E4E9488">
            <w:pPr>
              <w:jc w:val="center"/>
            </w:pPr>
            <w:r>
              <w:rPr>
                <w:rFonts w:ascii="宋体" w:hAnsi="宋体" w:eastAsia="宋体"/>
                <w:sz w:val="16"/>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3F2C1F3E">
            <w:pPr>
              <w:jc w:val="center"/>
            </w:pPr>
            <w:r>
              <w:rPr>
                <w:rFonts w:ascii="宋体" w:hAnsi="宋体" w:eastAsia="宋体"/>
                <w:sz w:val="16"/>
              </w:rPr>
              <w:t>-</w:t>
            </w:r>
          </w:p>
        </w:tc>
      </w:tr>
      <w:tr w14:paraId="7FE532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FF740C"/>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3B4CC7C">
            <w:pPr>
              <w:jc w:val="center"/>
            </w:pPr>
            <w:r>
              <w:rPr>
                <w:rFonts w:ascii="宋体" w:hAnsi="宋体" w:eastAsia="宋体"/>
                <w:sz w:val="16"/>
              </w:rPr>
              <w:t>其他资金</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27CC9277">
            <w:pPr>
              <w:jc w:val="center"/>
            </w:pPr>
            <w:r>
              <w:rPr>
                <w:rFonts w:ascii="宋体" w:hAnsi="宋体" w:eastAsia="宋体"/>
                <w:sz w:val="16"/>
              </w:rPr>
              <w:t>0.00</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418C4739">
            <w:pPr>
              <w:jc w:val="center"/>
            </w:pPr>
            <w:r>
              <w:rPr>
                <w:rFonts w:ascii="宋体" w:hAnsi="宋体" w:eastAsia="宋体"/>
                <w:sz w:val="16"/>
              </w:rPr>
              <w:t>0.00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3BD0EBAA">
            <w:pPr>
              <w:jc w:val="center"/>
            </w:pPr>
            <w:r>
              <w:rPr>
                <w:rFonts w:ascii="宋体" w:hAnsi="宋体" w:eastAsia="宋体"/>
                <w:sz w:val="16"/>
              </w:rPr>
              <w:t>0.00</w:t>
            </w:r>
          </w:p>
        </w:tc>
        <w:tc>
          <w:tcPr>
            <w:tcW w:w="1047"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C78097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2"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FB03F47">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792"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02F537ED">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0B013A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AC15D">
            <w:pPr>
              <w:jc w:val="center"/>
            </w:pPr>
            <w:r>
              <w:rPr>
                <w:rFonts w:ascii="宋体" w:hAnsi="宋体" w:eastAsia="宋体"/>
                <w:sz w:val="16"/>
              </w:rPr>
              <w:t>年度总体目标</w:t>
            </w:r>
          </w:p>
        </w:tc>
        <w:tc>
          <w:tcPr>
            <w:tcW w:w="38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F3AA07">
            <w:pPr>
              <w:jc w:val="center"/>
            </w:pPr>
            <w:r>
              <w:rPr>
                <w:rFonts w:ascii="宋体" w:hAnsi="宋体" w:eastAsia="宋体"/>
                <w:sz w:val="16"/>
              </w:rPr>
              <w:t>预期目标</w:t>
            </w:r>
          </w:p>
        </w:tc>
        <w:tc>
          <w:tcPr>
            <w:tcW w:w="392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CE2E76">
            <w:pPr>
              <w:jc w:val="center"/>
            </w:pPr>
            <w:r>
              <w:rPr>
                <w:rFonts w:ascii="宋体" w:hAnsi="宋体" w:eastAsia="宋体"/>
                <w:sz w:val="16"/>
              </w:rPr>
              <w:t>实际完成情况</w:t>
            </w:r>
          </w:p>
        </w:tc>
      </w:tr>
      <w:tr w14:paraId="7270A9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9F8DE"/>
        </w:tc>
        <w:tc>
          <w:tcPr>
            <w:tcW w:w="38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688C9C">
            <w:pPr>
              <w:jc w:val="both"/>
            </w:pPr>
            <w:r>
              <w:rPr>
                <w:rFonts w:hint="eastAsia" w:ascii="宋体" w:hAnsi="宋体"/>
                <w:sz w:val="16"/>
                <w:lang w:eastAsia="zh-CN"/>
              </w:rPr>
              <w:t>1.</w:t>
            </w:r>
            <w:r>
              <w:rPr>
                <w:rFonts w:ascii="宋体" w:hAnsi="宋体" w:eastAsia="宋体"/>
                <w:sz w:val="16"/>
              </w:rPr>
              <w:t>保障单位在职及离退休人员的正常办公、生活秩序。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2、保障城区环卫基础设施的正常建设和维护；</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3、保障生活垃圾中转站的正常运转。</w:t>
            </w:r>
          </w:p>
        </w:tc>
        <w:tc>
          <w:tcPr>
            <w:tcW w:w="392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C28590">
            <w:pPr>
              <w:jc w:val="both"/>
            </w:pPr>
            <w:r>
              <w:rPr>
                <w:rFonts w:ascii="宋体" w:hAnsi="宋体" w:eastAsia="宋体"/>
                <w:sz w:val="16"/>
              </w:rPr>
              <w:t>保障了人员工资、社保、公积金正常发放及缴纳、工资补贴发放工作。 狠抓环境卫生综合治理，提高县城区整体卫生质量。按照分片整治，突出重点，强化监督，全面提升的工作思路，在巩固和保持主要街道、</w:t>
            </w:r>
            <w:bookmarkStart w:id="0" w:name="_GoBack"/>
            <w:r>
              <w:rPr>
                <w:rFonts w:ascii="宋体" w:hAnsi="宋体" w:eastAsia="宋体"/>
                <w:sz w:val="16"/>
              </w:rPr>
              <w:t>重点部位</w:t>
            </w:r>
            <w:bookmarkEnd w:id="0"/>
            <w:r>
              <w:rPr>
                <w:rFonts w:ascii="宋体" w:hAnsi="宋体" w:eastAsia="宋体"/>
                <w:sz w:val="16"/>
              </w:rPr>
              <w:t>卫生达标的基础上，着力解决一些“热点、难点”问题，定期全面清除顽固垃圾点及卫生死角，每月组织环卫工人及车辆对城区和</w:t>
            </w:r>
            <w:r>
              <w:rPr>
                <w:rFonts w:hint="eastAsia" w:ascii="宋体" w:hAnsi="宋体"/>
                <w:sz w:val="16"/>
                <w:lang w:eastAsia="zh-CN"/>
              </w:rPr>
              <w:t>城乡接合部</w:t>
            </w:r>
            <w:r>
              <w:rPr>
                <w:rFonts w:ascii="宋体" w:hAnsi="宋体" w:eastAsia="宋体"/>
                <w:sz w:val="16"/>
              </w:rPr>
              <w:t>路段环境卫生进行了集中整治。阶段性排查县城区非正规垃圾堆放，现已对排查出的非正规垃圾堆放点的生活垃圾全部拉运至生活垃圾</w:t>
            </w:r>
            <w:r>
              <w:rPr>
                <w:rFonts w:hint="eastAsia" w:ascii="宋体" w:hAnsi="宋体"/>
                <w:sz w:val="16"/>
                <w:lang w:eastAsia="zh-CN"/>
              </w:rPr>
              <w:t>处理厂</w:t>
            </w:r>
            <w:r>
              <w:rPr>
                <w:rFonts w:ascii="宋体" w:hAnsi="宋体" w:eastAsia="宋体"/>
                <w:sz w:val="16"/>
              </w:rPr>
              <w:t>处理，处理非正规垃圾堆放点的垃圾120吨；县城保洁面积65万平方米，已建立起了“洒水车高压喷洗、大型清扫车为主、小型清扫车为辅、人力清扫为补充”的道路清扫保洁机制。</w:t>
            </w:r>
          </w:p>
        </w:tc>
      </w:tr>
      <w:tr w14:paraId="0A1F10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A8134">
            <w:pPr>
              <w:jc w:val="center"/>
            </w:pPr>
            <w:r>
              <w:rPr>
                <w:rFonts w:ascii="宋体" w:hAnsi="宋体" w:eastAsia="宋体"/>
                <w:sz w:val="16"/>
              </w:rPr>
              <w:t>一级指标</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D44273C">
            <w:pPr>
              <w:jc w:val="center"/>
            </w:pPr>
            <w:r>
              <w:rPr>
                <w:rFonts w:ascii="宋体" w:hAnsi="宋体" w:eastAsia="宋体"/>
                <w:sz w:val="16"/>
              </w:rPr>
              <w:t>二级指标</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54D4377E">
            <w:pPr>
              <w:jc w:val="center"/>
            </w:pPr>
            <w:r>
              <w:rPr>
                <w:rFonts w:ascii="宋体" w:hAnsi="宋体" w:eastAsia="宋体"/>
                <w:sz w:val="16"/>
              </w:rPr>
              <w:t>三级指标</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6DA5F930">
            <w:pPr>
              <w:jc w:val="center"/>
            </w:pPr>
            <w:r>
              <w:rPr>
                <w:rFonts w:ascii="宋体" w:hAnsi="宋体" w:eastAsia="宋体"/>
                <w:sz w:val="16"/>
              </w:rPr>
              <w:t>预期指标值</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0E64A85C">
            <w:pPr>
              <w:jc w:val="center"/>
            </w:pPr>
            <w:r>
              <w:rPr>
                <w:rFonts w:ascii="宋体" w:hAnsi="宋体" w:eastAsia="宋体"/>
                <w:sz w:val="16"/>
              </w:rPr>
              <w:t>指标值设定依据</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68395DF3">
            <w:pPr>
              <w:jc w:val="center"/>
            </w:pPr>
            <w:r>
              <w:rPr>
                <w:rFonts w:ascii="宋体" w:hAnsi="宋体" w:eastAsia="宋体"/>
                <w:sz w:val="16"/>
              </w:rPr>
              <w:t>分值权重</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063A553B">
            <w:pPr>
              <w:jc w:val="center"/>
            </w:pPr>
            <w:r>
              <w:rPr>
                <w:rFonts w:ascii="宋体" w:hAnsi="宋体" w:eastAsia="宋体"/>
                <w:sz w:val="16"/>
              </w:rPr>
              <w:t>实际完成指标值</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6CE6DDC8">
            <w:pPr>
              <w:jc w:val="center"/>
            </w:pPr>
            <w:r>
              <w:rPr>
                <w:rFonts w:ascii="宋体" w:hAnsi="宋体" w:eastAsia="宋体"/>
                <w:sz w:val="16"/>
              </w:rPr>
              <w:t>得分</w:t>
            </w:r>
          </w:p>
        </w:tc>
      </w:tr>
      <w:tr w14:paraId="7C08DE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59E36">
            <w:pPr>
              <w:jc w:val="center"/>
            </w:pPr>
            <w:r>
              <w:rPr>
                <w:rFonts w:ascii="宋体" w:hAnsi="宋体" w:eastAsia="宋体"/>
                <w:sz w:val="16"/>
              </w:rPr>
              <w:t>履职效能</w:t>
            </w:r>
          </w:p>
        </w:tc>
        <w:tc>
          <w:tcPr>
            <w:tcW w:w="10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9B10A">
            <w:pPr>
              <w:jc w:val="center"/>
            </w:pPr>
            <w:r>
              <w:rPr>
                <w:rFonts w:ascii="宋体" w:hAnsi="宋体" w:eastAsia="宋体"/>
                <w:sz w:val="16"/>
              </w:rPr>
              <w:t>质量指标</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41598356">
            <w:pPr>
              <w:jc w:val="center"/>
            </w:pPr>
            <w:r>
              <w:rPr>
                <w:rFonts w:ascii="宋体" w:hAnsi="宋体" w:eastAsia="宋体"/>
                <w:sz w:val="16"/>
              </w:rPr>
              <w:t>城区卫生干净程度保障率</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20CCDCEC">
            <w:pPr>
              <w:jc w:val="center"/>
            </w:pPr>
            <w:r>
              <w:rPr>
                <w:rFonts w:ascii="宋体" w:hAnsi="宋体" w:eastAsia="宋体"/>
                <w:sz w:val="16"/>
              </w:rPr>
              <w:t>=100%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162D1BE1">
            <w:pPr>
              <w:jc w:val="center"/>
            </w:pPr>
            <w:r>
              <w:rPr>
                <w:rFonts w:ascii="宋体" w:hAnsi="宋体" w:eastAsia="宋体"/>
                <w:sz w:val="16"/>
              </w:rPr>
              <w:t>2024年重点工作计划</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70B224C6">
            <w:pPr>
              <w:jc w:val="center"/>
            </w:pPr>
            <w:r>
              <w:rPr>
                <w:rFonts w:ascii="宋体" w:hAnsi="宋体" w:eastAsia="宋体"/>
                <w:sz w:val="16"/>
              </w:rPr>
              <w:t>10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14C98EF9">
            <w:pPr>
              <w:jc w:val="center"/>
            </w:pPr>
            <w:r>
              <w:rPr>
                <w:rFonts w:ascii="宋体" w:hAnsi="宋体" w:eastAsia="宋体"/>
                <w:sz w:val="16"/>
              </w:rPr>
              <w:t>100%</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3FD93A98">
            <w:pPr>
              <w:jc w:val="center"/>
            </w:pPr>
            <w:r>
              <w:rPr>
                <w:rFonts w:ascii="宋体" w:hAnsi="宋体" w:eastAsia="宋体"/>
                <w:sz w:val="16"/>
              </w:rPr>
              <w:t>10</w:t>
            </w:r>
          </w:p>
        </w:tc>
      </w:tr>
      <w:tr w14:paraId="11FE4B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A688D"/>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583FA42B"/>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142A146F">
            <w:pPr>
              <w:jc w:val="center"/>
            </w:pPr>
            <w:r>
              <w:rPr>
                <w:rFonts w:ascii="宋体" w:hAnsi="宋体" w:eastAsia="宋体"/>
                <w:sz w:val="16"/>
              </w:rPr>
              <w:t>城区清扫清洗出勤率</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52D94D0F">
            <w:pPr>
              <w:jc w:val="center"/>
            </w:pPr>
            <w:r>
              <w:rPr>
                <w:rFonts w:ascii="宋体" w:hAnsi="宋体" w:eastAsia="宋体"/>
                <w:sz w:val="16"/>
              </w:rPr>
              <w:t>=100%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21293191">
            <w:pPr>
              <w:jc w:val="center"/>
            </w:pPr>
            <w:r>
              <w:rPr>
                <w:rFonts w:ascii="宋体" w:hAnsi="宋体" w:eastAsia="宋体"/>
                <w:sz w:val="16"/>
              </w:rPr>
              <w:t>2024年重点工作计划</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6E7DF09A">
            <w:pPr>
              <w:jc w:val="center"/>
            </w:pPr>
            <w:r>
              <w:rPr>
                <w:rFonts w:ascii="宋体" w:hAnsi="宋体" w:eastAsia="宋体"/>
                <w:sz w:val="16"/>
              </w:rPr>
              <w:t>10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53738080">
            <w:pPr>
              <w:jc w:val="center"/>
            </w:pPr>
            <w:r>
              <w:rPr>
                <w:rFonts w:ascii="宋体" w:hAnsi="宋体" w:eastAsia="宋体"/>
                <w:sz w:val="16"/>
              </w:rPr>
              <w:t>100%</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7DA5EF81">
            <w:pPr>
              <w:jc w:val="center"/>
            </w:pPr>
            <w:r>
              <w:rPr>
                <w:rFonts w:ascii="宋体" w:hAnsi="宋体" w:eastAsia="宋体"/>
                <w:sz w:val="16"/>
              </w:rPr>
              <w:t>10</w:t>
            </w:r>
          </w:p>
        </w:tc>
      </w:tr>
      <w:tr w14:paraId="2BA384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576B09"/>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572D1062"/>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3D0F4F1F">
            <w:pPr>
              <w:jc w:val="center"/>
            </w:pPr>
            <w:r>
              <w:rPr>
                <w:rFonts w:ascii="宋体" w:hAnsi="宋体" w:eastAsia="宋体"/>
                <w:sz w:val="16"/>
              </w:rPr>
              <w:t>城区垃圾转运达标率</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7AFEF56A">
            <w:pPr>
              <w:jc w:val="center"/>
            </w:pPr>
            <w:r>
              <w:rPr>
                <w:rFonts w:ascii="宋体" w:hAnsi="宋体" w:eastAsia="宋体"/>
                <w:sz w:val="16"/>
              </w:rPr>
              <w:t>=100%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5DDE0524">
            <w:pPr>
              <w:jc w:val="center"/>
            </w:pPr>
            <w:r>
              <w:rPr>
                <w:rFonts w:ascii="宋体" w:hAnsi="宋体" w:eastAsia="宋体"/>
                <w:sz w:val="16"/>
              </w:rPr>
              <w:t>2024年重点工作计划</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2A09DC2F">
            <w:pPr>
              <w:jc w:val="center"/>
            </w:pPr>
            <w:r>
              <w:rPr>
                <w:rFonts w:ascii="宋体" w:hAnsi="宋体" w:eastAsia="宋体"/>
                <w:sz w:val="16"/>
              </w:rPr>
              <w:t>15</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2F5AF39D">
            <w:pPr>
              <w:jc w:val="center"/>
            </w:pPr>
            <w:r>
              <w:rPr>
                <w:rFonts w:ascii="宋体" w:hAnsi="宋体" w:eastAsia="宋体"/>
                <w:sz w:val="16"/>
              </w:rPr>
              <w:t>100%</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1EA822B4">
            <w:pPr>
              <w:jc w:val="center"/>
            </w:pPr>
            <w:r>
              <w:rPr>
                <w:rFonts w:ascii="宋体" w:hAnsi="宋体" w:eastAsia="宋体"/>
                <w:sz w:val="16"/>
              </w:rPr>
              <w:t>15</w:t>
            </w:r>
          </w:p>
        </w:tc>
      </w:tr>
      <w:tr w14:paraId="628081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EAF7A4"/>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10A96C87"/>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1F85497D">
            <w:pPr>
              <w:jc w:val="center"/>
            </w:pPr>
            <w:r>
              <w:rPr>
                <w:rFonts w:ascii="宋体" w:hAnsi="宋体" w:eastAsia="宋体"/>
                <w:sz w:val="16"/>
              </w:rPr>
              <w:t>保质保量完成城区垃圾清运工作</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5977B956">
            <w:pPr>
              <w:jc w:val="center"/>
            </w:pPr>
            <w:r>
              <w:rPr>
                <w:rFonts w:ascii="宋体" w:hAnsi="宋体" w:eastAsia="宋体"/>
                <w:sz w:val="16"/>
              </w:rPr>
              <w:t>=100%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79C6E659">
            <w:pPr>
              <w:jc w:val="center"/>
            </w:pPr>
            <w:r>
              <w:rPr>
                <w:rFonts w:ascii="宋体" w:hAnsi="宋体" w:eastAsia="宋体"/>
                <w:sz w:val="16"/>
              </w:rPr>
              <w:t>2024年重点工作计划</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6DEF7B8D">
            <w:pPr>
              <w:jc w:val="center"/>
            </w:pPr>
            <w:r>
              <w:rPr>
                <w:rFonts w:ascii="宋体" w:hAnsi="宋体" w:eastAsia="宋体"/>
                <w:sz w:val="16"/>
              </w:rPr>
              <w:t>15</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189BD400">
            <w:pPr>
              <w:jc w:val="center"/>
            </w:pPr>
            <w:r>
              <w:rPr>
                <w:rFonts w:ascii="宋体" w:hAnsi="宋体" w:eastAsia="宋体"/>
                <w:sz w:val="16"/>
              </w:rPr>
              <w:t>100%</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5C1EE57B">
            <w:pPr>
              <w:jc w:val="center"/>
            </w:pPr>
            <w:r>
              <w:rPr>
                <w:rFonts w:ascii="宋体" w:hAnsi="宋体" w:eastAsia="宋体"/>
                <w:sz w:val="16"/>
              </w:rPr>
              <w:t>15</w:t>
            </w:r>
          </w:p>
        </w:tc>
      </w:tr>
      <w:tr w14:paraId="24AE05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9BB1C6"/>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86583B7">
            <w:pPr>
              <w:jc w:val="center"/>
            </w:pPr>
            <w:r>
              <w:rPr>
                <w:rFonts w:ascii="宋体" w:hAnsi="宋体" w:eastAsia="宋体"/>
                <w:sz w:val="16"/>
              </w:rPr>
              <w:t>数量指标</w:t>
            </w:r>
          </w:p>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1BC3EDAF">
            <w:pPr>
              <w:jc w:val="center"/>
            </w:pPr>
            <w:r>
              <w:rPr>
                <w:rFonts w:ascii="宋体" w:hAnsi="宋体" w:eastAsia="宋体"/>
                <w:sz w:val="16"/>
              </w:rPr>
              <w:t>年处理生活垃圾量</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1DCBC55E">
            <w:pPr>
              <w:jc w:val="center"/>
            </w:pPr>
            <w:r>
              <w:rPr>
                <w:rFonts w:ascii="宋体" w:hAnsi="宋体" w:eastAsia="宋体"/>
                <w:sz w:val="16"/>
              </w:rPr>
              <w:t>&gt;=2.10万吨</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118B71FF">
            <w:pPr>
              <w:jc w:val="center"/>
            </w:pPr>
            <w:r>
              <w:rPr>
                <w:rFonts w:ascii="宋体" w:hAnsi="宋体" w:eastAsia="宋体"/>
                <w:sz w:val="16"/>
              </w:rPr>
              <w:t>2024年重点工作计划</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100ED010">
            <w:pPr>
              <w:jc w:val="center"/>
            </w:pPr>
            <w:r>
              <w:rPr>
                <w:rFonts w:ascii="宋体" w:hAnsi="宋体" w:eastAsia="宋体"/>
                <w:sz w:val="16"/>
              </w:rPr>
              <w:t>20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73F51243">
            <w:pPr>
              <w:jc w:val="center"/>
            </w:pPr>
            <w:r>
              <w:rPr>
                <w:rFonts w:ascii="宋体" w:hAnsi="宋体" w:eastAsia="宋体"/>
                <w:sz w:val="16"/>
              </w:rPr>
              <w:t>2.1万吨</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3FB615EC">
            <w:pPr>
              <w:jc w:val="center"/>
            </w:pPr>
            <w:r>
              <w:rPr>
                <w:rFonts w:ascii="宋体" w:hAnsi="宋体" w:eastAsia="宋体"/>
                <w:sz w:val="16"/>
              </w:rPr>
              <w:t>20</w:t>
            </w:r>
          </w:p>
        </w:tc>
      </w:tr>
      <w:tr w14:paraId="4E4136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tcPr>
          <w:p w14:paraId="62258BDF"/>
        </w:tc>
        <w:tc>
          <w:tcPr>
            <w:tcW w:w="1019" w:type="dxa"/>
            <w:tcBorders>
              <w:top w:val="single" w:color="auto" w:sz="10" w:space="0"/>
              <w:left w:val="single" w:color="auto" w:sz="10" w:space="0"/>
              <w:bottom w:val="single" w:color="auto" w:sz="10" w:space="0"/>
              <w:right w:val="single" w:color="auto" w:sz="10" w:space="0"/>
              <w:insideV w:val="single" w:sz="10" w:space="0"/>
            </w:tcBorders>
          </w:tcPr>
          <w:p w14:paraId="5AA0ABEE"/>
        </w:tc>
        <w:tc>
          <w:tcPr>
            <w:tcW w:w="1561" w:type="dxa"/>
            <w:tcBorders>
              <w:top w:val="single" w:color="auto" w:sz="10" w:space="0"/>
              <w:left w:val="single" w:color="auto" w:sz="10" w:space="0"/>
              <w:bottom w:val="single" w:color="auto" w:sz="10" w:space="0"/>
              <w:right w:val="single" w:color="auto" w:sz="10" w:space="0"/>
              <w:insideV w:val="single" w:sz="10" w:space="0"/>
            </w:tcBorders>
            <w:vAlign w:val="center"/>
          </w:tcPr>
          <w:p w14:paraId="51C00D12">
            <w:pPr>
              <w:jc w:val="center"/>
            </w:pPr>
            <w:r>
              <w:rPr>
                <w:rFonts w:ascii="宋体" w:hAnsi="宋体" w:eastAsia="宋体"/>
                <w:sz w:val="16"/>
              </w:rPr>
              <w:t>城区保洁面积（平方米）</w:t>
            </w:r>
          </w:p>
        </w:tc>
        <w:tc>
          <w:tcPr>
            <w:tcW w:w="1232" w:type="dxa"/>
            <w:tcBorders>
              <w:top w:val="single" w:color="auto" w:sz="10" w:space="0"/>
              <w:left w:val="single" w:color="auto" w:sz="10" w:space="0"/>
              <w:bottom w:val="single" w:color="auto" w:sz="10" w:space="0"/>
              <w:right w:val="single" w:color="auto" w:sz="10" w:space="0"/>
              <w:insideV w:val="single" w:sz="10" w:space="0"/>
            </w:tcBorders>
            <w:vAlign w:val="center"/>
          </w:tcPr>
          <w:p w14:paraId="7FD204AA">
            <w:pPr>
              <w:jc w:val="center"/>
            </w:pPr>
            <w:r>
              <w:rPr>
                <w:rFonts w:ascii="宋体" w:hAnsi="宋体" w:eastAsia="宋体"/>
                <w:sz w:val="16"/>
              </w:rPr>
              <w:t>&gt;=65万平方米</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3E3433C6">
            <w:pPr>
              <w:jc w:val="center"/>
            </w:pPr>
            <w:r>
              <w:rPr>
                <w:rFonts w:ascii="宋体" w:hAnsi="宋体" w:eastAsia="宋体"/>
                <w:sz w:val="16"/>
              </w:rPr>
              <w:t>2024年重点工作计划</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533C179A">
            <w:pPr>
              <w:jc w:val="center"/>
            </w:pPr>
            <w:r>
              <w:rPr>
                <w:rFonts w:ascii="宋体" w:hAnsi="宋体" w:eastAsia="宋体"/>
                <w:sz w:val="16"/>
              </w:rPr>
              <w:t>20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33EA6B3F">
            <w:pPr>
              <w:jc w:val="center"/>
            </w:pPr>
            <w:r>
              <w:rPr>
                <w:rFonts w:ascii="宋体" w:hAnsi="宋体" w:eastAsia="宋体"/>
                <w:sz w:val="16"/>
              </w:rPr>
              <w:t>65万平方米</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298F2FF0">
            <w:pPr>
              <w:jc w:val="center"/>
            </w:pPr>
            <w:r>
              <w:rPr>
                <w:rFonts w:ascii="宋体" w:hAnsi="宋体" w:eastAsia="宋体"/>
                <w:sz w:val="16"/>
              </w:rPr>
              <w:t>20</w:t>
            </w:r>
          </w:p>
        </w:tc>
      </w:tr>
    </w:tbl>
    <w:p w14:paraId="61BC4FB0">
      <w:r>
        <w:br w:type="page"/>
      </w:r>
    </w:p>
    <w:p w14:paraId="2CAB1CD4">
      <w:pPr>
        <w:spacing w:line="640" w:lineRule="exact"/>
        <w:ind w:firstLine="640"/>
        <w:jc w:val="both"/>
        <w:outlineLvl w:val="2"/>
      </w:pPr>
      <w:r>
        <w:rPr>
          <w:rFonts w:ascii="黑体" w:hAnsi="黑体" w:eastAsia="黑体"/>
          <w:sz w:val="32"/>
        </w:rPr>
        <w:t>十二、其他需说明的事项</w:t>
      </w:r>
    </w:p>
    <w:p w14:paraId="61E4324A">
      <w:pPr>
        <w:spacing w:line="580" w:lineRule="exact"/>
        <w:ind w:firstLine="640"/>
        <w:jc w:val="both"/>
      </w:pPr>
      <w:r>
        <w:rPr>
          <w:rFonts w:ascii="仿宋_GB2312" w:hAnsi="仿宋_GB2312" w:eastAsia="仿宋_GB2312"/>
          <w:b w:val="0"/>
          <w:sz w:val="32"/>
        </w:rPr>
        <w:t>本单位无其他需说明的事项。</w:t>
      </w:r>
    </w:p>
    <w:p w14:paraId="29AD720F">
      <w:r>
        <w:br w:type="page"/>
      </w:r>
    </w:p>
    <w:p w14:paraId="5901C419">
      <w:pPr>
        <w:spacing w:line="240" w:lineRule="auto"/>
        <w:jc w:val="center"/>
        <w:outlineLvl w:val="1"/>
      </w:pPr>
      <w:r>
        <w:rPr>
          <w:rFonts w:ascii="黑体" w:hAnsi="黑体" w:eastAsia="黑体"/>
          <w:sz w:val="32"/>
        </w:rPr>
        <w:t>第三部分 专业名词解释</w:t>
      </w:r>
    </w:p>
    <w:p w14:paraId="2DFFA13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07BB3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58E9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5D34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8CF0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1458D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1C3B8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E50DF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61C86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A6A3E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620A0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8040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9B896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F659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B9964A">
      <w:r>
        <w:br w:type="page"/>
      </w:r>
    </w:p>
    <w:p w14:paraId="26593CD3">
      <w:pPr>
        <w:spacing w:line="240" w:lineRule="auto"/>
        <w:jc w:val="center"/>
        <w:outlineLvl w:val="1"/>
      </w:pPr>
      <w:r>
        <w:rPr>
          <w:rFonts w:ascii="黑体" w:hAnsi="黑体" w:eastAsia="黑体"/>
          <w:sz w:val="32"/>
        </w:rPr>
        <w:t>第四部分 部门决算报表（见附表）</w:t>
      </w:r>
    </w:p>
    <w:p w14:paraId="6158A71B">
      <w:pPr>
        <w:spacing w:line="240" w:lineRule="auto"/>
        <w:ind w:firstLine="640"/>
        <w:jc w:val="both"/>
      </w:pPr>
      <w:r>
        <w:rPr>
          <w:rFonts w:ascii="仿宋_GB2312" w:hAnsi="仿宋_GB2312" w:eastAsia="仿宋_GB2312"/>
          <w:b w:val="0"/>
          <w:sz w:val="32"/>
        </w:rPr>
        <w:t>一、《收入支出决算总表》</w:t>
      </w:r>
    </w:p>
    <w:p w14:paraId="5D3E1842">
      <w:pPr>
        <w:spacing w:line="240" w:lineRule="auto"/>
        <w:ind w:firstLine="640"/>
        <w:jc w:val="both"/>
      </w:pPr>
      <w:r>
        <w:rPr>
          <w:rFonts w:ascii="仿宋_GB2312" w:hAnsi="仿宋_GB2312" w:eastAsia="仿宋_GB2312"/>
          <w:b w:val="0"/>
          <w:sz w:val="32"/>
        </w:rPr>
        <w:t>二、《收入决算表》</w:t>
      </w:r>
    </w:p>
    <w:p w14:paraId="73D387F9">
      <w:pPr>
        <w:spacing w:line="240" w:lineRule="auto"/>
        <w:ind w:firstLine="640"/>
        <w:jc w:val="both"/>
      </w:pPr>
      <w:r>
        <w:rPr>
          <w:rFonts w:ascii="仿宋_GB2312" w:hAnsi="仿宋_GB2312" w:eastAsia="仿宋_GB2312"/>
          <w:b w:val="0"/>
          <w:sz w:val="32"/>
        </w:rPr>
        <w:t>三、《支出决算表》</w:t>
      </w:r>
    </w:p>
    <w:p w14:paraId="740364FA">
      <w:pPr>
        <w:spacing w:line="240" w:lineRule="auto"/>
        <w:ind w:firstLine="640"/>
        <w:jc w:val="both"/>
      </w:pPr>
      <w:r>
        <w:rPr>
          <w:rFonts w:ascii="仿宋_GB2312" w:hAnsi="仿宋_GB2312" w:eastAsia="仿宋_GB2312"/>
          <w:b w:val="0"/>
          <w:sz w:val="32"/>
        </w:rPr>
        <w:t>四、《财政拨款收入支出决算总表》</w:t>
      </w:r>
    </w:p>
    <w:p w14:paraId="26CB137B">
      <w:pPr>
        <w:spacing w:line="240" w:lineRule="auto"/>
        <w:ind w:firstLine="640"/>
        <w:jc w:val="both"/>
      </w:pPr>
      <w:r>
        <w:rPr>
          <w:rFonts w:ascii="仿宋_GB2312" w:hAnsi="仿宋_GB2312" w:eastAsia="仿宋_GB2312"/>
          <w:b w:val="0"/>
          <w:sz w:val="32"/>
        </w:rPr>
        <w:t>五、《一般公共预算财政拨款支出决算表》</w:t>
      </w:r>
    </w:p>
    <w:p w14:paraId="1826CC38">
      <w:pPr>
        <w:spacing w:line="240" w:lineRule="auto"/>
        <w:ind w:firstLine="640"/>
        <w:jc w:val="both"/>
      </w:pPr>
      <w:r>
        <w:rPr>
          <w:rFonts w:ascii="仿宋_GB2312" w:hAnsi="仿宋_GB2312" w:eastAsia="仿宋_GB2312"/>
          <w:b w:val="0"/>
          <w:sz w:val="32"/>
        </w:rPr>
        <w:t>六、《一般公共预算财政拨款基本支出决算表》</w:t>
      </w:r>
    </w:p>
    <w:p w14:paraId="732B7C7A">
      <w:pPr>
        <w:spacing w:line="240" w:lineRule="auto"/>
        <w:ind w:firstLine="640"/>
        <w:jc w:val="both"/>
      </w:pPr>
      <w:r>
        <w:rPr>
          <w:rFonts w:ascii="仿宋_GB2312" w:hAnsi="仿宋_GB2312" w:eastAsia="仿宋_GB2312"/>
          <w:b w:val="0"/>
          <w:sz w:val="32"/>
        </w:rPr>
        <w:t>七、《政府性基金预算财政拨款收入支出决算表》</w:t>
      </w:r>
    </w:p>
    <w:p w14:paraId="2510F1CB">
      <w:pPr>
        <w:spacing w:line="240" w:lineRule="auto"/>
        <w:ind w:firstLine="640"/>
        <w:jc w:val="both"/>
      </w:pPr>
      <w:r>
        <w:rPr>
          <w:rFonts w:ascii="仿宋_GB2312" w:hAnsi="仿宋_GB2312" w:eastAsia="仿宋_GB2312"/>
          <w:b w:val="0"/>
          <w:sz w:val="32"/>
        </w:rPr>
        <w:t>八、《国有资本经营预算财政拨款收入支出决算表》</w:t>
      </w:r>
    </w:p>
    <w:p w14:paraId="2BAE92F2">
      <w:pPr>
        <w:spacing w:line="240" w:lineRule="auto"/>
        <w:ind w:firstLine="640"/>
        <w:jc w:val="both"/>
      </w:pPr>
      <w:r>
        <w:rPr>
          <w:rFonts w:ascii="仿宋_GB2312" w:hAnsi="仿宋_GB2312" w:eastAsia="仿宋_GB2312"/>
          <w:b w:val="0"/>
          <w:sz w:val="32"/>
        </w:rPr>
        <w:t>九、《财政拨款“三公”经费支出决算表》</w:t>
      </w:r>
    </w:p>
    <w:p w14:paraId="4F0DC162">
      <w:pPr>
        <w:spacing w:line="240" w:lineRule="auto"/>
        <w:ind w:firstLine="640"/>
        <w:jc w:val="both"/>
      </w:pPr>
    </w:p>
    <w:p w14:paraId="51937C1B">
      <w:pPr>
        <w:spacing w:line="240" w:lineRule="auto"/>
        <w:ind w:firstLine="640"/>
        <w:jc w:val="both"/>
      </w:pPr>
    </w:p>
    <w:p w14:paraId="03094A8E">
      <w:pPr>
        <w:spacing w:line="240" w:lineRule="auto"/>
        <w:ind w:firstLine="640"/>
        <w:jc w:val="both"/>
      </w:pPr>
    </w:p>
    <w:p w14:paraId="310369AF">
      <w:pPr>
        <w:spacing w:line="240" w:lineRule="auto"/>
        <w:ind w:firstLine="640"/>
        <w:jc w:val="both"/>
      </w:pPr>
    </w:p>
    <w:p w14:paraId="1F1133A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5D32F7-4375-4385-B965-8C4DBC28CD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67E25FB-5269-49CD-AEA6-70EC082C4023}"/>
  </w:font>
  <w:font w:name="仿宋_GB2312">
    <w:panose1 w:val="02010609030101010101"/>
    <w:charset w:val="86"/>
    <w:family w:val="modern"/>
    <w:pitch w:val="default"/>
    <w:sig w:usb0="00000001" w:usb1="080E0000" w:usb2="00000000" w:usb3="00000000" w:csb0="00040000" w:csb1="00000000"/>
    <w:embedRegular r:id="rId3" w:fontKey="{0D2DF3E1-2067-4089-93F6-7703DEF72BA4}"/>
  </w:font>
  <w:font w:name="楷体_GB2312">
    <w:panose1 w:val="02010609030101010101"/>
    <w:charset w:val="86"/>
    <w:family w:val="auto"/>
    <w:pitch w:val="default"/>
    <w:sig w:usb0="00000001" w:usb1="080E0000" w:usb2="00000000" w:usb3="00000000" w:csb0="00040000" w:csb1="00000000"/>
    <w:embedRegular r:id="rId4" w:fontKey="{D1C23835-79EA-433A-A49E-1BCBEE7B3D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D0FA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6C732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06C732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483FB1"/>
    <w:rsid w:val="1B8F2D19"/>
    <w:rsid w:val="1C317E4F"/>
    <w:rsid w:val="1C472464"/>
    <w:rsid w:val="1DAF458D"/>
    <w:rsid w:val="1E086ACE"/>
    <w:rsid w:val="1E4B5CA5"/>
    <w:rsid w:val="1EAA4A5F"/>
    <w:rsid w:val="1F587A0B"/>
    <w:rsid w:val="200F656D"/>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5B28E8"/>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8240b45e-b378-4d9d-a544-5b616d9ecb64</errorID>
      <errorWord>,</errorWord>
      <group>L1_Format</group>
      <groupName>格式问题</groupName>
      <ability>L2_HalfPunc</ability>
      <abilityName>全半角检查</abilityName>
      <candidateList>
        <item>，</item>
      </candidateList>
      <explain>文本全半角错误。</explain>
      <paraID>4956D893</paraID>
      <start>59</start>
      <end>60</end>
      <status>unmodified</status>
      <modifiedWord/>
      <trackRevisions>false</trackRevisions>
    </reviewItem>
    <reviewItem>
      <errorID>bf123c29-116d-4715-856d-a66e5c896741</errorID>
      <errorWord>,</errorWord>
      <group>L1_Format</group>
      <groupName>格式问题</groupName>
      <ability>L2_HalfPunc</ability>
      <abilityName>全半角检查</abilityName>
      <candidateList>
        <item>，</item>
      </candidateList>
      <explain>文本全半角错误。</explain>
      <paraID>2570EA94</paraID>
      <start>125</start>
      <end>126</end>
      <status>unmodified</status>
      <modifiedWord/>
      <trackRevisions>false</trackRevisions>
    </reviewItem>
    <reviewItem>
      <errorID>e4f1195c-a5ba-47a2-a9fd-29e77294a348</errorID>
      <errorWord>,</errorWord>
      <group>L1_Format</group>
      <groupName>格式问题</groupName>
      <ability>L2_HalfPunc</ability>
      <abilityName>全半角检查</abilityName>
      <candidateList>
        <item>，</item>
      </candidateList>
      <explain>文本全半角错误。</explain>
      <paraID>70884A6B</paraID>
      <start>22</start>
      <end>23</end>
      <status>unmodified</status>
      <modifiedWord/>
      <trackRevisions>false</trackRevisions>
    </reviewItem>
    <reviewItem>
      <errorID>51892ff7-2fda-4356-bffe-3f80102fb1b3</errorID>
      <errorWord>,</errorWord>
      <group>L1_Format</group>
      <groupName>格式问题</groupName>
      <ability>L2_HalfPunc</ability>
      <abilityName>全半角检查</abilityName>
      <candidateList>
        <item>，</item>
      </candidateList>
      <explain>文本全半角错误。</explain>
      <paraID>579E9A69</paraID>
      <start>18</start>
      <end>19</end>
      <status>unmodified</status>
      <modifiedWord/>
      <trackRevisions>false</trackRevisions>
    </reviewItem>
    <reviewItem>
      <errorID>573de8f6-994a-414f-9a8e-b35c8d4f33aa</errorID>
      <errorWord>,</errorWord>
      <group>L1_Format</group>
      <groupName>格式问题</groupName>
      <ability>L2_HalfPunc</ability>
      <abilityName>全半角检查</abilityName>
      <candidateList>
        <item>，</item>
      </candidateList>
      <explain>文本全半角错误。</explain>
      <paraID>4BAEECEA</paraID>
      <start>21</start>
      <end>22</end>
      <status>unmodified</status>
      <modifiedWord/>
      <trackRevisions>false</trackRevisions>
    </reviewItem>
    <reviewItem>
      <errorID>d0b7614a-5ad6-41ca-a384-eb717b003929</errorID>
      <errorWord>,</errorWord>
      <group>L1_Format</group>
      <groupName>格式问题</groupName>
      <ability>L2_HalfPunc</ability>
      <abilityName>全半角检查</abilityName>
      <candidateList>
        <item>，</item>
      </candidateList>
      <explain>文本全半角错误。</explain>
      <paraID>56A246E2</paraID>
      <start>18</start>
      <end>19</end>
      <status>unmodified</status>
      <modifiedWord/>
      <trackRevisions>false</trackRevisions>
    </reviewItem>
    <reviewItem>
      <errorID>bee7293f-3e5a-4e06-8687-ac44961ae45e</errorID>
      <errorWord>:</errorWord>
      <group>L1_Format</group>
      <groupName>格式问题</groupName>
      <ability>L2_HalfPunc</ability>
      <abilityName>全半角检查</abilityName>
      <candidateList>
        <item>：</item>
      </candidateList>
      <explain>文本全半角错误。</explain>
      <paraID>4E2CED22</paraID>
      <start>37</start>
      <end>38</end>
      <status>unmodified</status>
      <modifiedWord/>
      <trackRevisions>false</trackRevisions>
    </reviewItem>
    <reviewItem>
      <errorID>8d4d36a7-d9b0-4c7f-8454-2bda3f8afcba</errorID>
      <errorWord>,</errorWord>
      <group>L1_Format</group>
      <groupName>格式问题</groupName>
      <ability>L2_HalfPunc</ability>
      <abilityName>全半角检查</abilityName>
      <candidateList>
        <item>，</item>
      </candidateList>
      <explain>文本全半角错误。</explain>
      <paraID>4E2CED22</paraID>
      <start>74</start>
      <end>75</end>
      <status>unmodified</status>
      <modifiedWord/>
      <trackRevisions>false</trackRevisions>
    </reviewItem>
    <reviewItem>
      <errorID>4264ec66-7c28-425d-b9ee-d2b634c66526</errorID>
      <errorWord>:</errorWord>
      <group>L1_Format</group>
      <groupName>格式问题</groupName>
      <ability>L2_HalfPunc</ability>
      <abilityName>全半角检查</abilityName>
      <candidateList>
        <item>：</item>
      </candidateList>
      <explain>文本全半角错误。</explain>
      <paraID>4B3E9950</paraID>
      <start>46</start>
      <end>47</end>
      <status>unmodified</status>
      <modifiedWord/>
      <trackRevisions>false</trackRevisions>
    </reviewItem>
    <reviewItem>
      <errorID>e3a994d8-cb6d-4171-9ff2-fd5db0dc3b28</errorID>
      <errorWord>,</errorWord>
      <group>L1_Format</group>
      <groupName>格式问题</groupName>
      <ability>L2_HalfPunc</ability>
      <abilityName>全半角检查</abilityName>
      <candidateList>
        <item>，</item>
      </candidateList>
      <explain>文本全半角错误。</explain>
      <paraID>4B3E9950</paraID>
      <start>82</start>
      <end>83</end>
      <status>unmodified</status>
      <modifiedWord/>
      <trackRevisions>false</trackRevisions>
    </reviewItem>
    <reviewItem>
      <errorID>4ba44c78-0822-4dd7-973e-a6921ea1e3fa</errorID>
      <errorWord>:</errorWord>
      <group>L1_Format</group>
      <groupName>格式问题</groupName>
      <ability>L2_HalfPunc</ability>
      <abilityName>全半角检查</abilityName>
      <candidateList>
        <item>：</item>
      </candidateList>
      <explain>文本全半角错误。</explain>
      <paraID>431D0AF9</paraID>
      <start>44</start>
      <end>45</end>
      <status>unmodified</status>
      <modifiedWord/>
      <trackRevisions>false</trackRevisions>
    </reviewItem>
    <reviewItem>
      <errorID>f8771964-99a8-4e65-83e7-9ab66456bfdb</errorID>
      <errorWord>,</errorWord>
      <group>L1_Format</group>
      <groupName>格式问题</groupName>
      <ability>L2_HalfPunc</ability>
      <abilityName>全半角检查</abilityName>
      <candidateList>
        <item>，</item>
      </candidateList>
      <explain>文本全半角错误。</explain>
      <paraID>431D0AF9</paraID>
      <start>83</start>
      <end>84</end>
      <status>unmodified</status>
      <modifiedWord/>
      <trackRevisions>false</trackRevisions>
    </reviewItem>
    <reviewItem>
      <errorID>cbd3c105-d093-4f00-bb28-0e56fe6d8cad</errorID>
      <errorWord>:</errorWord>
      <group>L1_Format</group>
      <groupName>格式问题</groupName>
      <ability>L2_HalfPunc</ability>
      <abilityName>全半角检查</abilityName>
      <candidateList>
        <item>：</item>
      </candidateList>
      <explain>文本全半角错误。</explain>
      <paraID>75E469E9</paraID>
      <start>31</start>
      <end>32</end>
      <status>unmodified</status>
      <modifiedWord/>
      <trackRevisions>false</trackRevisions>
    </reviewItem>
    <reviewItem>
      <errorID>108ac71a-ca12-4c28-a208-e9b82595e9e1</errorID>
      <errorWord>,</errorWord>
      <group>L1_Format</group>
      <groupName>格式问题</groupName>
      <ability>L2_HalfPunc</ability>
      <abilityName>全半角检查</abilityName>
      <candidateList>
        <item>，</item>
      </candidateList>
      <explain>文本全半角错误。</explain>
      <paraID>75E469E9</paraID>
      <start>67</start>
      <end>68</end>
      <status>unmodified</status>
      <modifiedWord/>
      <trackRevisions>false</trackRevisions>
    </reviewItem>
    <reviewItem>
      <errorID>5ebc4991-2cc7-450f-b89a-6432a6a70cda</errorID>
      <errorWord>:</errorWord>
      <group>L1_Format</group>
      <groupName>格式问题</groupName>
      <ability>L2_HalfPunc</ability>
      <abilityName>全半角检查</abilityName>
      <candidateList>
        <item>：</item>
      </candidateList>
      <explain>文本全半角错误。</explain>
      <paraID>73BDEA07</paraID>
      <start>29</start>
      <end>30</end>
      <status>unmodified</status>
      <modifiedWord/>
      <trackRevisions>false</trackRevisions>
    </reviewItem>
    <reviewItem>
      <errorID>bb2d1e78-695f-4888-b906-15be638a185a</errorID>
      <errorWord>,</errorWord>
      <group>L1_Format</group>
      <groupName>格式问题</groupName>
      <ability>L2_HalfPunc</ability>
      <abilityName>全半角检查</abilityName>
      <candidateList>
        <item>，</item>
      </candidateList>
      <explain>文本全半角错误。</explain>
      <paraID>73BDEA07</paraID>
      <start>67</start>
      <end>68</end>
      <status>unmodified</status>
      <modifiedWord/>
      <trackRevisions>false</trackRevisions>
    </reviewItem>
    <reviewItem>
      <errorID>de4dfef3-21ad-4506-960f-5f5501c9f5b3</errorID>
      <errorWord>:</errorWord>
      <group>L1_Format</group>
      <groupName>格式问题</groupName>
      <ability>L2_HalfPunc</ability>
      <abilityName>全半角检查</abilityName>
      <candidateList>
        <item>：</item>
      </candidateList>
      <explain>文本全半角错误。</explain>
      <paraID>58A9F83B</paraID>
      <start>33</start>
      <end>34</end>
      <status>unmodified</status>
      <modifiedWord/>
      <trackRevisions>false</trackRevisions>
    </reviewItem>
    <reviewItem>
      <errorID>b01ef2ab-7ea9-4241-86fa-de292411a192</errorID>
      <errorWord>,</errorWord>
      <group>L1_Format</group>
      <groupName>格式问题</groupName>
      <ability>L2_HalfPunc</ability>
      <abilityName>全半角检查</abilityName>
      <candidateList>
        <item>，</item>
      </candidateList>
      <explain>文本全半角错误。</explain>
      <paraID>58A9F83B</paraID>
      <start>75</start>
      <end>76</end>
      <status>unmodified</status>
      <modifiedWord/>
      <trackRevisions>false</trackRevisions>
    </reviewItem>
    <reviewItem>
      <errorID>04c95b90-b86f-4cdf-b646-5db82c8b777f</errorID>
      <errorWord>:</errorWord>
      <group>L1_Format</group>
      <groupName>格式问题</groupName>
      <ability>L2_HalfPunc</ability>
      <abilityName>全半角检查</abilityName>
      <candidateList>
        <item>：</item>
      </candidateList>
      <explain>文本全半角错误。</explain>
      <paraID>2B2A9FCF</paraID>
      <start>28</start>
      <end>29</end>
      <status>unmodified</status>
      <modifiedWord/>
      <trackRevisions>false</trackRevisions>
    </reviewItem>
    <reviewItem>
      <errorID>9f99d399-c0b7-4835-b8fc-e545490d73bf</errorID>
      <errorWord>,</errorWord>
      <group>L1_Format</group>
      <groupName>格式问题</groupName>
      <ability>L2_HalfPunc</ability>
      <abilityName>全半角检查</abilityName>
      <candidateList>
        <item>，</item>
      </candidateList>
      <explain>文本全半角错误。</explain>
      <paraID>2B2A9FCF</paraID>
      <start>64</start>
      <end>65</end>
      <status>unmodified</status>
      <modifiedWord/>
      <trackRevisions>false</trackRevisions>
    </reviewItem>
    <reviewItem>
      <errorID>aa566c44-d20c-4f16-95b2-6cfe8debefce</errorID>
      <errorWord>:</errorWord>
      <group>L1_Format</group>
      <groupName>格式问题</groupName>
      <ability>L2_HalfPunc</ability>
      <abilityName>全半角检查</abilityName>
      <candidateList>
        <item>：</item>
      </candidateList>
      <explain>文本全半角错误。</explain>
      <paraID>421DD440</paraID>
      <start>2</start>
      <end>3</end>
      <status>unmodified</status>
      <modifiedWord/>
      <trackRevisions>false</trackRevisions>
    </reviewItem>
    <reviewItem>
      <errorID>34605162-f23c-4b56-8255-0c107af14dab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7C688C9C</paraID>
      <start>0</start>
      <end>2</end>
      <status>modified</status>
      <modifiedWord>1.</modifiedWord>
      <trackRevisions>false</trackRevisions>
    </reviewItem>
    <reviewItem>
      <errorID>5c1b8a3d-1885-4ade-b8b7-4601551d2c04</errorID>
      <errorWord>重点部位</errorWord>
      <group>L1_Sensitive</group>
      <groupName>敏感问题</groupName>
      <ability>L2_UserSensitive</ability>
      <abilityName>自定义敏感词</abilityName>
      <candidateList/>
      <explain>来自自定义敏感词库。</explain>
      <paraID>60C28590</paraID>
      <start>93</start>
      <end>97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5f8dc7-032c-4516-b114-999a4daf5905}">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5786</Words>
  <Characters>6631</Characters>
  <Lines>0</Lines>
  <Paragraphs>0</Paragraphs>
  <TotalTime>2</TotalTime>
  <ScaleCrop>false</ScaleCrop>
  <LinksUpToDate>false</LinksUpToDate>
  <CharactersWithSpaces>6642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2025-11-07T08:34:43Z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