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F1D3F"/>
    <w:p w14:paraId="4F89CC24">
      <w:pPr>
        <w:spacing w:line="540" w:lineRule="exact"/>
        <w:ind w:firstLine="736" w:firstLineChars="230"/>
        <w:jc w:val="left"/>
        <w:rPr>
          <w:rFonts w:hint="eastAsia" w:ascii="仿宋" w:hAnsi="仿宋" w:eastAsia="仿宋" w:cs="宋体"/>
          <w:kern w:val="0"/>
          <w:sz w:val="32"/>
          <w:szCs w:val="32"/>
        </w:rPr>
      </w:pPr>
    </w:p>
    <w:p w14:paraId="5F6AFA89">
      <w:pPr>
        <w:spacing w:line="540" w:lineRule="exact"/>
        <w:ind w:firstLine="736" w:firstLineChars="230"/>
        <w:jc w:val="left"/>
        <w:rPr>
          <w:rFonts w:ascii="仿宋" w:hAnsi="仿宋" w:eastAsia="仿宋" w:cs="宋体"/>
          <w:kern w:val="0"/>
          <w:sz w:val="32"/>
          <w:szCs w:val="32"/>
        </w:rPr>
      </w:pPr>
      <w:r>
        <w:rPr>
          <w:rFonts w:hint="eastAsia" w:ascii="仿宋" w:hAnsi="仿宋" w:eastAsia="仿宋" w:cs="宋体"/>
          <w:kern w:val="0"/>
          <w:sz w:val="32"/>
          <w:szCs w:val="32"/>
        </w:rPr>
        <w:t>附件2：</w:t>
      </w:r>
    </w:p>
    <w:p w14:paraId="2D849248">
      <w:pPr>
        <w:spacing w:line="540" w:lineRule="exact"/>
        <w:jc w:val="center"/>
        <w:rPr>
          <w:rFonts w:ascii="华文中宋" w:hAnsi="华文中宋" w:eastAsia="华文中宋" w:cs="宋体"/>
          <w:b/>
          <w:kern w:val="0"/>
          <w:sz w:val="52"/>
          <w:szCs w:val="52"/>
        </w:rPr>
      </w:pPr>
    </w:p>
    <w:p w14:paraId="22631E0F">
      <w:pPr>
        <w:spacing w:line="540" w:lineRule="exact"/>
        <w:jc w:val="center"/>
        <w:rPr>
          <w:rFonts w:ascii="华文中宋" w:hAnsi="华文中宋" w:eastAsia="华文中宋" w:cs="宋体"/>
          <w:b/>
          <w:kern w:val="0"/>
          <w:sz w:val="52"/>
          <w:szCs w:val="52"/>
        </w:rPr>
      </w:pPr>
    </w:p>
    <w:p w14:paraId="5E21DB37">
      <w:pPr>
        <w:spacing w:line="540" w:lineRule="exact"/>
        <w:jc w:val="center"/>
        <w:rPr>
          <w:rFonts w:ascii="华文中宋" w:hAnsi="华文中宋" w:eastAsia="华文中宋" w:cs="宋体"/>
          <w:b/>
          <w:kern w:val="0"/>
          <w:sz w:val="52"/>
          <w:szCs w:val="52"/>
        </w:rPr>
      </w:pPr>
    </w:p>
    <w:p w14:paraId="0695EBBB">
      <w:pPr>
        <w:spacing w:line="540" w:lineRule="exact"/>
        <w:jc w:val="center"/>
        <w:rPr>
          <w:rFonts w:ascii="华文中宋" w:hAnsi="华文中宋" w:eastAsia="华文中宋" w:cs="宋体"/>
          <w:b/>
          <w:kern w:val="0"/>
          <w:sz w:val="52"/>
          <w:szCs w:val="52"/>
        </w:rPr>
      </w:pPr>
    </w:p>
    <w:p w14:paraId="42927E67">
      <w:pPr>
        <w:spacing w:line="540" w:lineRule="exact"/>
        <w:jc w:val="center"/>
        <w:rPr>
          <w:rFonts w:ascii="华文中宋" w:hAnsi="华文中宋" w:eastAsia="华文中宋" w:cs="宋体"/>
          <w:b/>
          <w:kern w:val="0"/>
          <w:sz w:val="52"/>
          <w:szCs w:val="52"/>
        </w:rPr>
      </w:pPr>
    </w:p>
    <w:p w14:paraId="30BF3604">
      <w:pPr>
        <w:spacing w:line="540" w:lineRule="exact"/>
        <w:jc w:val="center"/>
        <w:rPr>
          <w:rFonts w:ascii="华文中宋" w:hAnsi="华文中宋" w:eastAsia="华文中宋" w:cs="宋体"/>
          <w:b/>
          <w:kern w:val="0"/>
          <w:sz w:val="52"/>
          <w:szCs w:val="52"/>
        </w:rPr>
      </w:pPr>
    </w:p>
    <w:p w14:paraId="513313A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EF87C5F">
      <w:pPr>
        <w:spacing w:line="540" w:lineRule="exact"/>
        <w:jc w:val="center"/>
        <w:rPr>
          <w:rFonts w:ascii="华文中宋" w:hAnsi="华文中宋" w:eastAsia="华文中宋" w:cs="宋体"/>
          <w:b/>
          <w:kern w:val="0"/>
          <w:sz w:val="52"/>
          <w:szCs w:val="52"/>
        </w:rPr>
      </w:pPr>
    </w:p>
    <w:p w14:paraId="18B6CAE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C74A5B2">
      <w:pPr>
        <w:spacing w:line="540" w:lineRule="exact"/>
        <w:jc w:val="center"/>
        <w:rPr>
          <w:rFonts w:hAnsi="宋体" w:eastAsia="仿宋_GB2312" w:cs="宋体"/>
          <w:kern w:val="0"/>
          <w:sz w:val="30"/>
          <w:szCs w:val="30"/>
        </w:rPr>
      </w:pPr>
    </w:p>
    <w:p w14:paraId="05946067">
      <w:pPr>
        <w:spacing w:line="540" w:lineRule="exact"/>
        <w:jc w:val="center"/>
        <w:rPr>
          <w:rFonts w:hAnsi="宋体" w:eastAsia="仿宋_GB2312" w:cs="宋体"/>
          <w:kern w:val="0"/>
          <w:sz w:val="30"/>
          <w:szCs w:val="30"/>
        </w:rPr>
      </w:pPr>
    </w:p>
    <w:p w14:paraId="00672C3A">
      <w:pPr>
        <w:spacing w:line="540" w:lineRule="exact"/>
        <w:jc w:val="center"/>
        <w:rPr>
          <w:rFonts w:hAnsi="宋体" w:eastAsia="仿宋_GB2312" w:cs="宋体"/>
          <w:kern w:val="0"/>
          <w:sz w:val="30"/>
          <w:szCs w:val="30"/>
        </w:rPr>
      </w:pPr>
    </w:p>
    <w:p w14:paraId="3E004403">
      <w:pPr>
        <w:spacing w:line="540" w:lineRule="exact"/>
        <w:jc w:val="center"/>
        <w:rPr>
          <w:rFonts w:hAnsi="宋体" w:eastAsia="仿宋_GB2312" w:cs="宋体"/>
          <w:kern w:val="0"/>
          <w:sz w:val="30"/>
          <w:szCs w:val="30"/>
        </w:rPr>
      </w:pPr>
    </w:p>
    <w:p w14:paraId="42F739BB">
      <w:pPr>
        <w:spacing w:line="540" w:lineRule="exact"/>
        <w:rPr>
          <w:rFonts w:hAnsi="宋体" w:eastAsia="仿宋_GB2312" w:cs="宋体"/>
          <w:kern w:val="0"/>
          <w:sz w:val="30"/>
          <w:szCs w:val="30"/>
        </w:rPr>
      </w:pPr>
    </w:p>
    <w:p w14:paraId="3D7822DC">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5169A6A">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项目名称：基本公共卫生补助资金</w:t>
      </w:r>
    </w:p>
    <w:p w14:paraId="7AC81973">
      <w:pPr>
        <w:spacing w:line="700" w:lineRule="exact"/>
        <w:ind w:firstLine="720" w:firstLineChars="200"/>
        <w:jc w:val="left"/>
        <w:rPr>
          <w:rFonts w:hint="eastAsia" w:hAnsi="宋体" w:eastAsia="仿宋_GB2312" w:cs="宋体"/>
          <w:kern w:val="0"/>
          <w:sz w:val="36"/>
          <w:szCs w:val="36"/>
        </w:rPr>
      </w:pPr>
      <w:r>
        <w:rPr>
          <w:rFonts w:hint="eastAsia" w:hAnsi="宋体" w:eastAsia="仿宋_GB2312" w:cs="宋体"/>
          <w:kern w:val="0"/>
          <w:sz w:val="36"/>
          <w:szCs w:val="36"/>
        </w:rPr>
        <w:t xml:space="preserve"> 实施单位（公章）：裕民县牧业医院</w:t>
      </w:r>
    </w:p>
    <w:p w14:paraId="4081D78F">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主管部门（公章）：裕民县牧业医院</w:t>
      </w:r>
    </w:p>
    <w:p w14:paraId="0DBD279E">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项目负责人（签章）：安赛</w:t>
      </w:r>
    </w:p>
    <w:p w14:paraId="5515CEF2">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填报时间：2025年04月24日</w:t>
      </w:r>
    </w:p>
    <w:p w14:paraId="71C11E43">
      <w:pPr>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br w:type="page"/>
      </w:r>
    </w:p>
    <w:p w14:paraId="3EA9CA04">
      <w:pPr>
        <w:spacing w:line="540" w:lineRule="exact"/>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1231F23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46A9C458">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（一）项目概况</w:t>
      </w:r>
    </w:p>
    <w:p w14:paraId="0296AB71">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本公共卫生服务项目是促进基本公共卫生服务逐步均等化的重要内容，是深化医药卫生体制改革的重要工作。是我县政府针对当前城乡居民存在的主要健康问题，以儿童、孕产妇、老年人、慢性疾病患者为重点人群，面向全体居民免费提供的最基本公共卫生服务。</w:t>
      </w:r>
      <w:bookmarkStart w:id="0" w:name="_GoBack"/>
      <w:bookmarkEnd w:id="0"/>
    </w:p>
    <w:p w14:paraId="16AE5514">
      <w:pPr>
        <w:spacing w:line="540" w:lineRule="exact"/>
        <w:ind w:left="638" w:leftChars="304" w:firstLine="0"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w:t>
      </w:r>
    </w:p>
    <w:p w14:paraId="68475BAA">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主要内容：目前，基本公共卫生服务项目有14项内容，即：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实施情况：本项目于2024年1月开始实施，截至2024年12月，该项目已实施完成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通过本项目的实施，有效保障受益群众基本生活，提升了群众对传染病的认识，增强了传染病防控意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（1）资金投入情况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该项目年初预算数5.43万元，全年预算数54.18万元，该项目资金已全部落实到位，资金来源为财政拨款。</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（2）资金使用情况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该项目年初预算数5.43万元，全年预算数54.18万元，全年执行数54.18万元，预算执行率为100%，主要用于：支付商品和服务支出费用54.18万元。</w:t>
      </w:r>
    </w:p>
    <w:p w14:paraId="5C98E52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69E75413">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p>
    <w:p w14:paraId="29F2EDC5">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2024年基本公共卫生服务补助资金项目年初预算5.43万元，全年执行数54.18万元，</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25日支付54.18万元，该项目计划该项目计划1.孕产妇及0-6岁儿童体检管理率；2.健康教育讲座；3.高血压患者规范管理率；4糖尿病患者规范管理率；5.适龄儿童国家免疫规划疫苗接种率；6.老年人健康管理率；通过项目的实施，对全乡居民健康问题实施干预，减少主要健康危害因素，减少居民的患病几率，有效预防和控制传染病及慢性非传染性疾病，加强突发公共卫生事件应急机制建设，提高基本公共项目和突发公共卫生事件应急处置能力，全乡居民逐步获得均等化的基本公共项目服务，主要健康危险因素得到有效控制，全乡居民健康水平得到提高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阶段性目标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12月31日之前我单位完成了健康教育讲座13期，公众咨询次数4次、高血压规范管理率83.24%、Ⅱ型糖尿病规范管理率83.19%，严重精神障碍患者规范管理率95.83%，老年人健康管理率70%，中医药健康管理率81.14%，家庭医生签约人数7945人，通过各项工作的开展提高了辖区居民综合知晓率，获得了较高的居民满意度。</w:t>
      </w:r>
    </w:p>
    <w:p w14:paraId="17A410E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3E34CCA7">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7EDF7F9D">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1.绩效评价完整性</w:t>
      </w:r>
    </w:p>
    <w:p w14:paraId="5CD584FF">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D81446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2.绩效评价的目的</w:t>
      </w:r>
    </w:p>
    <w:p w14:paraId="033E2E52">
      <w:pPr>
        <w:spacing w:line="540" w:lineRule="exact"/>
        <w:ind w:left="313" w:leftChars="149"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（1）评估项目实施效果</w:t>
      </w:r>
    </w:p>
    <w:p w14:paraId="4C8765C4">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（2）提升资源利用效率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（3）强化项目管理责任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（4）为决策提供支持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（5）促进项目持续改进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3.绩效评价的对象</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对象是基本公共卫生服务补助资金项目及其预算执行情况。该项目由裕民县牧业医院负责实施，旨在通过对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的宣传，对全乡居民健康问题实施干预，减少主要健康危害因素，减少居民的患病几率，有效预防和控制传染病及慢性非传染性疾病，加强突发公共卫生事件应急机制建设，提高基本公共项目和突发公共卫生事件应急处置能力，全乡居民逐步获得均等化的基本公共项目服务，主要健康危险因素得到有效控制，全乡居民健康水平得到进一步提高。项目预算涵盖从2024年1月至2024年12月的全部资金投入与支出，涉及资金总额为54.18万元。</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4.绩效评价的范围</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Style w:val="19"/>
          <w:rFonts w:hint="eastAsia" w:ascii="楷体" w:hAnsi="楷体" w:eastAsia="楷体"/>
          <w:b w:val="0"/>
          <w:bCs w:val="0"/>
          <w:spacing w:val="-4"/>
          <w:sz w:val="32"/>
          <w:szCs w:val="32"/>
        </w:rPr>
        <w:t>项目预算编制与执行：全面审视项目预算的编制依据、合理性、科学性以及实际执行情况，包括预算调整的原因和效果。</w:t>
      </w:r>
      <w:r>
        <w:cr/>
      </w:r>
      <w:r>
        <w:rPr>
          <w:rStyle w:val="19"/>
          <w:rFonts w:hint="eastAsia" w:ascii="楷体" w:hAnsi="楷体" w:eastAsia="楷体"/>
          <w:b w:val="0"/>
          <w:bCs w:val="0"/>
          <w:spacing w:val="-4"/>
          <w:sz w:val="32"/>
          <w:szCs w:val="32"/>
        </w:rPr>
        <w:t>资金管理：深入分析项目资金的分配、使用和监管情况，确保资金使用的合规性、高效性和透明度。</w:t>
      </w:r>
      <w:r>
        <w:cr/>
      </w:r>
      <w:r>
        <w:rPr>
          <w:rStyle w:val="19"/>
          <w:rFonts w:hint="eastAsia" w:ascii="楷体" w:hAnsi="楷体" w:eastAsia="楷体"/>
          <w:b w:val="0"/>
          <w:bCs w:val="0"/>
          <w:spacing w:val="-4"/>
          <w:sz w:val="32"/>
          <w:szCs w:val="32"/>
        </w:rPr>
        <w:t>项目实施进度与产出：评估项目是否按照既定计划顺利推进，各项任务是否按时完成，以及项目产出的数量、质量和时效性是否符合预期。</w:t>
      </w:r>
    </w:p>
    <w:p w14:paraId="76814BE8">
      <w:pPr>
        <w:spacing w:line="540" w:lineRule="exact"/>
        <w:ind w:firstLine="593" w:firstLineChars="200"/>
        <w:rPr>
          <w:rStyle w:val="19"/>
          <w:rFonts w:ascii="楷体" w:hAnsi="楷体" w:eastAsia="楷体"/>
          <w:b/>
          <w:bCs/>
          <w:spacing w:val="-6"/>
          <w:w w:val="96"/>
          <w:sz w:val="32"/>
          <w:szCs w:val="32"/>
        </w:rPr>
      </w:pPr>
      <w:r>
        <w:rPr>
          <w:rStyle w:val="19"/>
          <w:rFonts w:hint="eastAsia" w:ascii="楷体" w:hAnsi="楷体" w:eastAsia="楷体"/>
          <w:b/>
          <w:bCs/>
          <w:spacing w:val="-6"/>
          <w:w w:val="96"/>
          <w:sz w:val="32"/>
          <w:szCs w:val="32"/>
        </w:rPr>
        <w:t>（二）绩效评价原则、评价指标体系、评价方法、评价标准</w:t>
      </w:r>
    </w:p>
    <w:p w14:paraId="563130A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2EA6840C">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本次项目绩效评价遵循以下基本原则：</w:t>
      </w:r>
    </w:p>
    <w:p w14:paraId="0D8C60DF">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14:paraId="77B213C8">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p>
    <w:p w14:paraId="5189AF11">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p>
    <w:p w14:paraId="736A1832">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（4）公开透明。绩效评价结果应依法依规公开，并自觉接受社会监督。</w:t>
      </w:r>
    </w:p>
    <w:p w14:paraId="726CC9B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2.评价指标体系</w:t>
      </w:r>
    </w:p>
    <w:p w14:paraId="1D3AEF7E">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p>
    <w:p w14:paraId="115DAD2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（1）确定评价指标</w:t>
      </w:r>
    </w:p>
    <w:p w14:paraId="3E51EC4E">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DCE6872">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（2）确定权重</w:t>
      </w:r>
    </w:p>
    <w:p w14:paraId="10449AC8">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p>
    <w:p w14:paraId="47703AA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（3）确定指标标准值</w:t>
      </w:r>
    </w:p>
    <w:p w14:paraId="4B11BAF2">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绩效评价总分值100分，根据综合评分结果，90（含）-100分为优、80（含）-90分为良、60（含）-80分为中、60分以下为差。</w:t>
      </w:r>
    </w:p>
    <w:p w14:paraId="3DCD1EA7">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具体评价指标体系详情见附件1</w:t>
      </w:r>
    </w:p>
    <w:p w14:paraId="67EA37EF">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3.绩效评价方法</w:t>
      </w:r>
    </w:p>
    <w:p w14:paraId="67CD8187">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p>
    <w:p w14:paraId="734DBF3E">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（一）因素分析法。是指综合分析影响绩效目标实现、实施效果的内外部因素的方法。</w:t>
      </w:r>
    </w:p>
    <w:p w14:paraId="3B52E481">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14:paraId="4A25F339">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w:t>
      </w:r>
    </w:p>
    <w:p w14:paraId="31F4F0CB">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（1）计划标准。指以预先制定的目标、计划、预算、定额等作为评价标准。</w:t>
      </w:r>
    </w:p>
    <w:p w14:paraId="3BF5335B">
      <w:pPr>
        <w:spacing w:line="540" w:lineRule="exact"/>
        <w:ind w:firstLine="627" w:firstLineChars="200"/>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42CF63A6">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p>
    <w:p w14:paraId="528D8B86">
      <w:pPr>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在项目绩效评价工作启动之初，成立了专门的评价工作小组，小组成员由单位负责人、财务人员、项目管理专业人员及相关人员组成，确保从多角度、全方位对项目绩效进行评价。同时，明确了评价工作的目标、范围、重点及时间安排，制定了详细的工作计划，为评价工作的顺利开展奠定了坚实基础</w:t>
      </w:r>
      <w:r>
        <w:rPr>
          <w:rStyle w:val="19"/>
          <w:rFonts w:hint="eastAsia" w:ascii="楷体" w:hAnsi="楷体" w:eastAsia="楷体"/>
          <w:b w:val="0"/>
          <w:bCs w:val="0"/>
          <w:spacing w:val="-4"/>
          <w:sz w:val="32"/>
          <w:szCs w:val="32"/>
          <w:lang w:eastAsia="zh-CN"/>
        </w:rPr>
        <w:t>。</w:t>
      </w:r>
    </w:p>
    <w:p w14:paraId="281FA184">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指标体系构建</w:t>
      </w:r>
    </w:p>
    <w:p w14:paraId="0850056B">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41471294">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（3）数据收集与整理</w:t>
      </w:r>
    </w:p>
    <w:p w14:paraId="5F3A1882">
      <w:pPr>
        <w:numPr>
          <w:ilvl w:val="0"/>
          <w:numId w:val="0"/>
        </w:numPr>
        <w:spacing w:line="540" w:lineRule="exact"/>
        <w:ind w:firstLine="624" w:firstLineChars="200"/>
        <w:rPr>
          <w:rStyle w:val="19"/>
          <w:rFonts w:hint="eastAsia" w:ascii="楷体" w:hAnsi="楷体" w:eastAsia="楷体"/>
          <w:b w:val="0"/>
          <w:bCs w:val="0"/>
          <w:spacing w:val="-6"/>
          <w:w w:val="96"/>
          <w:sz w:val="32"/>
          <w:szCs w:val="32"/>
        </w:rPr>
      </w:pPr>
      <w:r>
        <w:rPr>
          <w:rStyle w:val="19"/>
          <w:rFonts w:hint="eastAsia" w:ascii="楷体" w:hAnsi="楷体" w:eastAsia="楷体"/>
          <w:b w:val="0"/>
          <w:bCs w:val="0"/>
          <w:spacing w:val="-4"/>
          <w:sz w:val="32"/>
          <w:szCs w:val="32"/>
        </w:rPr>
        <w:t>广泛收集与项目相关的各类数据，包括财务报表、项目文档、业务数据等。在数据收集过程中，注重数据的质量与完整性，对缺失或异常的数据进行了合理的处理和补充。随后，对收集到的</w:t>
      </w:r>
      <w:r>
        <w:rPr>
          <w:rStyle w:val="19"/>
          <w:rFonts w:hint="eastAsia" w:ascii="楷体" w:hAnsi="楷体" w:eastAsia="楷体"/>
          <w:b w:val="0"/>
          <w:bCs w:val="0"/>
          <w:spacing w:val="-6"/>
          <w:w w:val="96"/>
          <w:sz w:val="32"/>
          <w:szCs w:val="32"/>
        </w:rPr>
        <w:t>数据进行了系统的整理与分类，为后续的数据分析提供了有力支持。</w:t>
      </w:r>
    </w:p>
    <w:p w14:paraId="7136B9B5">
      <w:pPr>
        <w:numPr>
          <w:ilvl w:val="0"/>
          <w:numId w:val="1"/>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数据分析与评估</w:t>
      </w:r>
    </w:p>
    <w:p w14:paraId="1DF82D78">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（5）报告撰写与反馈</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52D04D1">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（6）后续跟踪与改进</w:t>
      </w:r>
    </w:p>
    <w:p w14:paraId="34021B80">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6B6AFD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121324F6">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p>
    <w:p w14:paraId="7B233C75">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项目的综合评价基于对项目各方面绩效的深入分析与评估。从项目目标的达成情况来看，2024年基本公共卫生服务补助资金在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的宣传等方面表现出色，达到了预期的标准与要求。</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在项目管理方面，裕民县牧业医院通过有效的规划、组织与协调，项目得以顺利实施，并在预算与时间上保持了良好的控制。</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从项目效益的角度来看，本项目不仅实现了预期的社会效益产生了积极的影响。具体而言，公共卫生均等化水平提高等方面的提升，为项目的利益相关者带来了实实在在的利益。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综上所述，2024年基本公共卫生服务补助资金在绩效评价中表现出色，达到了项目的预期目标，并在多个方面取得了显著的成效。</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99.43分，属于“优”。其中，项目决策类指标权重为20分，得分为 20分，得分率为 100%。项目过程类指标权重为20分，得分为19.57分，得分率为 100%。项目产出类指标权重为40分，得分为40分，得分率为100%。项目效益类指标权重为20分，得分为20分，得分率为100%。具体打分情况详见：附件1综合评分表。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表1综合评分表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 xml:space="preserve"> </w:t>
      </w:r>
    </w:p>
    <w:p w14:paraId="4DC3D72D">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4F1E0E2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6CB5ED0D">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（一）项目决策情况</w:t>
      </w:r>
    </w:p>
    <w:p w14:paraId="2B64A176">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p>
    <w:p w14:paraId="60B4F9AB">
      <w:p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7ADC5D4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（1）立项依据充分性</w:t>
      </w:r>
    </w:p>
    <w:p w14:paraId="66331324">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50C573FB">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（2）立项程序规范性</w:t>
      </w:r>
    </w:p>
    <w:p w14:paraId="1A9904D8">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保障了程序的规范性。</w:t>
      </w:r>
    </w:p>
    <w:p w14:paraId="043E5A51">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p>
    <w:p w14:paraId="239ABADD">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（1）绩效目标合理性</w:t>
      </w:r>
    </w:p>
    <w:p w14:paraId="00F3EC3C">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226F442">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（2）绩效指标明确性</w:t>
      </w:r>
    </w:p>
    <w:p w14:paraId="0A0842D2">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p>
    <w:p w14:paraId="75543865">
      <w:p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w:t>
      </w:r>
    </w:p>
    <w:p w14:paraId="515EE5D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（1）预算编制科学性</w:t>
      </w:r>
    </w:p>
    <w:p w14:paraId="7971C913">
      <w:p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A505A17">
      <w:p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8F01364">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（2）资金分配合理性</w:t>
      </w:r>
    </w:p>
    <w:p w14:paraId="4962A1C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777AA66">
      <w:pPr>
        <w:tabs>
          <w:tab w:val="center" w:pos="4295"/>
        </w:tabs>
        <w:spacing w:line="540" w:lineRule="exact"/>
        <w:ind w:firstLine="624" w:firstLineChars="200"/>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19"/>
          <w:rFonts w:hint="eastAsia" w:ascii="楷体" w:hAnsi="楷体" w:eastAsia="楷体"/>
          <w:b w:val="0"/>
          <w:bCs w:val="0"/>
          <w:spacing w:val="-4"/>
          <w:sz w:val="32"/>
          <w:szCs w:val="32"/>
          <w:lang w:val="en-US" w:eastAsia="zh-CN"/>
        </w:rPr>
        <w:t>.</w:t>
      </w:r>
    </w:p>
    <w:p w14:paraId="05988656">
      <w:pPr>
        <w:tabs>
          <w:tab w:val="center" w:pos="4295"/>
        </w:tabs>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14:paraId="4D2C6CDD">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36F0362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项目过程类指标包括资金管理和组织实施两方面的内容，由1个三级指标构成，权重分值为20分，实际得分20分，得分率为100%。</w:t>
      </w:r>
    </w:p>
    <w:p w14:paraId="73A618F2">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2D29F5E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w:t>
      </w:r>
    </w:p>
    <w:p w14:paraId="21004C61">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本项目总投资54.18万元，财政资金及时足额到位，到位率100%，预算资金按计划进度执行。</w:t>
      </w:r>
    </w:p>
    <w:p w14:paraId="09C9208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（2）预算执行率</w:t>
      </w:r>
    </w:p>
    <w:p w14:paraId="35E04AD2">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预算编制较为详细，项目资金支出总体能够按照预算执行，预算资金支出54.18万元，预算执行率为100%。</w:t>
      </w:r>
    </w:p>
    <w:p w14:paraId="6D4C4B6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（3）资金使用合规性</w:t>
      </w:r>
    </w:p>
    <w:p w14:paraId="70513B9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资金使用严格遵循了根据塔地财社[2023]25号2023年中央基本公共卫生补助、塔地财社[2023]93号2024年中央基本公共卫生、塔地财社[2023]94号2024年自治区基本公共卫生服务补助资金、塔地财社［2024］20号2024年中央基本公共卫生服务补助资金第二批、2024年县级配套资金、塔地财社[2024]10号2024年自治区基本公共卫生补助项目文件，确保了资金的合规性与安全性。在资金使用过程中，我们建立了完善的财务管理体系，对资金的流动进行了全程监控与记录。</w:t>
      </w:r>
    </w:p>
    <w:p w14:paraId="407D0F7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C44B575">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0C837C72">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2.组织实施</w:t>
      </w:r>
    </w:p>
    <w:p w14:paraId="4CC9A0B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（1）管理制度健全性</w:t>
      </w:r>
    </w:p>
    <w:p w14:paraId="46132B0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10B6AB1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r>
        <w:cr/>
      </w: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C750E98">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03F98F9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（2）制度执行有效性</w:t>
      </w:r>
    </w:p>
    <w:p w14:paraId="2A237834">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3EE2E8E8">
      <w:pPr>
        <w:spacing w:line="540" w:lineRule="exact"/>
        <w:ind w:firstLine="567"/>
        <w:rPr>
          <w:rStyle w:val="19"/>
          <w:rFonts w:hint="eastAsia" w:ascii="楷体" w:hAnsi="楷体" w:eastAsia="楷体"/>
          <w:b w:val="0"/>
          <w:bCs w:val="0"/>
          <w:spacing w:val="-6"/>
          <w:w w:val="96"/>
          <w:sz w:val="32"/>
          <w:szCs w:val="32"/>
        </w:rPr>
      </w:pPr>
      <w:r>
        <w:rPr>
          <w:rStyle w:val="19"/>
          <w:rFonts w:hint="eastAsia" w:ascii="楷体" w:hAnsi="楷体" w:eastAsia="楷体"/>
          <w:b w:val="0"/>
          <w:bCs w:val="0"/>
          <w:spacing w:val="-4"/>
          <w:sz w:val="32"/>
          <w:szCs w:val="32"/>
        </w:rPr>
        <w:t>综上所述，本项目的管理制度在执行过程中表现出了高度的</w:t>
      </w:r>
      <w:r>
        <w:rPr>
          <w:rStyle w:val="19"/>
          <w:rFonts w:hint="eastAsia" w:ascii="楷体" w:hAnsi="楷体" w:eastAsia="楷体"/>
          <w:b w:val="0"/>
          <w:bCs w:val="0"/>
          <w:spacing w:val="-6"/>
          <w:w w:val="96"/>
          <w:sz w:val="32"/>
          <w:szCs w:val="32"/>
        </w:rPr>
        <w:t>有效性，既确保了项目的顺利进行，又实现了项目目标的有效达成。</w:t>
      </w:r>
    </w:p>
    <w:p w14:paraId="2D8FEE0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25F3B7A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项目产出类指标包括产出数量、产出质量、产出时效、产出成本四方面的内容，由7个三级指标构成，权重分为40分，实际得分40分，得分率为100%。具体产出指标完成情况如下：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①数量指标：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指标1：基本公共卫生服务项目数量指标，预期指标值为“&gt;=14个”，实际完成值：14个，指标完成率100 %。</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指标2：服务宣传次数指标，预期指标值为“&gt;=4次”，实际完成值：4次，指标完成率100%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指标3：发放公共卫生服务补助人员数量指标，预期指标值为“&gt;=6人”，实际完成值：6人，指标完成率100%。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②质量指标：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指标1：“服务宣传覆盖率”指标，预期指标值为“=100%”，实际完成值：100%，指标完成率100%；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指标2：“《国家基本公卫服务规范》考核合格率”指标值为“=100%”，实际完成值：100%，指标完成率100%。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③时效指标：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指标1：“基本公共卫生服务工作完成时间”指标，预期指标值为“2024年12月25日前”，实际完成值2024年12月25日，指标完成率100%。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④成本指标：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指标1：“基本公共卫生项目资金”指标，预期指标值为“=&lt;54.18万元”；实际完成值：54.18万元，指标完成率100%，。</w:t>
      </w:r>
    </w:p>
    <w:p w14:paraId="52E4360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5864849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1.实施效益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指标：“农牧民对慢病自我管理意识覆盖率”指标，预期指标值为“=100%”，实际完成值：100%，指标完成率100%。</w:t>
      </w:r>
    </w:p>
    <w:p w14:paraId="4F9DED42">
      <w:pPr>
        <w:numPr>
          <w:ilvl w:val="0"/>
          <w:numId w:val="0"/>
        </w:numPr>
        <w:spacing w:line="540" w:lineRule="exact"/>
        <w:ind w:firstLine="624" w:firstLineChars="200"/>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lang w:val="en-US" w:eastAsia="zh-CN"/>
        </w:rPr>
        <w:t>2.满意度</w:t>
      </w:r>
    </w:p>
    <w:p w14:paraId="32BA8FAC">
      <w:pPr>
        <w:numPr>
          <w:ilvl w:val="0"/>
          <w:numId w:val="0"/>
        </w:numPr>
        <w:spacing w:line="540" w:lineRule="exact"/>
        <w:ind w:firstLine="624" w:firstLineChars="200"/>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lang w:val="en-US" w:eastAsia="zh-CN"/>
        </w:rPr>
        <w:t>满意度指标：</w:t>
      </w:r>
    </w:p>
    <w:p w14:paraId="192D8F4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指标：</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受益户满意度</w:t>
      </w:r>
      <w:r>
        <w:rPr>
          <w:rStyle w:val="19"/>
          <w:rFonts w:hint="eastAsia" w:ascii="楷体" w:hAnsi="楷体" w:eastAsia="楷体"/>
          <w:b w:val="0"/>
          <w:bCs w:val="0"/>
          <w:spacing w:val="-4"/>
          <w:sz w:val="32"/>
          <w:szCs w:val="32"/>
        </w:rPr>
        <w:t>”指标，预期指标值为“&gt;=100%”，实际完成值：100%，指标完成率10</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w:t>
      </w:r>
    </w:p>
    <w:p w14:paraId="49C07DE0">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7FDC50AF">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2024年基本公共卫生服务补助资金项目年初预算5.43万元，全年预算54.18万元，实际支出54.18万元，预算执行率为100%，项目绩效指标总体完成率为100%，总体偏差率为0%。。</w:t>
      </w:r>
    </w:p>
    <w:p w14:paraId="2899129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14:paraId="7AC59F73">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42675A1D">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7B97E0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296DC6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存在的问题及原因分析</w:t>
      </w:r>
    </w:p>
    <w:p w14:paraId="4AA1F540">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2.因轮岗、调动等因素使我单位绩效工作人员流动频繁，造成工作衔接不到位的情况。</w:t>
      </w:r>
    </w:p>
    <w:p w14:paraId="3AC3AF9B">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14:paraId="0087962D">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p>
    <w:p w14:paraId="6026165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2.专门设定对绩效工作人员定职、定岗、定责等相关制度措施，进一步提升我单位绩效管理工作业务水平，扎实做好绩效管理工作。</w:t>
      </w:r>
    </w:p>
    <w:p w14:paraId="2CD650FE">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3EB3A8F">
      <w:pPr>
        <w:spacing w:line="540" w:lineRule="exact"/>
        <w:ind w:firstLine="624" w:firstLineChars="200"/>
        <w:rPr>
          <w:rStyle w:val="19"/>
          <w:rFonts w:hint="eastAsia" w:ascii="楷体" w:hAnsi="楷体" w:eastAsia="楷体"/>
          <w:b w:val="0"/>
          <w:bCs w:val="0"/>
          <w:spacing w:val="-6"/>
          <w:w w:val="96"/>
          <w:sz w:val="32"/>
          <w:szCs w:val="32"/>
        </w:rPr>
      </w:pPr>
      <w:r>
        <w:rPr>
          <w:rStyle w:val="19"/>
          <w:rFonts w:hint="eastAsia" w:ascii="楷体" w:hAnsi="楷体" w:eastAsia="楷体"/>
          <w:b w:val="0"/>
          <w:bCs w:val="0"/>
          <w:spacing w:val="-4"/>
          <w:sz w:val="32"/>
          <w:szCs w:val="32"/>
        </w:rPr>
        <w:t>4.进一步完善项目评价过程中有关数据和资料的收集、整理、审核及分析。项目启动时同步做好档案的归纳与整理，及时整理、</w:t>
      </w:r>
      <w:r>
        <w:rPr>
          <w:rStyle w:val="19"/>
          <w:rFonts w:hint="eastAsia" w:ascii="楷体" w:hAnsi="楷体" w:eastAsia="楷体"/>
          <w:b w:val="0"/>
          <w:bCs w:val="0"/>
          <w:spacing w:val="-6"/>
          <w:w w:val="96"/>
          <w:sz w:val="32"/>
          <w:szCs w:val="32"/>
        </w:rPr>
        <w:t>收集、汇总，健全档案资料。项目后续管理有待进一步加强和跟踪。</w:t>
      </w:r>
    </w:p>
    <w:p w14:paraId="5200F437">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24165A19">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14:paraId="24C2962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本项目无其他需说明的问题。</w:t>
      </w:r>
    </w:p>
    <w:p w14:paraId="498DA325">
      <w:pPr>
        <w:spacing w:line="540" w:lineRule="exact"/>
        <w:ind w:firstLine="567"/>
        <w:rPr>
          <w:rStyle w:val="19"/>
          <w:rFonts w:ascii="仿宋" w:hAnsi="仿宋" w:eastAsia="仿宋"/>
          <w:b w:val="0"/>
          <w:spacing w:val="-4"/>
          <w:sz w:val="32"/>
          <w:szCs w:val="32"/>
        </w:rPr>
      </w:pPr>
    </w:p>
    <w:p w14:paraId="73586F69">
      <w:pPr>
        <w:spacing w:line="540" w:lineRule="exact"/>
        <w:ind w:firstLine="567"/>
        <w:rPr>
          <w:rStyle w:val="19"/>
          <w:rFonts w:ascii="仿宋" w:hAnsi="仿宋" w:eastAsia="仿宋"/>
          <w:b w:val="0"/>
          <w:spacing w:val="-4"/>
          <w:sz w:val="32"/>
          <w:szCs w:val="32"/>
        </w:rPr>
      </w:pPr>
    </w:p>
    <w:p w14:paraId="4BA561B6">
      <w:pPr>
        <w:spacing w:line="540" w:lineRule="exact"/>
        <w:ind w:firstLine="567"/>
        <w:rPr>
          <w:rStyle w:val="19"/>
          <w:rFonts w:ascii="仿宋" w:hAnsi="仿宋" w:eastAsia="仿宋"/>
          <w:b w:val="0"/>
          <w:spacing w:val="-4"/>
          <w:sz w:val="32"/>
          <w:szCs w:val="32"/>
        </w:rPr>
      </w:pPr>
    </w:p>
    <w:p w14:paraId="2778C69F">
      <w:pPr>
        <w:spacing w:line="540" w:lineRule="exact"/>
        <w:ind w:firstLine="567"/>
        <w:rPr>
          <w:rStyle w:val="19"/>
          <w:rFonts w:ascii="仿宋" w:hAnsi="仿宋" w:eastAsia="仿宋"/>
          <w:b w:val="0"/>
          <w:spacing w:val="-4"/>
          <w:sz w:val="32"/>
          <w:szCs w:val="32"/>
        </w:rPr>
      </w:pPr>
    </w:p>
    <w:p w14:paraId="123665B5">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53C07D-433D-46B2-A42D-261D403AC3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137AAE8-B016-4A5D-A7EA-F2ACCDE2F579}"/>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AF4FA812-489C-46CC-99A9-C09FABE8435D}"/>
  </w:font>
  <w:font w:name="华文中宋">
    <w:panose1 w:val="02010600040101010101"/>
    <w:charset w:val="86"/>
    <w:family w:val="auto"/>
    <w:pitch w:val="default"/>
    <w:sig w:usb0="00000287" w:usb1="080F0000" w:usb2="00000000" w:usb3="00000000" w:csb0="0004009F" w:csb1="DFD70000"/>
    <w:embedRegular r:id="rId4" w:fontKey="{22546A03-525D-41F7-8576-C9EABA67543F}"/>
  </w:font>
  <w:font w:name="方正小标宋_GBK">
    <w:panose1 w:val="02000000000000000000"/>
    <w:charset w:val="86"/>
    <w:family w:val="script"/>
    <w:pitch w:val="default"/>
    <w:sig w:usb0="A00002BF" w:usb1="38CF7CFA" w:usb2="00082016" w:usb3="00000000" w:csb0="00040001" w:csb1="00000000"/>
    <w:embedRegular r:id="rId5" w:fontKey="{C4454A7C-BCA6-4763-9BE4-417507EC004E}"/>
  </w:font>
  <w:font w:name="仿宋_GB2312">
    <w:panose1 w:val="02010609030101010101"/>
    <w:charset w:val="86"/>
    <w:family w:val="modern"/>
    <w:pitch w:val="default"/>
    <w:sig w:usb0="00000001" w:usb1="080E0000" w:usb2="00000000" w:usb3="00000000" w:csb0="00040000" w:csb1="00000000"/>
    <w:embedRegular r:id="rId6" w:fontKey="{594FAA59-A870-4D9E-BD7D-341B749085BD}"/>
  </w:font>
  <w:font w:name="楷体">
    <w:panose1 w:val="02010609060101010101"/>
    <w:charset w:val="86"/>
    <w:family w:val="modern"/>
    <w:pitch w:val="default"/>
    <w:sig w:usb0="800002BF" w:usb1="38CF7CFA" w:usb2="00000016" w:usb3="00000000" w:csb0="00040001" w:csb1="00000000"/>
    <w:embedRegular r:id="rId7" w:fontKey="{22ABFD51-2991-4765-B283-BE86409811A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416DA9D">
        <w:pPr>
          <w:pStyle w:val="12"/>
          <w:jc w:val="center"/>
        </w:pPr>
        <w:r>
          <w:fldChar w:fldCharType="begin"/>
        </w:r>
        <w:r>
          <w:instrText xml:space="preserve">PAGE   \* MERGEFORMAT</w:instrText>
        </w:r>
        <w:r>
          <w:fldChar w:fldCharType="separate"/>
        </w:r>
        <w:r>
          <w:rPr>
            <w:lang w:val="zh-CN"/>
          </w:rPr>
          <w:t>1</w:t>
        </w:r>
        <w:r>
          <w:fldChar w:fldCharType="end"/>
        </w:r>
      </w:p>
    </w:sdtContent>
  </w:sdt>
  <w:p w14:paraId="0BFA132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86C4A53"/>
    <w:rsid w:val="28BB0188"/>
    <w:rsid w:val="7CB4679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KSOTemplateDocerSaveRecord">
    <vt:lpwstr>eyJoZGlkIjoiMjI3ZTgyMmJlZWE0ZjRiY2QzYzRkMGVkMGI0ZmE3NWUiLCJ1c2VySWQiOiIzNzc2ODcyMjYifQ==</vt:lpwstr>
  </property>
</Properties>
</file>

<file path=customXml/itemProps1.xml><?xml version="1.0" encoding="utf-8"?>
<ds:datastoreItem xmlns:ds="http://schemas.openxmlformats.org/officeDocument/2006/customXml" ds:itemID="{af7594f9-d8db-4d89-ac4e-7f87f4ee0893}">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9929</Words>
  <Characters>10351</Characters>
  <Lines>5</Lines>
  <Paragraphs>1</Paragraphs>
  <TotalTime>4</TotalTime>
  <ScaleCrop>false</ScaleCrop>
  <LinksUpToDate>false</LinksUpToDate>
  <CharactersWithSpaces>10638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雨。</cp:lastModifiedBy>
  <cp:lastPrinted>2018-12-31T10:56:00Z</cp:lastPrinted>
  <dcterms:modified xsi:type="dcterms:W3CDTF">2025-11-07T05:01:34Z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C734C92AAAF24344A0E4232D8EB3359B</vt:lpwstr>
  </property>
  <property fmtid="{D5CDD505-2E9C-101B-9397-08002B2CF9AE}" pid="4" name="KSOTemplateDocerSaveRecord">
    <vt:lpwstr>eyJoZGlkIjoiMjI3ZTgyMmJlZWE0ZjRiY2QzYzRkMGVkMGI0ZmE3NWUiLCJ1c2VySWQiOiIzNzc2ODcyMjYifQ_x003D__x003D_</vt:lpwstr>
  </property>
</Properties>
</file>