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54EB44">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4410B549">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6CD2569F">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12618625">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7936D30A">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184D9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裕民县武器弹药库2024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350D67E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32DDFC0A">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24C74AB2">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790DE1C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0E87410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3FD0236A">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44600A5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1CF1D63E">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48449A7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FAC794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582906E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6DED0045">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13C673D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18B38CD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631BE53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52B3FCC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CD3244D">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27BB1FB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1BF04EC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4CACFB2C">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6D8B196E">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3D7D1F4D">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6661258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6CC1B8E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7E08957D">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55074E58">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621AE9F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630882F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7F35A2D7">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2FDAB6D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57562D4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1498777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0A38F401">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0A0E33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1382AD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0F19139C">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7AD1A36F">
      <w:r>
        <w:br w:type="page"/>
      </w:r>
    </w:p>
    <w:p w14:paraId="0095EBC2">
      <w:pPr>
        <w:spacing w:line="640" w:lineRule="exact"/>
        <w:jc w:val="center"/>
        <w:outlineLvl w:val="1"/>
      </w:pPr>
      <w:r>
        <w:rPr>
          <w:rFonts w:ascii="黑体" w:hAnsi="黑体" w:eastAsia="黑体"/>
          <w:sz w:val="32"/>
        </w:rPr>
        <w:t>第一部分 单位概况</w:t>
      </w:r>
    </w:p>
    <w:p w14:paraId="2E26EDC5">
      <w:pPr>
        <w:spacing w:line="640" w:lineRule="exact"/>
        <w:ind w:firstLine="640"/>
        <w:jc w:val="both"/>
        <w:outlineLvl w:val="2"/>
      </w:pPr>
      <w:r>
        <w:rPr>
          <w:rFonts w:ascii="黑体" w:hAnsi="黑体" w:eastAsia="黑体"/>
          <w:sz w:val="32"/>
        </w:rPr>
        <w:t>一、主要职能</w:t>
      </w:r>
    </w:p>
    <w:p w14:paraId="5AF832C0">
      <w:pPr>
        <w:spacing w:line="580" w:lineRule="exact"/>
        <w:ind w:firstLine="640"/>
        <w:jc w:val="both"/>
      </w:pPr>
      <w:r>
        <w:rPr>
          <w:rFonts w:ascii="仿宋_GB2312" w:hAnsi="仿宋_GB2312" w:eastAsia="仿宋_GB2312"/>
          <w:sz w:val="32"/>
        </w:rPr>
        <w:t>负责全县的民兵武器装备的管理工作、日常检查保养和安全管理工作，单位负责人在规定时间内对库室装备进行安全检查，并组织人员定期对武器装备进行维护保养，保证武器装备始终处于良好状态。所属人员还要做好武器库的安全保卫工作，安排人员做好值班执勤，确保武器装备的安全平稳。</w:t>
      </w:r>
    </w:p>
    <w:p w14:paraId="2E67A22D">
      <w:pPr>
        <w:spacing w:line="640" w:lineRule="exact"/>
        <w:ind w:firstLine="640"/>
        <w:jc w:val="both"/>
        <w:outlineLvl w:val="2"/>
      </w:pPr>
      <w:r>
        <w:rPr>
          <w:rFonts w:ascii="黑体" w:hAnsi="黑体" w:eastAsia="黑体"/>
          <w:sz w:val="32"/>
        </w:rPr>
        <w:t>二、机构设置及人员情况</w:t>
      </w:r>
    </w:p>
    <w:p w14:paraId="7CA6BB99">
      <w:pPr>
        <w:spacing w:line="580" w:lineRule="exact"/>
        <w:ind w:firstLine="640"/>
        <w:jc w:val="both"/>
      </w:pPr>
      <w:r>
        <w:rPr>
          <w:rFonts w:ascii="仿宋_GB2312" w:hAnsi="仿宋_GB2312" w:eastAsia="仿宋_GB2312"/>
          <w:sz w:val="32"/>
        </w:rPr>
        <w:t>裕民县武器弹药库2024年度，实有人数13人，其中：在职人员5人，减少2人；离休人员0人，增加0人；退休人员8人,增加2人。</w:t>
      </w:r>
    </w:p>
    <w:p w14:paraId="0539AF73">
      <w:pPr>
        <w:spacing w:line="580" w:lineRule="exact"/>
        <w:ind w:firstLine="640"/>
        <w:jc w:val="both"/>
      </w:pPr>
      <w:r>
        <w:rPr>
          <w:rFonts w:ascii="仿宋_GB2312" w:hAnsi="仿宋_GB2312" w:eastAsia="仿宋_GB2312"/>
          <w:sz w:val="32"/>
        </w:rPr>
        <w:t>裕民县武器弹药库无下属预算单位，下设1个科室，分别是：武器库办公室。</w:t>
      </w:r>
    </w:p>
    <w:p w14:paraId="260B6E80">
      <w:r>
        <w:br w:type="page"/>
      </w:r>
    </w:p>
    <w:p w14:paraId="4735CAA0">
      <w:pPr>
        <w:spacing w:line="240" w:lineRule="auto"/>
        <w:jc w:val="center"/>
        <w:outlineLvl w:val="1"/>
      </w:pPr>
      <w:r>
        <w:rPr>
          <w:rFonts w:ascii="黑体" w:hAnsi="黑体" w:eastAsia="黑体"/>
          <w:sz w:val="32"/>
        </w:rPr>
        <w:t>第二部分 部门决算情况说明</w:t>
      </w:r>
    </w:p>
    <w:p w14:paraId="4E096599">
      <w:pPr>
        <w:spacing w:line="640" w:lineRule="exact"/>
        <w:ind w:firstLine="640"/>
        <w:jc w:val="both"/>
        <w:outlineLvl w:val="2"/>
      </w:pPr>
      <w:r>
        <w:rPr>
          <w:rFonts w:ascii="黑体" w:hAnsi="黑体" w:eastAsia="黑体"/>
          <w:sz w:val="32"/>
        </w:rPr>
        <w:t>一、收入支出决算总体情况说明</w:t>
      </w:r>
    </w:p>
    <w:p w14:paraId="717ADCB0">
      <w:pPr>
        <w:spacing w:line="580" w:lineRule="exact"/>
        <w:ind w:firstLine="640"/>
        <w:jc w:val="both"/>
      </w:pPr>
      <w:r>
        <w:rPr>
          <w:rFonts w:ascii="仿宋_GB2312" w:hAnsi="仿宋_GB2312" w:eastAsia="仿宋_GB2312"/>
          <w:b/>
          <w:sz w:val="32"/>
        </w:rPr>
        <w:t>2024年度收入总计141.49万元，</w:t>
      </w:r>
      <w:r>
        <w:rPr>
          <w:rFonts w:ascii="仿宋_GB2312" w:hAnsi="仿宋_GB2312" w:eastAsia="仿宋_GB2312"/>
          <w:b w:val="0"/>
          <w:sz w:val="32"/>
        </w:rPr>
        <w:t>其中：本年收入合计141.49万元，使用非财政拨款结余（含专用结余）0.00万元，年初结转和结余0.00万元。</w:t>
      </w:r>
    </w:p>
    <w:p w14:paraId="4A17E11D">
      <w:pPr>
        <w:spacing w:line="580" w:lineRule="exact"/>
        <w:ind w:firstLine="640"/>
        <w:jc w:val="both"/>
      </w:pPr>
      <w:r>
        <w:rPr>
          <w:rFonts w:ascii="仿宋_GB2312" w:hAnsi="仿宋_GB2312" w:eastAsia="仿宋_GB2312"/>
          <w:b/>
          <w:sz w:val="32"/>
        </w:rPr>
        <w:t>2024年度支出总计141.49万元，</w:t>
      </w:r>
      <w:r>
        <w:rPr>
          <w:rFonts w:ascii="仿宋_GB2312" w:hAnsi="仿宋_GB2312" w:eastAsia="仿宋_GB2312"/>
          <w:b w:val="0"/>
          <w:sz w:val="32"/>
        </w:rPr>
        <w:t>其中：本年支出合计141.49万元，结余分配0.00万元，年末结转和结余0.00万元。</w:t>
      </w:r>
    </w:p>
    <w:p w14:paraId="4AEFC6A7">
      <w:pPr>
        <w:spacing w:line="580" w:lineRule="exact"/>
        <w:ind w:firstLine="640"/>
        <w:jc w:val="both"/>
      </w:pPr>
      <w:r>
        <w:rPr>
          <w:rFonts w:ascii="仿宋_GB2312" w:hAnsi="仿宋_GB2312" w:eastAsia="仿宋_GB2312"/>
          <w:b w:val="0"/>
          <w:sz w:val="32"/>
        </w:rPr>
        <w:t>收入支出总体与上年相比，增加1.00万元，增长0.71%，主要原因是：2024年度退休人员增加2人，职业年金缴费增加。</w:t>
      </w:r>
    </w:p>
    <w:p w14:paraId="4A38054D">
      <w:pPr>
        <w:spacing w:line="640" w:lineRule="exact"/>
        <w:ind w:firstLine="640"/>
        <w:jc w:val="both"/>
        <w:outlineLvl w:val="2"/>
      </w:pPr>
      <w:r>
        <w:rPr>
          <w:rFonts w:ascii="黑体" w:hAnsi="黑体" w:eastAsia="黑体"/>
          <w:sz w:val="32"/>
        </w:rPr>
        <w:t>二、收入决算情况说明</w:t>
      </w:r>
    </w:p>
    <w:p w14:paraId="584E1507">
      <w:pPr>
        <w:spacing w:line="580" w:lineRule="exact"/>
        <w:ind w:firstLine="640"/>
        <w:jc w:val="both"/>
      </w:pPr>
      <w:r>
        <w:rPr>
          <w:rFonts w:ascii="仿宋_GB2312" w:hAnsi="仿宋_GB2312" w:eastAsia="仿宋_GB2312"/>
          <w:b/>
          <w:sz w:val="32"/>
        </w:rPr>
        <w:t>本年收入141.49万元，</w:t>
      </w:r>
      <w:r>
        <w:rPr>
          <w:rFonts w:ascii="仿宋_GB2312" w:hAnsi="仿宋_GB2312" w:eastAsia="仿宋_GB2312"/>
          <w:b w:val="0"/>
          <w:sz w:val="32"/>
        </w:rPr>
        <w:t>其中：财政拨款收入141.49万元，占100.00%；上级补助收入0.00万元，占0.00%；事业收入0.00万元，占0.00%；经营收入0.00万元，占0.00%；附属单位上缴收入0.00万元，占0.00%；其他收入0.00万元，占0.00%。</w:t>
      </w:r>
    </w:p>
    <w:p w14:paraId="34CF4674">
      <w:pPr>
        <w:spacing w:line="640" w:lineRule="exact"/>
        <w:ind w:firstLine="640"/>
        <w:jc w:val="both"/>
        <w:outlineLvl w:val="2"/>
      </w:pPr>
      <w:r>
        <w:rPr>
          <w:rFonts w:ascii="黑体" w:hAnsi="黑体" w:eastAsia="黑体"/>
          <w:sz w:val="32"/>
        </w:rPr>
        <w:t>三、支出决算情况说明</w:t>
      </w:r>
    </w:p>
    <w:p w14:paraId="0B6316EC">
      <w:pPr>
        <w:spacing w:line="580" w:lineRule="exact"/>
        <w:ind w:firstLine="640"/>
        <w:jc w:val="both"/>
      </w:pPr>
      <w:r>
        <w:rPr>
          <w:rFonts w:ascii="仿宋_GB2312" w:hAnsi="仿宋_GB2312" w:eastAsia="仿宋_GB2312"/>
          <w:b/>
          <w:sz w:val="32"/>
        </w:rPr>
        <w:t>本年支出141.49万元，</w:t>
      </w:r>
      <w:r>
        <w:rPr>
          <w:rFonts w:ascii="仿宋_GB2312" w:hAnsi="仿宋_GB2312" w:eastAsia="仿宋_GB2312"/>
          <w:b w:val="0"/>
          <w:sz w:val="32"/>
        </w:rPr>
        <w:t>其中：基本支出105.37万元，占74.47%；项目支出36.12万元，占25.53%；上缴上级支出0.00万元，占0.00%；经营支出0.00万元，占0.00%；对附属单位补助支出0.00万元，占0.00%。</w:t>
      </w:r>
    </w:p>
    <w:p w14:paraId="0BA472F4">
      <w:pPr>
        <w:spacing w:line="640" w:lineRule="exact"/>
        <w:ind w:firstLine="640"/>
        <w:jc w:val="both"/>
        <w:outlineLvl w:val="2"/>
      </w:pPr>
      <w:r>
        <w:rPr>
          <w:rFonts w:ascii="黑体" w:hAnsi="黑体" w:eastAsia="黑体"/>
          <w:sz w:val="32"/>
        </w:rPr>
        <w:t>四、财政拨款收入支出决算总体情况说明</w:t>
      </w:r>
    </w:p>
    <w:p w14:paraId="2AB7EF0D">
      <w:pPr>
        <w:spacing w:line="580" w:lineRule="exact"/>
        <w:ind w:firstLine="640"/>
        <w:jc w:val="both"/>
      </w:pPr>
      <w:r>
        <w:rPr>
          <w:rFonts w:ascii="仿宋_GB2312" w:hAnsi="仿宋_GB2312" w:eastAsia="仿宋_GB2312"/>
          <w:b/>
          <w:sz w:val="32"/>
        </w:rPr>
        <w:t>2024年度财政拨款收入总计141.49万元，</w:t>
      </w:r>
      <w:r>
        <w:rPr>
          <w:rFonts w:ascii="仿宋_GB2312" w:hAnsi="仿宋_GB2312" w:eastAsia="仿宋_GB2312"/>
          <w:b w:val="0"/>
          <w:sz w:val="32"/>
        </w:rPr>
        <w:t>其中：年初财政拨款结转和结余0.00万元，本年财政拨款收入141.49万元。</w:t>
      </w:r>
      <w:r>
        <w:rPr>
          <w:rFonts w:ascii="仿宋_GB2312" w:hAnsi="仿宋_GB2312" w:eastAsia="仿宋_GB2312"/>
          <w:b/>
          <w:sz w:val="32"/>
        </w:rPr>
        <w:t>财政拨款支出总计141.49万元，</w:t>
      </w:r>
      <w:r>
        <w:rPr>
          <w:rFonts w:ascii="仿宋_GB2312" w:hAnsi="仿宋_GB2312" w:eastAsia="仿宋_GB2312"/>
          <w:b w:val="0"/>
          <w:sz w:val="32"/>
        </w:rPr>
        <w:t>其中：年末财政拨款结转和结余0.00万元，本年财政拨款支出141.49万元。</w:t>
      </w:r>
    </w:p>
    <w:p w14:paraId="7D59F314">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增加1.00万元，增长0.71%，主要原因是：2024年度退休人员增加2人，职业年金缴费增加。</w:t>
      </w:r>
      <w:r>
        <w:rPr>
          <w:rFonts w:ascii="仿宋_GB2312" w:hAnsi="仿宋_GB2312" w:eastAsia="仿宋_GB2312"/>
          <w:b/>
          <w:sz w:val="32"/>
        </w:rPr>
        <w:t>与年初预算相比，</w:t>
      </w:r>
      <w:r>
        <w:rPr>
          <w:rFonts w:ascii="仿宋_GB2312" w:hAnsi="仿宋_GB2312" w:eastAsia="仿宋_GB2312"/>
          <w:b w:val="0"/>
          <w:sz w:val="32"/>
        </w:rPr>
        <w:t>年初预算数198.86万元，决算数141.49万元，预决算差异率-28.85%，主要原因是：本年在职人员减少，</w:t>
      </w:r>
      <w:r>
        <w:rPr>
          <w:rFonts w:hint="eastAsia" w:ascii="仿宋_GB2312" w:hAnsi="仿宋_GB2312" w:eastAsia="仿宋_GB2312"/>
          <w:b w:val="0"/>
          <w:sz w:val="32"/>
          <w:lang w:val="en-US" w:eastAsia="zh-CN"/>
        </w:rPr>
        <w:t>年中调减</w:t>
      </w:r>
      <w:r>
        <w:rPr>
          <w:rFonts w:ascii="仿宋_GB2312" w:hAnsi="仿宋_GB2312" w:eastAsia="仿宋_GB2312"/>
          <w:b w:val="0"/>
          <w:sz w:val="32"/>
        </w:rPr>
        <w:t>人员经费；年中调减兵役征集和民兵训练、民兵执勤和联防</w:t>
      </w:r>
      <w:bookmarkStart w:id="0" w:name="_GoBack"/>
      <w:r>
        <w:rPr>
          <w:rFonts w:hint="eastAsia" w:ascii="仿宋_GB2312" w:hAnsi="仿宋_GB2312" w:eastAsia="仿宋_GB2312"/>
          <w:b w:val="0"/>
          <w:sz w:val="32"/>
          <w:lang w:eastAsia="zh-CN"/>
        </w:rPr>
        <w:t>联讯</w:t>
      </w:r>
      <w:bookmarkEnd w:id="0"/>
      <w:r>
        <w:rPr>
          <w:rFonts w:ascii="仿宋_GB2312" w:hAnsi="仿宋_GB2312" w:eastAsia="仿宋_GB2312"/>
          <w:b w:val="0"/>
          <w:sz w:val="32"/>
        </w:rPr>
        <w:t>项目、相应经费减少。</w:t>
      </w:r>
    </w:p>
    <w:p w14:paraId="50211AF5">
      <w:pPr>
        <w:spacing w:line="640" w:lineRule="exact"/>
        <w:ind w:firstLine="640"/>
        <w:jc w:val="both"/>
        <w:outlineLvl w:val="2"/>
      </w:pPr>
      <w:r>
        <w:rPr>
          <w:rFonts w:ascii="黑体" w:hAnsi="黑体" w:eastAsia="黑体"/>
          <w:sz w:val="32"/>
        </w:rPr>
        <w:t>五、一般公共预算财政拨款支出决算情况说明</w:t>
      </w:r>
    </w:p>
    <w:p w14:paraId="32E689F9">
      <w:pPr>
        <w:spacing w:line="640" w:lineRule="exact"/>
        <w:ind w:firstLine="640"/>
        <w:jc w:val="both"/>
        <w:outlineLvl w:val="3"/>
      </w:pPr>
      <w:r>
        <w:rPr>
          <w:rFonts w:ascii="楷体_GB2312" w:hAnsi="楷体_GB2312" w:eastAsia="楷体_GB2312"/>
          <w:b/>
          <w:sz w:val="32"/>
        </w:rPr>
        <w:t>（一）一般公共预算财政拨款支出决算总体情况</w:t>
      </w:r>
    </w:p>
    <w:p w14:paraId="4D762D74">
      <w:pPr>
        <w:spacing w:line="580" w:lineRule="exact"/>
        <w:ind w:firstLine="640"/>
        <w:jc w:val="both"/>
      </w:pPr>
      <w:r>
        <w:rPr>
          <w:rFonts w:ascii="仿宋_GB2312" w:hAnsi="仿宋_GB2312" w:eastAsia="仿宋_GB2312"/>
          <w:b/>
          <w:sz w:val="32"/>
        </w:rPr>
        <w:t>2024年度一般公共预算财政拨款支出141.49万元，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增加1.00万元，增长0.71%，主要原因是：2024年度退休人员增加2人，职业年金缴费增加。</w:t>
      </w:r>
      <w:r>
        <w:rPr>
          <w:rFonts w:ascii="仿宋_GB2312" w:hAnsi="仿宋_GB2312" w:eastAsia="仿宋_GB2312"/>
          <w:b/>
          <w:sz w:val="32"/>
        </w:rPr>
        <w:t>与年初预算相比,</w:t>
      </w:r>
      <w:r>
        <w:rPr>
          <w:rFonts w:ascii="仿宋_GB2312" w:hAnsi="仿宋_GB2312" w:eastAsia="仿宋_GB2312"/>
          <w:b w:val="0"/>
          <w:sz w:val="32"/>
        </w:rPr>
        <w:t>年初预算数198.86万元，决算数141.49万元，预决算差异率-28.85%，主要原因是：年在职人员减少，</w:t>
      </w:r>
      <w:r>
        <w:rPr>
          <w:rFonts w:hint="eastAsia" w:ascii="仿宋_GB2312" w:hAnsi="仿宋_GB2312" w:eastAsia="仿宋_GB2312"/>
          <w:b w:val="0"/>
          <w:sz w:val="32"/>
          <w:lang w:val="en-US" w:eastAsia="zh-CN"/>
        </w:rPr>
        <w:t>年中调减</w:t>
      </w:r>
      <w:r>
        <w:rPr>
          <w:rFonts w:ascii="仿宋_GB2312" w:hAnsi="仿宋_GB2312" w:eastAsia="仿宋_GB2312"/>
          <w:b w:val="0"/>
          <w:sz w:val="32"/>
        </w:rPr>
        <w:t>人员经费；年中调减兵役征集和民兵训练、民兵执勤和联防</w:t>
      </w:r>
      <w:r>
        <w:rPr>
          <w:rFonts w:hint="eastAsia" w:ascii="仿宋_GB2312" w:hAnsi="仿宋_GB2312" w:eastAsia="仿宋_GB2312"/>
          <w:b w:val="0"/>
          <w:sz w:val="32"/>
          <w:lang w:eastAsia="zh-CN"/>
        </w:rPr>
        <w:t>联讯</w:t>
      </w:r>
      <w:r>
        <w:rPr>
          <w:rFonts w:ascii="仿宋_GB2312" w:hAnsi="仿宋_GB2312" w:eastAsia="仿宋_GB2312"/>
          <w:b w:val="0"/>
          <w:sz w:val="32"/>
        </w:rPr>
        <w:t>项目、相应经费减少。</w:t>
      </w:r>
    </w:p>
    <w:p w14:paraId="54F36D9A">
      <w:pPr>
        <w:spacing w:line="640" w:lineRule="exact"/>
        <w:ind w:firstLine="640"/>
        <w:jc w:val="both"/>
        <w:outlineLvl w:val="3"/>
      </w:pPr>
      <w:r>
        <w:rPr>
          <w:rFonts w:ascii="楷体_GB2312" w:hAnsi="楷体_GB2312" w:eastAsia="楷体_GB2312"/>
          <w:b/>
          <w:sz w:val="32"/>
        </w:rPr>
        <w:t>（二）一般公共预算财政拨款支出决算结构情况</w:t>
      </w:r>
    </w:p>
    <w:p w14:paraId="2860ED8D">
      <w:pPr>
        <w:spacing w:line="580" w:lineRule="exact"/>
        <w:ind w:firstLine="640"/>
        <w:jc w:val="both"/>
      </w:pPr>
      <w:r>
        <w:rPr>
          <w:rFonts w:ascii="仿宋_GB2312" w:hAnsi="仿宋_GB2312" w:eastAsia="仿宋_GB2312"/>
          <w:b w:val="0"/>
          <w:sz w:val="32"/>
        </w:rPr>
        <w:t>1.一般公共服务支出(类)70.59万元,占49.89%。</w:t>
      </w:r>
    </w:p>
    <w:p w14:paraId="77F0E037">
      <w:pPr>
        <w:spacing w:line="580" w:lineRule="exact"/>
        <w:ind w:firstLine="640"/>
        <w:jc w:val="both"/>
      </w:pPr>
      <w:r>
        <w:rPr>
          <w:rFonts w:ascii="仿宋_GB2312" w:hAnsi="仿宋_GB2312" w:eastAsia="仿宋_GB2312"/>
          <w:b w:val="0"/>
          <w:sz w:val="32"/>
        </w:rPr>
        <w:t>2.国防支出(类)36.12万元,占25.53%。</w:t>
      </w:r>
    </w:p>
    <w:p w14:paraId="375154F9">
      <w:pPr>
        <w:spacing w:line="580" w:lineRule="exact"/>
        <w:ind w:firstLine="640"/>
        <w:jc w:val="both"/>
      </w:pPr>
      <w:r>
        <w:rPr>
          <w:rFonts w:ascii="仿宋_GB2312" w:hAnsi="仿宋_GB2312" w:eastAsia="仿宋_GB2312"/>
          <w:b w:val="0"/>
          <w:sz w:val="32"/>
        </w:rPr>
        <w:t>3.社会保障和就业支出(类)25.58万元,占18.08%。</w:t>
      </w:r>
    </w:p>
    <w:p w14:paraId="392AC128">
      <w:pPr>
        <w:spacing w:line="580" w:lineRule="exact"/>
        <w:ind w:firstLine="640"/>
        <w:jc w:val="both"/>
      </w:pPr>
      <w:r>
        <w:rPr>
          <w:rFonts w:ascii="仿宋_GB2312" w:hAnsi="仿宋_GB2312" w:eastAsia="仿宋_GB2312"/>
          <w:b w:val="0"/>
          <w:sz w:val="32"/>
        </w:rPr>
        <w:t>4.卫生健康支出(类)3.43万元,占2.42%。</w:t>
      </w:r>
    </w:p>
    <w:p w14:paraId="325B6833">
      <w:pPr>
        <w:spacing w:line="580" w:lineRule="exact"/>
        <w:ind w:firstLine="640"/>
        <w:jc w:val="both"/>
      </w:pPr>
      <w:r>
        <w:rPr>
          <w:rFonts w:ascii="仿宋_GB2312" w:hAnsi="仿宋_GB2312" w:eastAsia="仿宋_GB2312"/>
          <w:b w:val="0"/>
          <w:sz w:val="32"/>
        </w:rPr>
        <w:t>5.住房保障支出(类)5.77万元,占4.08%。</w:t>
      </w:r>
    </w:p>
    <w:p w14:paraId="5DDAFB8B">
      <w:pPr>
        <w:spacing w:line="640" w:lineRule="exact"/>
        <w:ind w:firstLine="640"/>
        <w:jc w:val="both"/>
        <w:outlineLvl w:val="3"/>
      </w:pPr>
      <w:r>
        <w:rPr>
          <w:rFonts w:ascii="楷体_GB2312" w:hAnsi="楷体_GB2312" w:eastAsia="楷体_GB2312"/>
          <w:b/>
          <w:sz w:val="32"/>
        </w:rPr>
        <w:t>（三）一般公共预算财政拨款支出决算具体情况</w:t>
      </w:r>
    </w:p>
    <w:p w14:paraId="1F180D41">
      <w:pPr>
        <w:spacing w:line="580" w:lineRule="exact"/>
        <w:ind w:firstLine="640"/>
        <w:jc w:val="both"/>
      </w:pPr>
      <w:r>
        <w:rPr>
          <w:rFonts w:ascii="仿宋_GB2312" w:hAnsi="仿宋_GB2312" w:eastAsia="仿宋_GB2312"/>
          <w:b w:val="0"/>
          <w:sz w:val="32"/>
        </w:rPr>
        <w:t>1.一般公共服务支出(类)政府办公厅（室）及相关机构事务(款)事业运行(项):支出决算数为70.59万元，比上年决算减少27.13万元，下降27.76%,主要原因是：本年在职人员减少，相应人员经费较上年减少。</w:t>
      </w:r>
    </w:p>
    <w:p w14:paraId="7CBFED35">
      <w:pPr>
        <w:spacing w:line="580" w:lineRule="exact"/>
        <w:ind w:firstLine="640"/>
        <w:jc w:val="both"/>
      </w:pPr>
      <w:r>
        <w:rPr>
          <w:rFonts w:ascii="仿宋_GB2312" w:hAnsi="仿宋_GB2312" w:eastAsia="仿宋_GB2312"/>
          <w:b w:val="0"/>
          <w:sz w:val="32"/>
        </w:rPr>
        <w:t>2.国防支出(类)国防动员(款)兵役征集(项):支出决算数为0.00万元，比上年决算减少1.90万元，下降100.00%,主要原因是：本年减少兵役征集—奖励金。</w:t>
      </w:r>
    </w:p>
    <w:p w14:paraId="74B15599">
      <w:pPr>
        <w:spacing w:line="580" w:lineRule="exact"/>
        <w:ind w:firstLine="640"/>
        <w:jc w:val="both"/>
      </w:pPr>
      <w:r>
        <w:rPr>
          <w:rFonts w:ascii="仿宋_GB2312" w:hAnsi="仿宋_GB2312" w:eastAsia="仿宋_GB2312"/>
          <w:b w:val="0"/>
          <w:sz w:val="32"/>
        </w:rPr>
        <w:t>3.国防支出(类)国防动员(款)民兵(项):支出决算数为36.12万元，比上年决算增加28.26万元，增长359.54%,主要原因是：本年增加2023</w:t>
      </w:r>
      <w:r>
        <w:rPr>
          <w:rFonts w:hint="eastAsia" w:ascii="仿宋_GB2312" w:hAnsi="仿宋_GB2312" w:eastAsia="仿宋_GB2312"/>
          <w:b w:val="0"/>
          <w:sz w:val="32"/>
          <w:lang w:eastAsia="zh-CN"/>
        </w:rPr>
        <w:t>—</w:t>
      </w:r>
      <w:r>
        <w:rPr>
          <w:rFonts w:ascii="仿宋_GB2312" w:hAnsi="仿宋_GB2312" w:eastAsia="仿宋_GB2312"/>
          <w:b w:val="0"/>
          <w:sz w:val="32"/>
        </w:rPr>
        <w:t>2024年作训服项目、相应经费增加。</w:t>
      </w:r>
    </w:p>
    <w:p w14:paraId="0BC55C5F">
      <w:pPr>
        <w:spacing w:line="580" w:lineRule="exact"/>
        <w:ind w:firstLine="640"/>
        <w:jc w:val="both"/>
      </w:pPr>
      <w:r>
        <w:rPr>
          <w:rFonts w:ascii="仿宋_GB2312" w:hAnsi="仿宋_GB2312" w:eastAsia="仿宋_GB2312"/>
          <w:b w:val="0"/>
          <w:sz w:val="32"/>
        </w:rPr>
        <w:t>4.社会保障和就业支出(类)行政事业单位养老支出(款)事业单位离退休(项):支出决算数为5.81万元，比上年决算增加2.50万元，增长75.53%,主要原因是：本年退休人员增加，退休费支出增加。</w:t>
      </w:r>
    </w:p>
    <w:p w14:paraId="55F6E87E">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6.88万元，比上年决算减少3.14万元，下降31.34%,主要原因是：本年在职人员减少，单位基本养老保险缴费较上年减少。</w:t>
      </w:r>
    </w:p>
    <w:p w14:paraId="629C0AF6">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12.88万元，比上年决算增加6.60万元，增长105.10%,主要原因是：本年新增退休人员较上年增加，职业年金缴费支出增加。</w:t>
      </w:r>
    </w:p>
    <w:p w14:paraId="2168A584">
      <w:pPr>
        <w:spacing w:line="580" w:lineRule="exact"/>
        <w:ind w:firstLine="640"/>
        <w:jc w:val="both"/>
      </w:pPr>
      <w:r>
        <w:rPr>
          <w:rFonts w:ascii="仿宋_GB2312" w:hAnsi="仿宋_GB2312" w:eastAsia="仿宋_GB2312"/>
          <w:b w:val="0"/>
          <w:sz w:val="32"/>
        </w:rPr>
        <w:t>7.卫生健康支出(类)行政事业单位医疗(款)事业单位医疗(项):支出决算数为3.16万元，比上年决算减少1.32万元，下降29.46%,主要原因是：本年在职人员减少，事业单位医疗支出较上年减少。</w:t>
      </w:r>
    </w:p>
    <w:p w14:paraId="784FF46F">
      <w:pPr>
        <w:spacing w:line="580" w:lineRule="exact"/>
        <w:ind w:firstLine="640"/>
        <w:jc w:val="both"/>
      </w:pPr>
      <w:r>
        <w:rPr>
          <w:rFonts w:ascii="仿宋_GB2312" w:hAnsi="仿宋_GB2312" w:eastAsia="仿宋_GB2312"/>
          <w:b w:val="0"/>
          <w:sz w:val="32"/>
        </w:rPr>
        <w:t>8.卫生健康支出(类)行政事业单位医疗(款)公务员医疗补助(项):支出决算数为0.28万元，比上年决算减少0.66万元，下降70.21%,主要原因是：本年在职人员减少，公务员医疗补助较上年减少。</w:t>
      </w:r>
    </w:p>
    <w:p w14:paraId="77ADA953">
      <w:pPr>
        <w:spacing w:line="580" w:lineRule="exact"/>
        <w:ind w:firstLine="640"/>
        <w:jc w:val="both"/>
      </w:pPr>
      <w:r>
        <w:rPr>
          <w:rFonts w:ascii="仿宋_GB2312" w:hAnsi="仿宋_GB2312" w:eastAsia="仿宋_GB2312"/>
          <w:b w:val="0"/>
          <w:sz w:val="32"/>
        </w:rPr>
        <w:t>9.住房保障支出(类)住房改革支出(款)住房公积金(项):支出决算数为5.77万元，比上年决算减少2.21万元，下降27.69%,主要原因是：本年在职人员减少，住房公积金缴费较上年减少。</w:t>
      </w:r>
    </w:p>
    <w:p w14:paraId="1DAE2AF2">
      <w:pPr>
        <w:spacing w:line="640" w:lineRule="exact"/>
        <w:ind w:firstLine="640"/>
        <w:jc w:val="both"/>
        <w:outlineLvl w:val="2"/>
      </w:pPr>
      <w:r>
        <w:rPr>
          <w:rFonts w:ascii="黑体" w:hAnsi="黑体" w:eastAsia="黑体"/>
          <w:sz w:val="32"/>
        </w:rPr>
        <w:t>六、一般公共预算财政拨款基本支出决算情况说明</w:t>
      </w:r>
    </w:p>
    <w:p w14:paraId="12BB6CA3">
      <w:pPr>
        <w:spacing w:line="580" w:lineRule="exact"/>
        <w:ind w:firstLine="640"/>
        <w:jc w:val="both"/>
      </w:pPr>
      <w:r>
        <w:rPr>
          <w:rFonts w:ascii="仿宋_GB2312" w:hAnsi="仿宋_GB2312" w:eastAsia="仿宋_GB2312"/>
          <w:b w:val="0"/>
          <w:sz w:val="32"/>
        </w:rPr>
        <w:t>2024年度一般公共预算财政拨款基本支出105.37万元，其中：</w:t>
      </w:r>
      <w:r>
        <w:rPr>
          <w:rFonts w:ascii="仿宋_GB2312" w:hAnsi="仿宋_GB2312" w:eastAsia="仿宋_GB2312"/>
          <w:b/>
          <w:sz w:val="32"/>
        </w:rPr>
        <w:t>人员经费87.72万元，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14:paraId="7101A0BE">
      <w:pPr>
        <w:spacing w:line="580" w:lineRule="exact"/>
        <w:ind w:firstLine="640"/>
        <w:jc w:val="both"/>
      </w:pPr>
      <w:r>
        <w:rPr>
          <w:rFonts w:ascii="仿宋_GB2312" w:hAnsi="仿宋_GB2312" w:eastAsia="仿宋_GB2312"/>
          <w:b/>
          <w:sz w:val="32"/>
        </w:rPr>
        <w:t>公用经费17.65万元，</w:t>
      </w:r>
      <w:r>
        <w:rPr>
          <w:rFonts w:ascii="仿宋_GB2312" w:hAnsi="仿宋_GB2312" w:eastAsia="仿宋_GB2312"/>
          <w:b w:val="0"/>
          <w:sz w:val="32"/>
        </w:rPr>
        <w:t>包括：取暖费。</w:t>
      </w:r>
    </w:p>
    <w:p w14:paraId="53FFF365">
      <w:pPr>
        <w:spacing w:line="640" w:lineRule="exact"/>
        <w:ind w:firstLine="640"/>
        <w:jc w:val="both"/>
        <w:outlineLvl w:val="2"/>
      </w:pPr>
      <w:r>
        <w:rPr>
          <w:rFonts w:ascii="黑体" w:hAnsi="黑体" w:eastAsia="黑体"/>
          <w:sz w:val="32"/>
        </w:rPr>
        <w:t>七、政府性基金预算财政拨款收入支出决算情况说明</w:t>
      </w:r>
    </w:p>
    <w:p w14:paraId="1B72DCC8">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703B7C02">
      <w:pPr>
        <w:spacing w:line="640" w:lineRule="exact"/>
        <w:ind w:firstLine="640"/>
        <w:jc w:val="both"/>
        <w:outlineLvl w:val="2"/>
      </w:pPr>
      <w:r>
        <w:rPr>
          <w:rFonts w:ascii="黑体" w:hAnsi="黑体" w:eastAsia="黑体"/>
          <w:sz w:val="32"/>
        </w:rPr>
        <w:t>八、国有资本经营预算财政拨款收入支出决算情况说明</w:t>
      </w:r>
    </w:p>
    <w:p w14:paraId="0B12735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50DC9F5B">
      <w:pPr>
        <w:spacing w:line="640" w:lineRule="exact"/>
        <w:ind w:firstLine="640"/>
        <w:jc w:val="both"/>
        <w:outlineLvl w:val="2"/>
      </w:pPr>
      <w:r>
        <w:rPr>
          <w:rFonts w:ascii="黑体" w:hAnsi="黑体" w:eastAsia="黑体"/>
          <w:sz w:val="32"/>
        </w:rPr>
        <w:t>九、财政拨款“三公”经费支出决算情况说明</w:t>
      </w:r>
    </w:p>
    <w:p w14:paraId="488CB3B0">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335840C3">
      <w:pPr>
        <w:spacing w:line="580" w:lineRule="exact"/>
        <w:ind w:firstLine="640"/>
        <w:jc w:val="both"/>
      </w:pPr>
      <w:r>
        <w:rPr>
          <w:rFonts w:ascii="仿宋_GB2312" w:hAnsi="仿宋_GB2312" w:eastAsia="仿宋_GB2312"/>
          <w:b/>
          <w:sz w:val="32"/>
        </w:rPr>
        <w:t>具体情况如下：</w:t>
      </w:r>
    </w:p>
    <w:p w14:paraId="25F3ED8E">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9718F47">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w:t>
      </w:r>
      <w:r>
        <w:rPr>
          <w:rFonts w:ascii="仿宋_GB2312" w:hAnsi="仿宋_GB2312" w:eastAsia="仿宋_GB2312"/>
          <w:b w:val="0"/>
          <w:w w:val="97"/>
          <w:sz w:val="32"/>
        </w:rPr>
        <w:t>车辆0辆，与公务用车保有量差异原因是：本单位无固定资产车辆。</w:t>
      </w:r>
    </w:p>
    <w:p w14:paraId="375BC10D">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59BF69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BD3AC55">
      <w:pPr>
        <w:spacing w:line="640" w:lineRule="exact"/>
        <w:ind w:firstLine="640"/>
        <w:jc w:val="both"/>
        <w:outlineLvl w:val="2"/>
      </w:pPr>
      <w:r>
        <w:rPr>
          <w:rFonts w:ascii="黑体" w:hAnsi="黑体" w:eastAsia="黑体"/>
          <w:sz w:val="32"/>
        </w:rPr>
        <w:t>十、其他重要事项的情况说明</w:t>
      </w:r>
    </w:p>
    <w:p w14:paraId="6BFB5DBF">
      <w:pPr>
        <w:spacing w:line="640" w:lineRule="exact"/>
        <w:ind w:firstLine="640"/>
        <w:jc w:val="both"/>
        <w:outlineLvl w:val="3"/>
      </w:pPr>
      <w:r>
        <w:rPr>
          <w:rFonts w:ascii="楷体_GB2312" w:hAnsi="楷体_GB2312" w:eastAsia="楷体_GB2312"/>
          <w:b/>
          <w:sz w:val="32"/>
        </w:rPr>
        <w:t>（一）机关运行经费及公用经费支出情况</w:t>
      </w:r>
    </w:p>
    <w:p w14:paraId="674D125E">
      <w:pPr>
        <w:spacing w:line="580" w:lineRule="exact"/>
        <w:ind w:firstLine="640"/>
        <w:jc w:val="both"/>
      </w:pPr>
      <w:r>
        <w:rPr>
          <w:rFonts w:ascii="仿宋_GB2312" w:hAnsi="仿宋_GB2312" w:eastAsia="仿宋_GB2312"/>
          <w:b w:val="0"/>
          <w:sz w:val="32"/>
        </w:rPr>
        <w:t>2024年度裕民县武器弹药库（事业单位）公用经费支出17.65万元，比上年减少7.86万元，下降30.81%，主要原因是：严控经费支出，厉行节约，减少经费支出。</w:t>
      </w:r>
    </w:p>
    <w:p w14:paraId="12E8BB2B">
      <w:pPr>
        <w:spacing w:line="640" w:lineRule="exact"/>
        <w:ind w:firstLine="640"/>
        <w:jc w:val="both"/>
        <w:outlineLvl w:val="3"/>
      </w:pPr>
      <w:r>
        <w:rPr>
          <w:rFonts w:ascii="楷体_GB2312" w:hAnsi="楷体_GB2312" w:eastAsia="楷体_GB2312"/>
          <w:b/>
          <w:sz w:val="32"/>
        </w:rPr>
        <w:t>（二）政府采购情况</w:t>
      </w:r>
    </w:p>
    <w:p w14:paraId="5D194975">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6C702A45">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AB81F51">
      <w:pPr>
        <w:spacing w:line="640" w:lineRule="exact"/>
        <w:ind w:firstLine="640"/>
        <w:jc w:val="both"/>
        <w:outlineLvl w:val="3"/>
      </w:pPr>
      <w:r>
        <w:rPr>
          <w:rFonts w:ascii="楷体_GB2312" w:hAnsi="楷体_GB2312" w:eastAsia="楷体_GB2312"/>
          <w:b/>
          <w:sz w:val="32"/>
        </w:rPr>
        <w:t>（三）国有资产占用情况说明</w:t>
      </w:r>
    </w:p>
    <w:p w14:paraId="7F42403C">
      <w:pPr>
        <w:spacing w:line="580" w:lineRule="exact"/>
        <w:ind w:firstLine="640"/>
        <w:jc w:val="both"/>
      </w:pPr>
      <w:r>
        <w:rPr>
          <w:rFonts w:ascii="仿宋_GB2312" w:hAnsi="仿宋_GB2312" w:eastAsia="仿宋_GB2312"/>
          <w:b w:val="0"/>
          <w:sz w:val="32"/>
        </w:rPr>
        <w:t>截至2024年12月31日，房屋0.00平方米，价值0.00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7D3CAFC9">
      <w:pPr>
        <w:spacing w:line="640" w:lineRule="exact"/>
        <w:ind w:firstLine="640"/>
        <w:jc w:val="both"/>
        <w:outlineLvl w:val="2"/>
      </w:pPr>
      <w:r>
        <w:rPr>
          <w:rFonts w:ascii="黑体" w:hAnsi="黑体" w:eastAsia="黑体"/>
          <w:sz w:val="32"/>
        </w:rPr>
        <w:t>十一、预算绩效的情况说明</w:t>
      </w:r>
    </w:p>
    <w:p w14:paraId="6BE7855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根据预算绩效管理要求，本单位2024年度预算绩效管理形成整体支出绩效自评表1个，全年预算总额141.49万元，实际执行总额141.49万元；预算绩效评价项目</w:t>
      </w:r>
      <w:r>
        <w:rPr>
          <w:rFonts w:hint="eastAsia" w:ascii="仿宋_GB2312" w:hAnsi="仿宋_GB2312" w:eastAsia="仿宋_GB2312"/>
          <w:b w:val="0"/>
          <w:sz w:val="32"/>
          <w:lang w:val="en-US" w:eastAsia="zh-CN"/>
        </w:rPr>
        <w:t>1</w:t>
      </w:r>
      <w:r>
        <w:rPr>
          <w:rFonts w:ascii="仿宋_GB2312" w:hAnsi="仿宋_GB2312" w:eastAsia="仿宋_GB2312"/>
          <w:b w:val="0"/>
          <w:sz w:val="32"/>
        </w:rPr>
        <w:t>个，全年预算数75.83万元，全年执行数36.12万元。预算绩效管理取得的成效：本单位预算绩效项目自评表不予公开。发现的问题及原因：本单位预算绩效项目自评表不予公开。下一步改进措施：本单位预算绩效项目自评表不予公开。</w:t>
      </w:r>
    </w:p>
    <w:p w14:paraId="1D5C3718">
      <w:r>
        <w:br w:type="page"/>
      </w:r>
    </w:p>
    <w:p w14:paraId="4B58CF92">
      <w:pPr>
        <w:spacing w:line="640" w:lineRule="exact"/>
        <w:ind w:firstLine="640"/>
        <w:jc w:val="both"/>
        <w:outlineLvl w:val="2"/>
      </w:pPr>
      <w:r>
        <w:rPr>
          <w:rFonts w:ascii="黑体" w:hAnsi="黑体" w:eastAsia="黑体"/>
          <w:sz w:val="32"/>
        </w:rPr>
        <w:t>十二、其他需说明的事项</w:t>
      </w:r>
    </w:p>
    <w:p w14:paraId="07B0D2DE">
      <w:pPr>
        <w:spacing w:line="580" w:lineRule="exact"/>
        <w:ind w:firstLine="640"/>
        <w:jc w:val="both"/>
        <w:rPr>
          <w:rFonts w:hint="eastAsia" w:ascii="仿宋_GB2312" w:hAnsi="仿宋_GB2312" w:eastAsia="仿宋_GB2312"/>
          <w:b w:val="0"/>
          <w:sz w:val="32"/>
          <w:lang w:val="en-US" w:eastAsia="zh-CN"/>
        </w:rPr>
      </w:pPr>
      <w:r>
        <w:rPr>
          <w:rFonts w:ascii="仿宋_GB2312" w:hAnsi="仿宋_GB2312" w:eastAsia="仿宋_GB2312"/>
          <w:b w:val="0"/>
          <w:sz w:val="32"/>
        </w:rPr>
        <w:t>本年本单位整体支出绩效自评表</w:t>
      </w:r>
      <w:r>
        <w:rPr>
          <w:rFonts w:hint="eastAsia" w:ascii="仿宋_GB2312" w:hAnsi="仿宋_GB2312" w:eastAsia="仿宋_GB2312"/>
          <w:b w:val="0"/>
          <w:sz w:val="32"/>
          <w:lang w:val="en-US" w:eastAsia="zh-CN"/>
        </w:rPr>
        <w:t>不予公开。</w:t>
      </w:r>
    </w:p>
    <w:p w14:paraId="7A8B3AD3">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本单位2024年度无政府采购支出，授予中小企业合同金额0.00万元。</w:t>
      </w:r>
    </w:p>
    <w:p w14:paraId="37E36982">
      <w:pPr>
        <w:spacing w:line="580" w:lineRule="exact"/>
        <w:ind w:firstLine="640"/>
        <w:jc w:val="both"/>
      </w:pPr>
      <w:r>
        <w:rPr>
          <w:rFonts w:ascii="仿宋_GB2312" w:hAnsi="仿宋_GB2312" w:eastAsia="仿宋_GB2312"/>
          <w:b w:val="0"/>
          <w:sz w:val="32"/>
        </w:rPr>
        <w:t>本年本单位</w:t>
      </w:r>
      <w:r>
        <w:rPr>
          <w:rFonts w:hint="eastAsia" w:ascii="仿宋_GB2312" w:hAnsi="仿宋_GB2312" w:eastAsia="仿宋_GB2312"/>
          <w:b w:val="0"/>
          <w:sz w:val="32"/>
          <w:lang w:val="en-US" w:eastAsia="zh-CN"/>
        </w:rPr>
        <w:t>不予公开</w:t>
      </w:r>
      <w:r>
        <w:rPr>
          <w:rFonts w:ascii="仿宋_GB2312" w:hAnsi="仿宋_GB2312" w:eastAsia="仿宋_GB2312"/>
          <w:b w:val="0"/>
          <w:sz w:val="32"/>
        </w:rPr>
        <w:t>项目1个，全年预算数75.83万元，全年执行数36.12万</w:t>
      </w:r>
      <w:r>
        <w:rPr>
          <w:rFonts w:hint="eastAsia" w:ascii="仿宋_GB2312" w:hAnsi="仿宋_GB2312" w:eastAsia="仿宋_GB2312"/>
          <w:b w:val="0"/>
          <w:sz w:val="32"/>
          <w:lang w:val="en-US" w:eastAsia="zh-CN"/>
        </w:rPr>
        <w:t>元</w:t>
      </w:r>
      <w:r>
        <w:rPr>
          <w:rFonts w:ascii="仿宋_GB2312" w:hAnsi="仿宋_GB2312" w:eastAsia="仿宋_GB2312"/>
          <w:b w:val="0"/>
          <w:sz w:val="32"/>
        </w:rPr>
        <w:t>。</w:t>
      </w:r>
    </w:p>
    <w:p w14:paraId="144A6707">
      <w:r>
        <w:br w:type="page"/>
      </w:r>
    </w:p>
    <w:p w14:paraId="1CEA7648">
      <w:pPr>
        <w:spacing w:line="240" w:lineRule="auto"/>
        <w:jc w:val="center"/>
        <w:outlineLvl w:val="1"/>
      </w:pPr>
      <w:r>
        <w:rPr>
          <w:rFonts w:ascii="黑体" w:hAnsi="黑体" w:eastAsia="黑体"/>
          <w:sz w:val="32"/>
        </w:rPr>
        <w:t>第三部分 专业名词解释</w:t>
      </w:r>
    </w:p>
    <w:p w14:paraId="555D251B">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BD28C8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305955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C51A95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A2338F2">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CC8CE8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5E8ABDA">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57D5F14C">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1D63112">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0608401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15D39144">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77F42C9F">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66BFC21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86E49F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2A746CF">
      <w:r>
        <w:br w:type="page"/>
      </w:r>
    </w:p>
    <w:p w14:paraId="3944F0B2">
      <w:pPr>
        <w:spacing w:line="240" w:lineRule="auto"/>
        <w:jc w:val="center"/>
        <w:outlineLvl w:val="1"/>
      </w:pPr>
      <w:r>
        <w:rPr>
          <w:rFonts w:ascii="黑体" w:hAnsi="黑体" w:eastAsia="黑体"/>
          <w:sz w:val="32"/>
        </w:rPr>
        <w:t>第四部分 部门决算报表（见附表）</w:t>
      </w:r>
    </w:p>
    <w:p w14:paraId="07E383F1">
      <w:pPr>
        <w:spacing w:line="240" w:lineRule="auto"/>
        <w:ind w:firstLine="640"/>
        <w:jc w:val="both"/>
      </w:pPr>
      <w:r>
        <w:rPr>
          <w:rFonts w:ascii="仿宋_GB2312" w:hAnsi="仿宋_GB2312" w:eastAsia="仿宋_GB2312"/>
          <w:b w:val="0"/>
          <w:sz w:val="32"/>
        </w:rPr>
        <w:t>一、《收入支出决算总表》</w:t>
      </w:r>
    </w:p>
    <w:p w14:paraId="6E387B0C">
      <w:pPr>
        <w:spacing w:line="240" w:lineRule="auto"/>
        <w:ind w:firstLine="640"/>
        <w:jc w:val="both"/>
      </w:pPr>
      <w:r>
        <w:rPr>
          <w:rFonts w:ascii="仿宋_GB2312" w:hAnsi="仿宋_GB2312" w:eastAsia="仿宋_GB2312"/>
          <w:b w:val="0"/>
          <w:sz w:val="32"/>
        </w:rPr>
        <w:t>二、《收入决算表》</w:t>
      </w:r>
    </w:p>
    <w:p w14:paraId="52599BB6">
      <w:pPr>
        <w:spacing w:line="240" w:lineRule="auto"/>
        <w:ind w:firstLine="640"/>
        <w:jc w:val="both"/>
      </w:pPr>
      <w:r>
        <w:rPr>
          <w:rFonts w:ascii="仿宋_GB2312" w:hAnsi="仿宋_GB2312" w:eastAsia="仿宋_GB2312"/>
          <w:b w:val="0"/>
          <w:sz w:val="32"/>
        </w:rPr>
        <w:t>三、《支出决算表》</w:t>
      </w:r>
    </w:p>
    <w:p w14:paraId="7B51D555">
      <w:pPr>
        <w:spacing w:line="240" w:lineRule="auto"/>
        <w:ind w:firstLine="640"/>
        <w:jc w:val="both"/>
      </w:pPr>
      <w:r>
        <w:rPr>
          <w:rFonts w:ascii="仿宋_GB2312" w:hAnsi="仿宋_GB2312" w:eastAsia="仿宋_GB2312"/>
          <w:b w:val="0"/>
          <w:sz w:val="32"/>
        </w:rPr>
        <w:t>四、《财政拨款收入支出决算总表》</w:t>
      </w:r>
    </w:p>
    <w:p w14:paraId="442863CB">
      <w:pPr>
        <w:spacing w:line="240" w:lineRule="auto"/>
        <w:ind w:firstLine="640"/>
        <w:jc w:val="both"/>
      </w:pPr>
      <w:r>
        <w:rPr>
          <w:rFonts w:ascii="仿宋_GB2312" w:hAnsi="仿宋_GB2312" w:eastAsia="仿宋_GB2312"/>
          <w:b w:val="0"/>
          <w:sz w:val="32"/>
        </w:rPr>
        <w:t>五、《一般公共预算财政拨款支出决算表》</w:t>
      </w:r>
    </w:p>
    <w:p w14:paraId="6BB46732">
      <w:pPr>
        <w:spacing w:line="240" w:lineRule="auto"/>
        <w:ind w:firstLine="640"/>
        <w:jc w:val="both"/>
      </w:pPr>
      <w:r>
        <w:rPr>
          <w:rFonts w:ascii="仿宋_GB2312" w:hAnsi="仿宋_GB2312" w:eastAsia="仿宋_GB2312"/>
          <w:b w:val="0"/>
          <w:sz w:val="32"/>
        </w:rPr>
        <w:t>六、《一般公共预算财政拨款基本支出决算表》</w:t>
      </w:r>
    </w:p>
    <w:p w14:paraId="05F332DD">
      <w:pPr>
        <w:spacing w:line="240" w:lineRule="auto"/>
        <w:ind w:firstLine="640"/>
        <w:jc w:val="both"/>
      </w:pPr>
      <w:r>
        <w:rPr>
          <w:rFonts w:ascii="仿宋_GB2312" w:hAnsi="仿宋_GB2312" w:eastAsia="仿宋_GB2312"/>
          <w:b w:val="0"/>
          <w:sz w:val="32"/>
        </w:rPr>
        <w:t>七、《政府性基金预算财政拨款收入支出决算表》</w:t>
      </w:r>
    </w:p>
    <w:p w14:paraId="1FA71DC6">
      <w:pPr>
        <w:spacing w:line="240" w:lineRule="auto"/>
        <w:ind w:firstLine="640"/>
        <w:jc w:val="both"/>
      </w:pPr>
      <w:r>
        <w:rPr>
          <w:rFonts w:ascii="仿宋_GB2312" w:hAnsi="仿宋_GB2312" w:eastAsia="仿宋_GB2312"/>
          <w:b w:val="0"/>
          <w:sz w:val="32"/>
        </w:rPr>
        <w:t>八、《国有资本经营预算财政拨款收入支出决算表》</w:t>
      </w:r>
    </w:p>
    <w:p w14:paraId="3AE07608">
      <w:pPr>
        <w:spacing w:line="240" w:lineRule="auto"/>
        <w:ind w:firstLine="640"/>
        <w:jc w:val="both"/>
      </w:pPr>
      <w:r>
        <w:rPr>
          <w:rFonts w:ascii="仿宋_GB2312" w:hAnsi="仿宋_GB2312" w:eastAsia="仿宋_GB2312"/>
          <w:b w:val="0"/>
          <w:sz w:val="32"/>
        </w:rPr>
        <w:t>九、《财政拨款“三公”经费支出决算表》</w:t>
      </w:r>
    </w:p>
    <w:p w14:paraId="2BA7800F">
      <w:pPr>
        <w:spacing w:line="240" w:lineRule="auto"/>
        <w:ind w:firstLine="640"/>
        <w:jc w:val="both"/>
      </w:pPr>
    </w:p>
    <w:p w14:paraId="10D83F0E">
      <w:pPr>
        <w:spacing w:line="240" w:lineRule="auto"/>
        <w:ind w:firstLine="640"/>
        <w:jc w:val="both"/>
      </w:pPr>
    </w:p>
    <w:p w14:paraId="4E970377">
      <w:pPr>
        <w:spacing w:line="240" w:lineRule="auto"/>
        <w:ind w:firstLine="640"/>
        <w:jc w:val="both"/>
      </w:pPr>
    </w:p>
    <w:p w14:paraId="6C955574">
      <w:pPr>
        <w:spacing w:line="240" w:lineRule="auto"/>
        <w:ind w:firstLine="640"/>
        <w:jc w:val="both"/>
      </w:pPr>
    </w:p>
    <w:p w14:paraId="1A8AA024">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73F2103-1B00-4BD8-966C-107FB646406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1D109D3-F1A7-4BD9-8FDA-C63ECD9FD3A6}"/>
  </w:font>
  <w:font w:name="仿宋_GB2312">
    <w:altName w:val="仿宋"/>
    <w:panose1 w:val="02010609030101010101"/>
    <w:charset w:val="86"/>
    <w:family w:val="modern"/>
    <w:pitch w:val="default"/>
    <w:sig w:usb0="00000000" w:usb1="00000000" w:usb2="00000000" w:usb3="00000000" w:csb0="00040000" w:csb1="00000000"/>
    <w:embedRegular r:id="rId3" w:fontKey="{A6011827-7413-43CA-B341-F763EE6D2BF2}"/>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auto"/>
    <w:pitch w:val="default"/>
    <w:sig w:usb0="00000000" w:usb1="00000000" w:usb2="00000000" w:usb3="00000000" w:csb0="00040000" w:csb1="00000000"/>
    <w:embedRegular r:id="rId4" w:fontKey="{0C8F247C-C4FB-4858-B516-559B580EC879}"/>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4FCF8">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BEDF6B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5BEDF6BB">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6AB492E"/>
    <w:rsid w:val="27CE017C"/>
    <w:rsid w:val="27CF2642"/>
    <w:rsid w:val="282459E2"/>
    <w:rsid w:val="29116777"/>
    <w:rsid w:val="2A053397"/>
    <w:rsid w:val="2A444FB1"/>
    <w:rsid w:val="2A6064E2"/>
    <w:rsid w:val="2BEF4D58"/>
    <w:rsid w:val="2C1965E9"/>
    <w:rsid w:val="2D1136DF"/>
    <w:rsid w:val="2DAE0E44"/>
    <w:rsid w:val="2FD27414"/>
    <w:rsid w:val="313F1D52"/>
    <w:rsid w:val="318029AB"/>
    <w:rsid w:val="31C63837"/>
    <w:rsid w:val="326F0A17"/>
    <w:rsid w:val="3277581B"/>
    <w:rsid w:val="38006E2C"/>
    <w:rsid w:val="3914510A"/>
    <w:rsid w:val="3A2B4AD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1d01bfa0-aa51-4868-9626-a534eab3a931</errorID>
      <errorWord>联讯</errorWord>
      <group>L1_Word</group>
      <groupName>字词问题</groupName>
      <ability>L2_Typo</ability>
      <abilityName>字词错误</abilityName>
      <candidateList>
        <item>联训</item>
      </candidateList>
      <explain/>
      <paraID>7D59F314</paraID>
      <start>156</start>
      <end>158</end>
      <status>ignored</status>
      <modifiedWord/>
      <trackRevisions>false</trackRevisions>
    </reviewItem>
    <reviewItem>
      <errorID>fd37a4f6-57ce-47ed-a48d-889a4846863d</errorID>
      <errorWord>联讯</errorWord>
      <group>L1_Word</group>
      <groupName>字词问题</groupName>
      <ability>L2_Typo</ability>
      <abilityName>字词错误</abilityName>
      <candidateList>
        <item>联训</item>
      </candidateList>
      <explain/>
      <paraID>4D762D74</paraID>
      <start>188</start>
      <end>190</end>
      <status>ignored</status>
      <modifiedWord/>
      <trackRevisions>false</trackRevisions>
    </reviewItem>
    <reviewItem>
      <errorID>3473799d-17d1-4549-9171-b192bbf6abce</errorID>
      <errorWord>-</errorWord>
      <group>L1_Punc</group>
      <groupName>标点问题</groupName>
      <ability>L2_Punc</ability>
      <abilityName>标点符号检查</abilityName>
      <candidateList>
        <item>—</item>
      </candidateList>
      <explain>根据国标GB/T 15834-2011《标点符号用法》中的4.13.3.2节，标识相关项目（如时间、地域等）的起止，以及标识数值范围（由阿拉伯数字或汉字数字构成）的起止时，一般用一字线或长浪纹线。如“25～30g”“2011年2月3日—10日”。</explain>
      <paraID>74B15599</paraID>
      <start>76</start>
      <end>77</end>
      <status>modified</status>
      <modifiedWord>—</modifiedWord>
      <trackRevisions>false</trackRevisions>
    </reviewItem>
    <reviewItem>
      <errorID>7e857d92-faea-433b-8721-b2c0837726e1</errorID>
      <errorWord>2月31日</errorWord>
      <group>L1_Sensitive</group>
      <groupName>敏感问题</groupName>
      <ability>L2_UserSensitive</ability>
      <abilityName>自定义敏感词</abilityName>
      <candidateList/>
      <explain>来自自定义敏感词库。</explain>
      <paraID>7F42403C</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5d3430-3051-49e9-9257-28bf3a3a8a74}">
  <ds:schemaRefs/>
</ds:datastoreItem>
</file>

<file path=docProps/app.xml><?xml version="1.0" encoding="utf-8"?>
<Properties xmlns="http://schemas.openxmlformats.org/officeDocument/2006/extended-properties" xmlns:vt="http://schemas.openxmlformats.org/officeDocument/2006/docPropsVTypes">
  <Template>Normal.dotm</Template>
  <Pages>16</Pages>
  <Words>3031</Words>
  <Characters>3563</Characters>
  <Lines>0</Lines>
  <Paragraphs>0</Paragraphs>
  <TotalTime>1</TotalTime>
  <ScaleCrop>false</ScaleCrop>
  <LinksUpToDate>false</LinksUpToDate>
  <CharactersWithSpaces>3571</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2025-11-07T09:40:57Z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