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1D3E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55E07EE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17B1D4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8603DE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E2378B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973C84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C68506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19DF04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0DE490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B89E91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0C6E6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6E3A6E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854B0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96F96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73FCF3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649FF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C8C90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2ED370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44FAE78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29F520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3CE64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4FBD2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9826B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2BAF6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E9C131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B2E114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9E8EA3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21EF5A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6C28A4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16041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0E1BEF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14C2D7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0D1402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94834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847DE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A13DD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6B8DB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382A3F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2CE7B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58629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C93D72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B4F10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4914DF">
      <w:r>
        <w:br w:type="page"/>
      </w:r>
    </w:p>
    <w:p w14:paraId="7D0F3FAD">
      <w:pPr>
        <w:spacing w:line="640" w:lineRule="exact"/>
        <w:jc w:val="center"/>
        <w:outlineLvl w:val="1"/>
      </w:pPr>
      <w:r>
        <w:rPr>
          <w:rFonts w:ascii="黑体" w:hAnsi="黑体" w:eastAsia="黑体"/>
          <w:sz w:val="32"/>
        </w:rPr>
        <w:t>第一部分 单位概况</w:t>
      </w:r>
    </w:p>
    <w:p w14:paraId="6C5F770C">
      <w:pPr>
        <w:spacing w:line="640" w:lineRule="exact"/>
        <w:ind w:firstLine="640"/>
        <w:jc w:val="both"/>
        <w:outlineLvl w:val="2"/>
      </w:pPr>
      <w:r>
        <w:rPr>
          <w:rFonts w:ascii="黑体" w:hAnsi="黑体" w:eastAsia="黑体"/>
          <w:sz w:val="32"/>
        </w:rPr>
        <w:t>一、主要职能</w:t>
      </w:r>
    </w:p>
    <w:p w14:paraId="189A820C">
      <w:pPr>
        <w:spacing w:line="580" w:lineRule="exact"/>
        <w:ind w:firstLine="640"/>
        <w:jc w:val="both"/>
      </w:pPr>
      <w:r>
        <w:rPr>
          <w:rFonts w:ascii="仿宋_GB2312" w:hAnsi="仿宋_GB2312" w:eastAsia="仿宋_GB2312"/>
          <w:sz w:val="32"/>
        </w:rPr>
        <w:t>（1）负责宣传国家文化方针、政策和法令，开展文化科学知识的普及宣传。</w:t>
      </w:r>
    </w:p>
    <w:p w14:paraId="0C16C199">
      <w:pPr>
        <w:spacing w:line="580" w:lineRule="exact"/>
        <w:ind w:firstLine="640"/>
        <w:jc w:val="both"/>
      </w:pPr>
      <w:r>
        <w:rPr>
          <w:rFonts w:ascii="仿宋_GB2312" w:hAnsi="仿宋_GB2312" w:eastAsia="仿宋_GB2312"/>
          <w:sz w:val="32"/>
        </w:rPr>
        <w:t>（2）组织开展健康有益、积极向上、丰富多彩的群众文化系列活动，举办各类艺术展览活动和文化下乡活动。</w:t>
      </w:r>
    </w:p>
    <w:p w14:paraId="0CB13E15">
      <w:pPr>
        <w:spacing w:line="580" w:lineRule="exact"/>
        <w:ind w:firstLine="640"/>
        <w:jc w:val="both"/>
      </w:pPr>
      <w:r>
        <w:rPr>
          <w:rFonts w:ascii="仿宋_GB2312" w:hAnsi="仿宋_GB2312" w:eastAsia="仿宋_GB2312"/>
          <w:sz w:val="32"/>
        </w:rPr>
        <w:t>（3）坚持文艺的</w:t>
      </w:r>
      <w:r>
        <w:rPr>
          <w:rFonts w:hint="eastAsia" w:ascii="仿宋_GB2312" w:hAnsi="仿宋_GB2312" w:eastAsia="仿宋_GB2312"/>
          <w:sz w:val="32"/>
          <w:lang w:eastAsia="zh-CN"/>
        </w:rPr>
        <w:t>“二为”方向和“双百”方针</w:t>
      </w:r>
      <w:r>
        <w:rPr>
          <w:rFonts w:ascii="仿宋_GB2312" w:hAnsi="仿宋_GB2312" w:eastAsia="仿宋_GB2312"/>
          <w:sz w:val="32"/>
        </w:rPr>
        <w:t>，示范性</w:t>
      </w:r>
      <w:r>
        <w:rPr>
          <w:rFonts w:hint="eastAsia" w:ascii="仿宋_GB2312" w:hAnsi="仿宋_GB2312" w:eastAsia="仿宋_GB2312"/>
          <w:sz w:val="32"/>
          <w:lang w:eastAsia="zh-CN"/>
        </w:rPr>
        <w:t>地</w:t>
      </w:r>
      <w:r>
        <w:rPr>
          <w:rFonts w:ascii="仿宋_GB2312" w:hAnsi="仿宋_GB2312" w:eastAsia="仿宋_GB2312"/>
          <w:sz w:val="32"/>
        </w:rPr>
        <w:t>组织、开展群众文体活动辅导、培训文体骨干，辅导、培养、挖掘文艺新人。</w:t>
      </w:r>
    </w:p>
    <w:p w14:paraId="64A47F19">
      <w:pPr>
        <w:spacing w:line="580" w:lineRule="exact"/>
        <w:ind w:firstLine="640"/>
        <w:jc w:val="both"/>
      </w:pPr>
      <w:r>
        <w:rPr>
          <w:rFonts w:ascii="仿宋_GB2312" w:hAnsi="仿宋_GB2312" w:eastAsia="仿宋_GB2312"/>
          <w:sz w:val="32"/>
        </w:rPr>
        <w:t>（4）组织全县业务文艺爱好者积极开展社区、广场、企业、校园、乡村等各种群众文化演出活动。</w:t>
      </w:r>
    </w:p>
    <w:p w14:paraId="65319BC8">
      <w:pPr>
        <w:spacing w:line="580" w:lineRule="exact"/>
        <w:ind w:firstLine="640"/>
        <w:jc w:val="both"/>
      </w:pPr>
      <w:r>
        <w:rPr>
          <w:rFonts w:ascii="仿宋_GB2312" w:hAnsi="仿宋_GB2312" w:eastAsia="仿宋_GB2312"/>
          <w:sz w:val="32"/>
        </w:rPr>
        <w:t>（5）组织音乐、舞蹈、美术、书法、小品、摄影等各种群众文化艺术门类的创作；创作贴近实际、贴近群众、贴近生活的优秀文艺作品，使文化馆成为吸引并满足群众求知、求乐、求美的文化艺术活动中心。</w:t>
      </w:r>
    </w:p>
    <w:p w14:paraId="45ACEB7B">
      <w:pPr>
        <w:spacing w:line="580" w:lineRule="exact"/>
        <w:ind w:firstLine="640"/>
        <w:jc w:val="both"/>
      </w:pPr>
      <w:r>
        <w:rPr>
          <w:rFonts w:ascii="仿宋_GB2312" w:hAnsi="仿宋_GB2312" w:eastAsia="仿宋_GB2312"/>
          <w:sz w:val="32"/>
        </w:rPr>
        <w:t>（6）指导乡镇文化站和各基层业务文化组织开展相关业务。</w:t>
      </w:r>
    </w:p>
    <w:p w14:paraId="5F6E337B">
      <w:pPr>
        <w:spacing w:line="580" w:lineRule="exact"/>
        <w:ind w:firstLine="640"/>
        <w:jc w:val="both"/>
      </w:pPr>
      <w:r>
        <w:rPr>
          <w:rFonts w:ascii="仿宋_GB2312" w:hAnsi="仿宋_GB2312" w:eastAsia="仿宋_GB2312"/>
          <w:sz w:val="32"/>
        </w:rPr>
        <w:t>（7）承办县委、县政府和上级主管部门交办的其他事项。</w:t>
      </w:r>
    </w:p>
    <w:p w14:paraId="5AF886F4">
      <w:pPr>
        <w:spacing w:line="580" w:lineRule="exact"/>
        <w:ind w:firstLine="640"/>
        <w:jc w:val="both"/>
      </w:pPr>
      <w:r>
        <w:rPr>
          <w:rFonts w:ascii="仿宋_GB2312" w:hAnsi="仿宋_GB2312" w:eastAsia="仿宋_GB2312"/>
          <w:sz w:val="32"/>
        </w:rPr>
        <w:t>（8）负责非物质文化遗产保护和研究。推动非物质文化遗产的保护、传承、普及、弘扬和振兴。</w:t>
      </w:r>
    </w:p>
    <w:p w14:paraId="5D5BBA1F">
      <w:pPr>
        <w:spacing w:line="580" w:lineRule="exact"/>
        <w:ind w:firstLine="640"/>
        <w:jc w:val="both"/>
      </w:pPr>
      <w:r>
        <w:rPr>
          <w:rFonts w:ascii="仿宋_GB2312" w:hAnsi="仿宋_GB2312" w:eastAsia="仿宋_GB2312"/>
          <w:sz w:val="32"/>
        </w:rPr>
        <w:t>（9）承办主管部门交办的其他事项。</w:t>
      </w:r>
    </w:p>
    <w:p w14:paraId="42E82A4C">
      <w:pPr>
        <w:spacing w:line="640" w:lineRule="exact"/>
        <w:ind w:firstLine="640"/>
        <w:jc w:val="both"/>
        <w:outlineLvl w:val="2"/>
      </w:pPr>
      <w:r>
        <w:rPr>
          <w:rFonts w:ascii="黑体" w:hAnsi="黑体" w:eastAsia="黑体"/>
          <w:sz w:val="32"/>
        </w:rPr>
        <w:t>二、机构设置及人员情况</w:t>
      </w:r>
    </w:p>
    <w:p w14:paraId="466FCA42">
      <w:pPr>
        <w:spacing w:line="580" w:lineRule="exact"/>
        <w:ind w:firstLine="640"/>
        <w:jc w:val="both"/>
      </w:pPr>
      <w:r>
        <w:rPr>
          <w:rFonts w:ascii="仿宋_GB2312" w:hAnsi="仿宋_GB2312" w:eastAsia="仿宋_GB2312"/>
          <w:sz w:val="32"/>
        </w:rPr>
        <w:t>裕民县文化馆2024年度，实有人数39人，其中：在职人员16人，增加0人；离休人员0人，增加0人；退休人员23人,增加1人。</w:t>
      </w:r>
    </w:p>
    <w:p w14:paraId="44725503">
      <w:pPr>
        <w:spacing w:line="580" w:lineRule="exact"/>
        <w:ind w:firstLine="640"/>
        <w:jc w:val="both"/>
      </w:pPr>
      <w:r>
        <w:rPr>
          <w:rFonts w:ascii="仿宋_GB2312" w:hAnsi="仿宋_GB2312" w:eastAsia="仿宋_GB2312"/>
          <w:sz w:val="32"/>
        </w:rPr>
        <w:t>裕民县文化馆无下属预算单位，下设6个科室，分别是：办公室、财务室、录音室、美术室、舞蹈室、音乐室。</w:t>
      </w:r>
    </w:p>
    <w:p w14:paraId="548F5D32">
      <w:r>
        <w:br w:type="page"/>
      </w:r>
    </w:p>
    <w:p w14:paraId="000ECD44">
      <w:pPr>
        <w:spacing w:line="240" w:lineRule="auto"/>
        <w:jc w:val="center"/>
        <w:outlineLvl w:val="1"/>
      </w:pPr>
      <w:r>
        <w:rPr>
          <w:rFonts w:ascii="黑体" w:hAnsi="黑体" w:eastAsia="黑体"/>
          <w:sz w:val="32"/>
        </w:rPr>
        <w:t>第二部分 部门决算情况说明</w:t>
      </w:r>
    </w:p>
    <w:p w14:paraId="31C0F642">
      <w:pPr>
        <w:spacing w:line="640" w:lineRule="exact"/>
        <w:ind w:firstLine="640"/>
        <w:jc w:val="both"/>
        <w:outlineLvl w:val="2"/>
      </w:pPr>
      <w:r>
        <w:rPr>
          <w:rFonts w:ascii="黑体" w:hAnsi="黑体" w:eastAsia="黑体"/>
          <w:sz w:val="32"/>
        </w:rPr>
        <w:t>一、收入支出决算总体情况说明</w:t>
      </w:r>
    </w:p>
    <w:p w14:paraId="759A2B3C">
      <w:pPr>
        <w:spacing w:line="580" w:lineRule="exact"/>
        <w:ind w:firstLine="640"/>
        <w:jc w:val="both"/>
      </w:pPr>
      <w:r>
        <w:rPr>
          <w:rFonts w:ascii="仿宋_GB2312" w:hAnsi="仿宋_GB2312" w:eastAsia="仿宋_GB2312"/>
          <w:b/>
          <w:sz w:val="32"/>
        </w:rPr>
        <w:t>2024年度收入总计353.97万元，</w:t>
      </w:r>
      <w:r>
        <w:rPr>
          <w:rFonts w:ascii="仿宋_GB2312" w:hAnsi="仿宋_GB2312" w:eastAsia="仿宋_GB2312"/>
          <w:b w:val="0"/>
          <w:sz w:val="32"/>
        </w:rPr>
        <w:t>其中：本年收入合计353.97万元，使用非财政拨款结余（含专用结余）0.00万元，年初结转和结余0.00万元。</w:t>
      </w:r>
    </w:p>
    <w:p w14:paraId="48AD4E27">
      <w:pPr>
        <w:spacing w:line="580" w:lineRule="exact"/>
        <w:ind w:firstLine="640"/>
        <w:jc w:val="both"/>
      </w:pPr>
      <w:r>
        <w:rPr>
          <w:rFonts w:ascii="仿宋_GB2312" w:hAnsi="仿宋_GB2312" w:eastAsia="仿宋_GB2312"/>
          <w:b/>
          <w:sz w:val="32"/>
        </w:rPr>
        <w:t>2024年度支出总计353.97万元，</w:t>
      </w:r>
      <w:r>
        <w:rPr>
          <w:rFonts w:ascii="仿宋_GB2312" w:hAnsi="仿宋_GB2312" w:eastAsia="仿宋_GB2312"/>
          <w:b w:val="0"/>
          <w:sz w:val="32"/>
        </w:rPr>
        <w:t>其中：本年支出合计353.97万元，结余分配0.00万元，年末结转和结余0.00万元。</w:t>
      </w:r>
    </w:p>
    <w:p w14:paraId="3D257ABF">
      <w:pPr>
        <w:spacing w:line="580" w:lineRule="exact"/>
        <w:ind w:firstLine="640"/>
        <w:jc w:val="both"/>
      </w:pPr>
      <w:r>
        <w:rPr>
          <w:rFonts w:ascii="仿宋_GB2312" w:hAnsi="仿宋_GB2312" w:eastAsia="仿宋_GB2312"/>
          <w:b w:val="0"/>
          <w:sz w:val="32"/>
        </w:rPr>
        <w:t>收入支出总体与上年相比，增加23.25万元，增长7.03%，主要原因是：本年在职人员工资调增，社保、公积金基数调增，人员经费增加；新增中华优秀传统文化宣传推广项目。</w:t>
      </w:r>
    </w:p>
    <w:p w14:paraId="70567CCA">
      <w:pPr>
        <w:spacing w:line="640" w:lineRule="exact"/>
        <w:ind w:firstLine="640"/>
        <w:jc w:val="both"/>
        <w:outlineLvl w:val="2"/>
      </w:pPr>
      <w:r>
        <w:rPr>
          <w:rFonts w:ascii="黑体" w:hAnsi="黑体" w:eastAsia="黑体"/>
          <w:sz w:val="32"/>
        </w:rPr>
        <w:t>二、收入决算情况说明</w:t>
      </w:r>
    </w:p>
    <w:p w14:paraId="7010142B">
      <w:pPr>
        <w:spacing w:line="580" w:lineRule="exact"/>
        <w:ind w:firstLine="640"/>
        <w:jc w:val="both"/>
      </w:pPr>
      <w:r>
        <w:rPr>
          <w:rFonts w:ascii="仿宋_GB2312" w:hAnsi="仿宋_GB2312" w:eastAsia="仿宋_GB2312"/>
          <w:b/>
          <w:sz w:val="32"/>
        </w:rPr>
        <w:t>本年收入353.97万元，</w:t>
      </w:r>
      <w:r>
        <w:rPr>
          <w:rFonts w:ascii="仿宋_GB2312" w:hAnsi="仿宋_GB2312" w:eastAsia="仿宋_GB2312"/>
          <w:b w:val="0"/>
          <w:sz w:val="32"/>
        </w:rPr>
        <w:t>其中：财政拨款收入353.97万元，占100.00%；上级补助收入0.00万元，占0.00%；事业收入0.00万元，占0.00%；经营收入0.00万元，占0.00%；附属单位上缴收入0.00万元，占0.00%；其他收入0.00万元，占0.00%。</w:t>
      </w:r>
    </w:p>
    <w:p w14:paraId="7E1B7359">
      <w:pPr>
        <w:spacing w:line="640" w:lineRule="exact"/>
        <w:ind w:firstLine="640"/>
        <w:jc w:val="both"/>
        <w:outlineLvl w:val="2"/>
      </w:pPr>
      <w:r>
        <w:rPr>
          <w:rFonts w:ascii="黑体" w:hAnsi="黑体" w:eastAsia="黑体"/>
          <w:sz w:val="32"/>
        </w:rPr>
        <w:t>三、支出决算情况说明</w:t>
      </w:r>
    </w:p>
    <w:p w14:paraId="447B9513">
      <w:pPr>
        <w:spacing w:line="580" w:lineRule="exact"/>
        <w:ind w:firstLine="640"/>
        <w:jc w:val="both"/>
      </w:pPr>
      <w:r>
        <w:rPr>
          <w:rFonts w:ascii="仿宋_GB2312" w:hAnsi="仿宋_GB2312" w:eastAsia="仿宋_GB2312"/>
          <w:b/>
          <w:sz w:val="32"/>
        </w:rPr>
        <w:t>本年支出353.97万元，</w:t>
      </w:r>
      <w:r>
        <w:rPr>
          <w:rFonts w:ascii="仿宋_GB2312" w:hAnsi="仿宋_GB2312" w:eastAsia="仿宋_GB2312"/>
          <w:b w:val="0"/>
          <w:sz w:val="32"/>
        </w:rPr>
        <w:t>其中：基本支出308.97万元，占87.29%；项目支出45.00万元，占12.71%；上缴上级支出0.00万元，占0.00%；经营支出0.00万元，占0.00%；对附属单位补助支出0.00万元，占0.00%。</w:t>
      </w:r>
    </w:p>
    <w:p w14:paraId="471DBB17">
      <w:pPr>
        <w:spacing w:line="640" w:lineRule="exact"/>
        <w:ind w:firstLine="640"/>
        <w:jc w:val="both"/>
        <w:outlineLvl w:val="2"/>
      </w:pPr>
      <w:r>
        <w:rPr>
          <w:rFonts w:ascii="黑体" w:hAnsi="黑体" w:eastAsia="黑体"/>
          <w:sz w:val="32"/>
        </w:rPr>
        <w:t>四、财政拨款收入支出决算总体情况说明</w:t>
      </w:r>
    </w:p>
    <w:p w14:paraId="191D53C8">
      <w:pPr>
        <w:spacing w:line="580" w:lineRule="exact"/>
        <w:ind w:firstLine="640"/>
        <w:jc w:val="both"/>
      </w:pPr>
      <w:r>
        <w:rPr>
          <w:rFonts w:ascii="仿宋_GB2312" w:hAnsi="仿宋_GB2312" w:eastAsia="仿宋_GB2312"/>
          <w:b/>
          <w:sz w:val="32"/>
        </w:rPr>
        <w:t>2024年度财政拨款收入总计353.97万元，</w:t>
      </w:r>
      <w:r>
        <w:rPr>
          <w:rFonts w:ascii="仿宋_GB2312" w:hAnsi="仿宋_GB2312" w:eastAsia="仿宋_GB2312"/>
          <w:b w:val="0"/>
          <w:sz w:val="32"/>
        </w:rPr>
        <w:t>其中：年初财政拨款结转和结余0.00万元，本年财政拨款收入353.97万元。</w:t>
      </w:r>
      <w:r>
        <w:rPr>
          <w:rFonts w:ascii="仿宋_GB2312" w:hAnsi="仿宋_GB2312" w:eastAsia="仿宋_GB2312"/>
          <w:b/>
          <w:sz w:val="32"/>
        </w:rPr>
        <w:t>财政拨款支出总计353.97万元，</w:t>
      </w:r>
      <w:r>
        <w:rPr>
          <w:rFonts w:ascii="仿宋_GB2312" w:hAnsi="仿宋_GB2312" w:eastAsia="仿宋_GB2312"/>
          <w:b w:val="0"/>
          <w:sz w:val="32"/>
        </w:rPr>
        <w:t>其中：年末财政拨款结转和结余0.00万元，本年财政拨款支出353.97万元。</w:t>
      </w:r>
    </w:p>
    <w:p w14:paraId="4C67D03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增加23.25万元，增长7.03%，主要原因是：本年在职人员工资调增，社保、公积金基数调增，人员经费增加；新增中华优秀传统文化宣传推广项目。</w:t>
      </w:r>
      <w:r>
        <w:rPr>
          <w:rFonts w:ascii="仿宋_GB2312" w:hAnsi="仿宋_GB2312" w:eastAsia="仿宋_GB2312"/>
          <w:b/>
          <w:sz w:val="32"/>
        </w:rPr>
        <w:t>与年初预算相比，</w:t>
      </w:r>
      <w:r>
        <w:rPr>
          <w:rFonts w:ascii="仿宋_GB2312" w:hAnsi="仿宋_GB2312" w:eastAsia="仿宋_GB2312"/>
          <w:b w:val="0"/>
          <w:sz w:val="32"/>
        </w:rPr>
        <w:t>年初预算数339.95万元，决算数353.97万元，预决算差异率4.12%，主要原因是：年中追加人员工资、社保、公积金基数调增部分资金及中华优秀传统文化宣传推广项目，导致预决算存在差异。</w:t>
      </w:r>
    </w:p>
    <w:p w14:paraId="65B262C4">
      <w:pPr>
        <w:spacing w:line="640" w:lineRule="exact"/>
        <w:ind w:firstLine="640"/>
        <w:jc w:val="both"/>
        <w:outlineLvl w:val="2"/>
      </w:pPr>
      <w:r>
        <w:rPr>
          <w:rFonts w:ascii="黑体" w:hAnsi="黑体" w:eastAsia="黑体"/>
          <w:sz w:val="32"/>
        </w:rPr>
        <w:t>五、一般公共预算财政拨款支出决算情况说明</w:t>
      </w:r>
    </w:p>
    <w:p w14:paraId="29210560">
      <w:pPr>
        <w:spacing w:line="640" w:lineRule="exact"/>
        <w:ind w:firstLine="640"/>
        <w:jc w:val="both"/>
        <w:outlineLvl w:val="3"/>
      </w:pPr>
      <w:r>
        <w:rPr>
          <w:rFonts w:ascii="楷体_GB2312" w:hAnsi="楷体_GB2312" w:eastAsia="楷体_GB2312"/>
          <w:b/>
          <w:sz w:val="32"/>
        </w:rPr>
        <w:t>（一）一般公共预算财政拨款支出决算总体情况</w:t>
      </w:r>
    </w:p>
    <w:p w14:paraId="066F545D">
      <w:pPr>
        <w:spacing w:line="580" w:lineRule="exact"/>
        <w:ind w:firstLine="640"/>
        <w:jc w:val="both"/>
      </w:pPr>
      <w:r>
        <w:rPr>
          <w:rFonts w:ascii="仿宋_GB2312" w:hAnsi="仿宋_GB2312" w:eastAsia="仿宋_GB2312"/>
          <w:b/>
          <w:sz w:val="32"/>
        </w:rPr>
        <w:t>2024年度一般公共预算财政拨款支出353.97万元，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增加23.25万元，增长7.03%，主要原因是：本年在职人员工资调增，社保、公积金基数调增，人员经费增加；新增中华优秀传统文化宣传推广项目。</w:t>
      </w:r>
      <w:r>
        <w:rPr>
          <w:rFonts w:ascii="仿宋_GB2312" w:hAnsi="仿宋_GB2312" w:eastAsia="仿宋_GB2312"/>
          <w:b/>
          <w:sz w:val="32"/>
        </w:rPr>
        <w:t>与年初预算相比,</w:t>
      </w:r>
      <w:r>
        <w:rPr>
          <w:rFonts w:ascii="仿宋_GB2312" w:hAnsi="仿宋_GB2312" w:eastAsia="仿宋_GB2312"/>
          <w:b w:val="0"/>
          <w:sz w:val="32"/>
        </w:rPr>
        <w:t>年初预算数339.95万元，决算数353.97万元，预决算差异率4.12%，主要原因是：年中追加人员工资、社保、公积金基数调增部分资金及中华优秀传统文化宣传推广项目，导致预决算存在差异。</w:t>
      </w:r>
    </w:p>
    <w:p w14:paraId="73E82AFC">
      <w:pPr>
        <w:spacing w:line="640" w:lineRule="exact"/>
        <w:ind w:firstLine="640"/>
        <w:jc w:val="both"/>
        <w:outlineLvl w:val="3"/>
      </w:pPr>
      <w:r>
        <w:rPr>
          <w:rFonts w:ascii="楷体_GB2312" w:hAnsi="楷体_GB2312" w:eastAsia="楷体_GB2312"/>
          <w:b/>
          <w:sz w:val="32"/>
        </w:rPr>
        <w:t>（二）一般公共预算财政拨款支出决算结构情况</w:t>
      </w:r>
    </w:p>
    <w:p w14:paraId="7AD90D3B">
      <w:pPr>
        <w:spacing w:line="580" w:lineRule="exact"/>
        <w:ind w:firstLine="640"/>
        <w:jc w:val="both"/>
      </w:pPr>
      <w:r>
        <w:rPr>
          <w:rFonts w:ascii="仿宋_GB2312" w:hAnsi="仿宋_GB2312" w:eastAsia="仿宋_GB2312"/>
          <w:b w:val="0"/>
          <w:sz w:val="32"/>
        </w:rPr>
        <w:t>1.科学技术支出(类)6.02万元,占1.70%。</w:t>
      </w:r>
    </w:p>
    <w:p w14:paraId="038630D9">
      <w:pPr>
        <w:spacing w:line="580" w:lineRule="exact"/>
        <w:ind w:firstLine="640"/>
        <w:jc w:val="both"/>
      </w:pPr>
      <w:r>
        <w:rPr>
          <w:rFonts w:ascii="仿宋_GB2312" w:hAnsi="仿宋_GB2312" w:eastAsia="仿宋_GB2312"/>
          <w:b w:val="0"/>
          <w:sz w:val="32"/>
        </w:rPr>
        <w:t>2.文化旅游体育与传媒支出(类)264.86万元,占74.83%。</w:t>
      </w:r>
    </w:p>
    <w:p w14:paraId="6EB2756B">
      <w:pPr>
        <w:spacing w:line="580" w:lineRule="exact"/>
        <w:ind w:firstLine="640"/>
        <w:jc w:val="both"/>
      </w:pPr>
      <w:r>
        <w:rPr>
          <w:rFonts w:ascii="仿宋_GB2312" w:hAnsi="仿宋_GB2312" w:eastAsia="仿宋_GB2312"/>
          <w:b w:val="0"/>
          <w:sz w:val="32"/>
        </w:rPr>
        <w:t>3.社会保障和就业支出(类)50.37万元,占14.23%。</w:t>
      </w:r>
    </w:p>
    <w:p w14:paraId="46A126B4">
      <w:pPr>
        <w:spacing w:line="580" w:lineRule="exact"/>
        <w:ind w:firstLine="640"/>
        <w:jc w:val="both"/>
      </w:pPr>
      <w:r>
        <w:rPr>
          <w:rFonts w:ascii="仿宋_GB2312" w:hAnsi="仿宋_GB2312" w:eastAsia="仿宋_GB2312"/>
          <w:b w:val="0"/>
          <w:sz w:val="32"/>
        </w:rPr>
        <w:t>4.卫生健康支出(类)11.35万元,占3.21%。</w:t>
      </w:r>
    </w:p>
    <w:p w14:paraId="05234A8C">
      <w:pPr>
        <w:spacing w:line="580" w:lineRule="exact"/>
        <w:ind w:firstLine="640"/>
        <w:jc w:val="both"/>
      </w:pPr>
      <w:r>
        <w:rPr>
          <w:rFonts w:ascii="仿宋_GB2312" w:hAnsi="仿宋_GB2312" w:eastAsia="仿宋_GB2312"/>
          <w:b w:val="0"/>
          <w:sz w:val="32"/>
        </w:rPr>
        <w:t>5.住房保障支出(类)21.36万元,占6.03%。</w:t>
      </w:r>
    </w:p>
    <w:p w14:paraId="740DB98A">
      <w:pPr>
        <w:spacing w:line="640" w:lineRule="exact"/>
        <w:ind w:firstLine="640"/>
        <w:jc w:val="both"/>
        <w:outlineLvl w:val="3"/>
      </w:pPr>
      <w:r>
        <w:rPr>
          <w:rFonts w:ascii="楷体_GB2312" w:hAnsi="楷体_GB2312" w:eastAsia="楷体_GB2312"/>
          <w:b/>
          <w:sz w:val="32"/>
        </w:rPr>
        <w:t>（三）一般公共预算财政拨款支出决算具体情况</w:t>
      </w:r>
    </w:p>
    <w:p w14:paraId="1C1DE5A5">
      <w:pPr>
        <w:spacing w:line="580" w:lineRule="exact"/>
        <w:ind w:firstLine="640"/>
        <w:jc w:val="both"/>
      </w:pPr>
      <w:r>
        <w:rPr>
          <w:rFonts w:ascii="仿宋_GB2312" w:hAnsi="仿宋_GB2312" w:eastAsia="仿宋_GB2312"/>
          <w:b w:val="0"/>
          <w:sz w:val="32"/>
        </w:rPr>
        <w:t>1.科学技术支出(类)科学技术管理事务(款)其他科学技术管理事务支出(项):支出决算数为6.02万元，比上年决算减少1.76万元，下降22.62%,主要原因是：本年县财聘人员减少，人员经费减少。</w:t>
      </w:r>
    </w:p>
    <w:p w14:paraId="3D6D472E">
      <w:pPr>
        <w:spacing w:line="580" w:lineRule="exact"/>
        <w:ind w:firstLine="640"/>
        <w:jc w:val="both"/>
      </w:pPr>
      <w:r>
        <w:rPr>
          <w:rFonts w:ascii="仿宋_GB2312" w:hAnsi="仿宋_GB2312" w:eastAsia="仿宋_GB2312"/>
          <w:b w:val="0"/>
          <w:sz w:val="32"/>
        </w:rPr>
        <w:t>2.文化旅游体育与传媒支出(类)文化和旅游(款)群众文化(项):支出决算数为219.86万元，比上年决算增加24.38万元，增长12.47%,主要原因是：本年在职人员工资调增，人员经费增加。</w:t>
      </w:r>
    </w:p>
    <w:p w14:paraId="3187B98B">
      <w:pPr>
        <w:spacing w:line="580" w:lineRule="exact"/>
        <w:ind w:firstLine="640"/>
        <w:jc w:val="both"/>
      </w:pPr>
      <w:r>
        <w:rPr>
          <w:rFonts w:ascii="仿宋_GB2312" w:hAnsi="仿宋_GB2312" w:eastAsia="仿宋_GB2312"/>
          <w:b w:val="0"/>
          <w:sz w:val="32"/>
        </w:rPr>
        <w:t>3.文化旅游体育与传媒支出(类)文化和旅游(款)文化创作与保护(项):支出决算数为0.00万元，比上年决算减少10.00万元，下降100.00%,主要原因是：本年减少自治区非物质文化遗产保护经费。</w:t>
      </w:r>
    </w:p>
    <w:p w14:paraId="071A9EAE">
      <w:pPr>
        <w:spacing w:line="580" w:lineRule="exact"/>
        <w:ind w:firstLine="640"/>
        <w:jc w:val="both"/>
      </w:pPr>
      <w:r>
        <w:rPr>
          <w:rFonts w:ascii="仿宋_GB2312" w:hAnsi="仿宋_GB2312" w:eastAsia="仿宋_GB2312"/>
          <w:b w:val="0"/>
          <w:sz w:val="32"/>
        </w:rPr>
        <w:t>4.文化旅游体育与传媒支出(类)文化和旅游(款)其他文化和旅游支出(项):支出决算数为32.00万元，比上年决算增加0.00万元，增长0.00%,主要原因是：本年文化馆免费开放资金与上年一致，无变化。</w:t>
      </w:r>
    </w:p>
    <w:p w14:paraId="51807253">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13.00万元，比上年决算增加5.00万元，增长62.50%,主要原因是：本年增加中华优秀传统文化宣传推广项目。</w:t>
      </w:r>
    </w:p>
    <w:p w14:paraId="62F5EEE4">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16.41万元，比上年决算增加3.93万元，增长31.49%,主要原因是：本年退休人员增加，增加退休人员基础绩效奖，退休费支出增加。</w:t>
      </w:r>
    </w:p>
    <w:p w14:paraId="4CD7EF3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26.85万元，比上年决算增加3.66万元，增长15.78%,主要原因是：本年在职人员工资基数调增，养老缴费基数上涨，相应支出增加。</w:t>
      </w:r>
    </w:p>
    <w:p w14:paraId="6584393D">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8.社会保障和就业支出(类)行政事业单位养老支出(款)机关事业单位职业年金缴费支出(项):支出决算数为7.11万元，比上年决算减少6.17万元，下降46.46%,主要原因是：本年</w:t>
      </w:r>
      <w:r>
        <w:rPr>
          <w:rFonts w:hint="eastAsia" w:ascii="仿宋_GB2312" w:hAnsi="仿宋_GB2312" w:eastAsia="仿宋_GB2312"/>
          <w:b w:val="0"/>
          <w:sz w:val="32"/>
          <w:lang w:val="en-US" w:eastAsia="zh-CN"/>
        </w:rPr>
        <w:t>新增</w:t>
      </w:r>
      <w:r>
        <w:rPr>
          <w:rFonts w:ascii="仿宋_GB2312" w:hAnsi="仿宋_GB2312" w:eastAsia="仿宋_GB2312"/>
          <w:b w:val="0"/>
          <w:sz w:val="32"/>
        </w:rPr>
        <w:t>退休人员较上年减少，职业年金缴费较上年减少。</w:t>
      </w:r>
    </w:p>
    <w:p w14:paraId="4FCE70F4">
      <w:pPr>
        <w:spacing w:line="580" w:lineRule="exact"/>
        <w:ind w:firstLine="640"/>
        <w:jc w:val="both"/>
      </w:pPr>
      <w:r>
        <w:rPr>
          <w:rFonts w:ascii="仿宋_GB2312" w:hAnsi="仿宋_GB2312" w:eastAsia="仿宋_GB2312"/>
          <w:b w:val="0"/>
          <w:sz w:val="32"/>
        </w:rPr>
        <w:t>9.卫生健康支出(类)行政事业单位医疗(款)事业单位医疗(项):支出决算数为11.35万元，比上年决算增加1.05万元，增长10.19%,主要原因是：本年在职人员工资基数调增，医疗缴费基数上涨，相应支出增加。</w:t>
      </w:r>
    </w:p>
    <w:p w14:paraId="6DC4E79F">
      <w:pPr>
        <w:spacing w:line="580" w:lineRule="exact"/>
        <w:ind w:firstLine="640"/>
        <w:jc w:val="both"/>
      </w:pPr>
      <w:r>
        <w:rPr>
          <w:rFonts w:ascii="仿宋_GB2312" w:hAnsi="仿宋_GB2312" w:eastAsia="仿宋_GB2312"/>
          <w:b w:val="0"/>
          <w:sz w:val="32"/>
        </w:rPr>
        <w:t>10.住房保障支出(类)住房改革支出(款)住房公积金(项):支出决算数为21.36万元，比上年决算增加3.15万元，增长17.30%,主要原因是：本年在职人员工资基数调增，公积金缴费基数上涨，相应支出增加。</w:t>
      </w:r>
    </w:p>
    <w:p w14:paraId="5948868C">
      <w:pPr>
        <w:spacing w:line="640" w:lineRule="exact"/>
        <w:ind w:firstLine="640"/>
        <w:jc w:val="both"/>
        <w:outlineLvl w:val="2"/>
      </w:pPr>
      <w:r>
        <w:rPr>
          <w:rFonts w:ascii="黑体" w:hAnsi="黑体" w:eastAsia="黑体"/>
          <w:sz w:val="32"/>
        </w:rPr>
        <w:t>六、一般公共预算财政拨款基本支出决算情况说明</w:t>
      </w:r>
    </w:p>
    <w:p w14:paraId="17F9B6C0">
      <w:pPr>
        <w:spacing w:line="580" w:lineRule="exact"/>
        <w:ind w:firstLine="640"/>
        <w:jc w:val="both"/>
      </w:pPr>
      <w:r>
        <w:rPr>
          <w:rFonts w:ascii="仿宋_GB2312" w:hAnsi="仿宋_GB2312" w:eastAsia="仿宋_GB2312"/>
          <w:b w:val="0"/>
          <w:sz w:val="32"/>
        </w:rPr>
        <w:t>2024年度一般公共预算财政拨款基本支出308.97万元，其中：</w:t>
      </w:r>
      <w:r>
        <w:rPr>
          <w:rFonts w:ascii="仿宋_GB2312" w:hAnsi="仿宋_GB2312" w:eastAsia="仿宋_GB2312"/>
          <w:b/>
          <w:sz w:val="32"/>
        </w:rPr>
        <w:t>人员经费282.75万元，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75FAF00D">
      <w:pPr>
        <w:spacing w:line="580" w:lineRule="exact"/>
        <w:ind w:firstLine="640"/>
        <w:jc w:val="both"/>
      </w:pPr>
      <w:r>
        <w:rPr>
          <w:rFonts w:ascii="仿宋_GB2312" w:hAnsi="仿宋_GB2312" w:eastAsia="仿宋_GB2312"/>
          <w:b/>
          <w:sz w:val="32"/>
        </w:rPr>
        <w:t>公用经费26.22万元，</w:t>
      </w:r>
      <w:r>
        <w:rPr>
          <w:rFonts w:ascii="仿宋_GB2312" w:hAnsi="仿宋_GB2312" w:eastAsia="仿宋_GB2312"/>
          <w:b w:val="0"/>
          <w:sz w:val="32"/>
        </w:rPr>
        <w:t>包括：办公费、电费、邮电费、取暖费、差旅费、劳务费、工会经费、公务用车运行维护费。</w:t>
      </w:r>
    </w:p>
    <w:p w14:paraId="59EC1042">
      <w:pPr>
        <w:spacing w:line="640" w:lineRule="exact"/>
        <w:ind w:firstLine="640"/>
        <w:jc w:val="both"/>
        <w:outlineLvl w:val="2"/>
      </w:pPr>
      <w:r>
        <w:rPr>
          <w:rFonts w:ascii="黑体" w:hAnsi="黑体" w:eastAsia="黑体"/>
          <w:sz w:val="32"/>
        </w:rPr>
        <w:t>七、政府性基金预算财政拨款收入支出决算情况说明</w:t>
      </w:r>
    </w:p>
    <w:p w14:paraId="4EC2BC7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8C986C9">
      <w:pPr>
        <w:spacing w:line="640" w:lineRule="exact"/>
        <w:ind w:firstLine="640"/>
        <w:jc w:val="both"/>
        <w:outlineLvl w:val="2"/>
      </w:pPr>
      <w:r>
        <w:rPr>
          <w:rFonts w:ascii="黑体" w:hAnsi="黑体" w:eastAsia="黑体"/>
          <w:sz w:val="32"/>
        </w:rPr>
        <w:t>八、国有资本经营预算财政拨款收入支出决算情况说明</w:t>
      </w:r>
    </w:p>
    <w:p w14:paraId="3DAA291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4EE5CB">
      <w:pPr>
        <w:spacing w:line="640" w:lineRule="exact"/>
        <w:ind w:firstLine="640"/>
        <w:jc w:val="both"/>
        <w:outlineLvl w:val="2"/>
      </w:pPr>
      <w:r>
        <w:rPr>
          <w:rFonts w:ascii="黑体" w:hAnsi="黑体" w:eastAsia="黑体"/>
          <w:sz w:val="32"/>
        </w:rPr>
        <w:t>九、财政拨款“三公”经费支出决算情况说明</w:t>
      </w:r>
    </w:p>
    <w:p w14:paraId="348224F2">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0.56万元，增长38.89%，主要原因是：本年文化下乡和文化活动增加，车辆使用次数增加，车辆燃油费增加。其中：因公出国（境）费支出0.00万元，占0.00%，比上年增加0.00万元，增长0.00%，主要原因是：2023年与2024年均未安排因公出国（境）费支出。公务用车购置及运行维护费支出2.00万元，占100.00%，比上年增加0.56万元，增长38.89%，主要原因是：本年文化下乡和文化活动增加，车辆使用次数增加，车辆燃油费增加。公务接待费支出0.00万元，占0.00%，比上年增加0.00万元，增长0.00%，主要原因是：2023年与2024年均未安排公务接待费支出。</w:t>
      </w:r>
    </w:p>
    <w:p w14:paraId="65577A21">
      <w:pPr>
        <w:spacing w:line="580" w:lineRule="exact"/>
        <w:ind w:firstLine="640"/>
        <w:jc w:val="both"/>
      </w:pPr>
      <w:r>
        <w:rPr>
          <w:rFonts w:ascii="仿宋_GB2312" w:hAnsi="仿宋_GB2312" w:eastAsia="仿宋_GB2312"/>
          <w:b/>
          <w:sz w:val="32"/>
        </w:rPr>
        <w:t>具体情况如下：</w:t>
      </w:r>
    </w:p>
    <w:p w14:paraId="286E1E9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C95A05">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公务用车燃料费、维修费、保险费。公务用车购置数0辆，公务用车保有量1辆。国有资产占用情况中固定资产车辆1辆，与公务用车保有量差异原因是：本单位固定资产车辆与公务用车保有量一致无差异。</w:t>
      </w:r>
    </w:p>
    <w:p w14:paraId="101B52C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A55DD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4EA4DBB1">
      <w:pPr>
        <w:spacing w:line="640" w:lineRule="exact"/>
        <w:ind w:firstLine="640"/>
        <w:jc w:val="both"/>
        <w:outlineLvl w:val="2"/>
      </w:pPr>
      <w:r>
        <w:rPr>
          <w:rFonts w:ascii="黑体" w:hAnsi="黑体" w:eastAsia="黑体"/>
          <w:sz w:val="32"/>
        </w:rPr>
        <w:t>十、其他重要事项的情况说明</w:t>
      </w:r>
    </w:p>
    <w:p w14:paraId="5C88042A">
      <w:pPr>
        <w:spacing w:line="640" w:lineRule="exact"/>
        <w:ind w:firstLine="640"/>
        <w:jc w:val="both"/>
        <w:outlineLvl w:val="3"/>
      </w:pPr>
      <w:r>
        <w:rPr>
          <w:rFonts w:ascii="楷体_GB2312" w:hAnsi="楷体_GB2312" w:eastAsia="楷体_GB2312"/>
          <w:b/>
          <w:sz w:val="32"/>
        </w:rPr>
        <w:t>（一）机关运行经费及公用经费支出情况</w:t>
      </w:r>
    </w:p>
    <w:p w14:paraId="1F3A7F45">
      <w:pPr>
        <w:spacing w:line="580" w:lineRule="exact"/>
        <w:ind w:firstLine="640"/>
        <w:jc w:val="both"/>
      </w:pPr>
      <w:r>
        <w:rPr>
          <w:rFonts w:ascii="仿宋_GB2312" w:hAnsi="仿宋_GB2312" w:eastAsia="仿宋_GB2312"/>
          <w:b w:val="0"/>
          <w:sz w:val="32"/>
        </w:rPr>
        <w:t>2024年度裕民县文化馆（事业单位）公用经费支出26.22万元，比上年增加14.68万元，增长127.21%，主要原因是：本年办公费、新图书馆公用取暖费增加，导致公用经费增加。</w:t>
      </w:r>
    </w:p>
    <w:p w14:paraId="2901E4DD">
      <w:pPr>
        <w:spacing w:line="640" w:lineRule="exact"/>
        <w:ind w:firstLine="640"/>
        <w:jc w:val="both"/>
        <w:outlineLvl w:val="3"/>
      </w:pPr>
      <w:r>
        <w:rPr>
          <w:rFonts w:ascii="楷体_GB2312" w:hAnsi="楷体_GB2312" w:eastAsia="楷体_GB2312"/>
          <w:b/>
          <w:sz w:val="32"/>
        </w:rPr>
        <w:t>（二）政府采购情况</w:t>
      </w:r>
    </w:p>
    <w:p w14:paraId="769700CD">
      <w:pPr>
        <w:spacing w:line="580" w:lineRule="exact"/>
        <w:ind w:firstLine="640"/>
        <w:jc w:val="both"/>
      </w:pPr>
      <w:r>
        <w:rPr>
          <w:rFonts w:ascii="仿宋_GB2312" w:hAnsi="仿宋_GB2312" w:eastAsia="仿宋_GB2312"/>
          <w:b w:val="0"/>
          <w:sz w:val="32"/>
        </w:rPr>
        <w:t>2024年度政府采购支出总额12.23万元，其中：政府采购货物支出10.23万元、政府采购工程支出0.00万元、政府采购服务支出2.00万元。</w:t>
      </w:r>
    </w:p>
    <w:p w14:paraId="1C408F24">
      <w:pPr>
        <w:spacing w:line="580" w:lineRule="exact"/>
        <w:ind w:firstLine="640"/>
        <w:jc w:val="both"/>
      </w:pPr>
      <w:r>
        <w:rPr>
          <w:rFonts w:ascii="仿宋_GB2312" w:hAnsi="仿宋_GB2312" w:eastAsia="仿宋_GB2312"/>
          <w:b w:val="0"/>
          <w:sz w:val="32"/>
        </w:rPr>
        <w:t>授予中小企业合同金额12.23万元，占政府采购支出总额的100.00%，其中：授予小微企业合同金额12.23万元，占政府采购支出总额的100.00%。</w:t>
      </w:r>
    </w:p>
    <w:p w14:paraId="5A1873F2">
      <w:pPr>
        <w:spacing w:line="640" w:lineRule="exact"/>
        <w:ind w:firstLine="640"/>
        <w:jc w:val="both"/>
        <w:outlineLvl w:val="3"/>
      </w:pPr>
      <w:r>
        <w:rPr>
          <w:rFonts w:ascii="楷体_GB2312" w:hAnsi="楷体_GB2312" w:eastAsia="楷体_GB2312"/>
          <w:b/>
          <w:sz w:val="32"/>
        </w:rPr>
        <w:t>（三）国有资产占用情况说明</w:t>
      </w:r>
    </w:p>
    <w:p w14:paraId="0E054E89">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3,210.00平方米，价值214.22万元。车辆1辆，价值20.00万元，其中：副部（省）级及以上领导用车0辆、主要负责人用车0辆、机要通信用车0辆、应急保障用车0辆、执法执勤用车0辆、特种专业技术用车0辆、离退休干部服务用车0辆、其他用车1辆，其他用车主要是：一般</w:t>
      </w:r>
      <w:r>
        <w:rPr>
          <w:rFonts w:hint="eastAsia" w:ascii="仿宋_GB2312" w:hAnsi="仿宋_GB2312" w:eastAsia="仿宋_GB2312"/>
          <w:b w:val="0"/>
          <w:sz w:val="32"/>
          <w:lang w:val="en-US" w:eastAsia="zh-CN"/>
        </w:rPr>
        <w:t>公务</w:t>
      </w:r>
      <w:r>
        <w:rPr>
          <w:rFonts w:ascii="仿宋_GB2312" w:hAnsi="仿宋_GB2312" w:eastAsia="仿宋_GB2312"/>
          <w:b w:val="0"/>
          <w:sz w:val="32"/>
        </w:rPr>
        <w:t>用车。单价100万元（含）以上设备（不含车辆）0台（套）。</w:t>
      </w:r>
    </w:p>
    <w:p w14:paraId="500650A0">
      <w:pPr>
        <w:spacing w:line="640" w:lineRule="exact"/>
        <w:ind w:firstLine="640"/>
        <w:jc w:val="both"/>
        <w:outlineLvl w:val="2"/>
      </w:pPr>
      <w:r>
        <w:rPr>
          <w:rFonts w:ascii="黑体" w:hAnsi="黑体" w:eastAsia="黑体"/>
          <w:sz w:val="32"/>
        </w:rPr>
        <w:t>十一、预算绩效的情况说明</w:t>
      </w:r>
    </w:p>
    <w:p w14:paraId="74E1A9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根据预算绩效管理要求，本单位2024年度预算绩效管理形成整体支出绩效自评表1个，全年预算总额353.97万元，实际执行总额353.97万元；预算绩效评价项目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个，全年预算数4</w:t>
      </w:r>
      <w:r>
        <w:rPr>
          <w:rFonts w:hint="eastAsia" w:ascii="仿宋_GB2312" w:hAnsi="仿宋_GB2312" w:eastAsia="仿宋_GB2312"/>
          <w:b w:val="0"/>
          <w:sz w:val="32"/>
          <w:lang w:val="en-US" w:eastAsia="zh-CN"/>
        </w:rPr>
        <w:t>5</w:t>
      </w:r>
      <w:r>
        <w:rPr>
          <w:rFonts w:ascii="仿宋_GB2312" w:hAnsi="仿宋_GB2312" w:eastAsia="仿宋_GB2312"/>
          <w:b w:val="0"/>
          <w:sz w:val="32"/>
        </w:rPr>
        <w:t>.00万元，全年执行数4</w:t>
      </w:r>
      <w:r>
        <w:rPr>
          <w:rFonts w:hint="eastAsia" w:ascii="仿宋_GB2312" w:hAnsi="仿宋_GB2312" w:eastAsia="仿宋_GB2312"/>
          <w:b w:val="0"/>
          <w:sz w:val="32"/>
          <w:lang w:val="en-US" w:eastAsia="zh-CN"/>
        </w:rPr>
        <w:t>5</w:t>
      </w:r>
      <w:r>
        <w:rPr>
          <w:rFonts w:ascii="仿宋_GB2312" w:hAnsi="仿宋_GB2312" w:eastAsia="仿宋_GB2312"/>
          <w:b w:val="0"/>
          <w:sz w:val="32"/>
        </w:rPr>
        <w:t>.00万元。预算绩效管理取得的成效：一是有利于资金合理使用，确保按时完成各项工作正常运转；二是绩效管理使单位工作效率明显提高，提</w:t>
      </w:r>
      <w:bookmarkStart w:id="0" w:name="_GoBack"/>
      <w:r>
        <w:rPr>
          <w:rFonts w:ascii="仿宋_GB2312" w:hAnsi="仿宋_GB2312" w:eastAsia="仿宋_GB2312"/>
          <w:b w:val="0"/>
          <w:sz w:val="32"/>
        </w:rPr>
        <w:t>高</w:t>
      </w:r>
      <w:bookmarkEnd w:id="0"/>
      <w:r>
        <w:rPr>
          <w:rFonts w:ascii="仿宋_GB2312" w:hAnsi="仿宋_GB2312" w:eastAsia="仿宋_GB2312"/>
          <w:b w:val="0"/>
          <w:sz w:val="32"/>
        </w:rPr>
        <w:t>工作人员积极性和创造性。发现的问题及原因：一是预算编制工作需更细化、合理性有待提高；二是绩效管理专业人员匮乏，规范管理有盲点</w:t>
      </w:r>
      <w:r>
        <w:rPr>
          <w:rFonts w:hint="eastAsia" w:ascii="仿宋_GB2312" w:hAnsi="仿宋_GB2312" w:eastAsia="仿宋_GB2312"/>
          <w:b w:val="0"/>
          <w:sz w:val="32"/>
          <w:lang w:eastAsia="zh-CN"/>
        </w:rPr>
        <w:t>。</w:t>
      </w:r>
      <w:r>
        <w:rPr>
          <w:rFonts w:ascii="仿宋_GB2312" w:hAnsi="仿宋_GB2312" w:eastAsia="仿宋_GB2312"/>
          <w:b w:val="0"/>
          <w:sz w:val="32"/>
        </w:rPr>
        <w:t>下一步改进措施：一是提高预算编制的科学性、严谨性和可控性；二是加强学习，强化绩效管理的理念</w:t>
      </w:r>
      <w:r>
        <w:rPr>
          <w:rFonts w:hint="eastAsia" w:ascii="仿宋_GB2312" w:hAnsi="仿宋_GB2312" w:eastAsia="仿宋_GB2312"/>
          <w:b w:val="0"/>
          <w:sz w:val="32"/>
          <w:lang w:eastAsia="zh-CN"/>
        </w:rPr>
        <w:t>；要</w:t>
      </w:r>
      <w:r>
        <w:rPr>
          <w:rFonts w:ascii="仿宋_GB2312" w:hAnsi="仿宋_GB2312" w:eastAsia="仿宋_GB2312"/>
          <w:b w:val="0"/>
          <w:sz w:val="32"/>
        </w:rPr>
        <w:t>突出资金监管重点，规范预算管理、加强学习，强化绩效管理的理念。具体附整体支出绩效自评表，项目支出绩效自评表和评价报告。</w:t>
      </w:r>
    </w:p>
    <w:p w14:paraId="224C8049">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4A9573DC">
        <w:tblPrEx>
          <w:tblCellMar>
            <w:top w:w="0" w:type="dxa"/>
            <w:left w:w="108" w:type="dxa"/>
            <w:bottom w:w="0" w:type="dxa"/>
            <w:right w:w="108" w:type="dxa"/>
          </w:tblCellMar>
        </w:tblPrEx>
        <w:tc>
          <w:tcPr>
            <w:tcW w:w="8840" w:type="dxa"/>
            <w:gridSpan w:val="8"/>
            <w:vAlign w:val="center"/>
          </w:tcPr>
          <w:p w14:paraId="464ACF96">
            <w:pPr>
              <w:jc w:val="center"/>
            </w:pPr>
            <w:r>
              <w:rPr>
                <w:rFonts w:ascii="宋体" w:hAnsi="宋体" w:eastAsia="宋体"/>
                <w:sz w:val="24"/>
              </w:rPr>
              <w:t>单位整体支出绩效自评表</w:t>
            </w:r>
          </w:p>
        </w:tc>
      </w:tr>
      <w:tr w14:paraId="0F13EA08">
        <w:tblPrEx>
          <w:tblCellMar>
            <w:top w:w="0" w:type="dxa"/>
            <w:left w:w="108" w:type="dxa"/>
            <w:bottom w:w="0" w:type="dxa"/>
            <w:right w:w="108" w:type="dxa"/>
          </w:tblCellMar>
        </w:tblPrEx>
        <w:tc>
          <w:tcPr>
            <w:tcW w:w="8840" w:type="dxa"/>
            <w:gridSpan w:val="8"/>
            <w:vAlign w:val="center"/>
          </w:tcPr>
          <w:p w14:paraId="60F9D369">
            <w:pPr>
              <w:jc w:val="center"/>
            </w:pPr>
            <w:r>
              <w:rPr>
                <w:rFonts w:ascii="宋体" w:hAnsi="宋体" w:eastAsia="宋体"/>
                <w:sz w:val="24"/>
              </w:rPr>
              <w:t>（2024年度）</w:t>
            </w:r>
          </w:p>
        </w:tc>
      </w:tr>
      <w:tr w14:paraId="74AC90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758E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64EE6">
            <w:pPr>
              <w:jc w:val="center"/>
            </w:pPr>
            <w:r>
              <w:rPr>
                <w:rFonts w:ascii="宋体" w:hAnsi="宋体" w:eastAsia="宋体"/>
                <w:sz w:val="16"/>
              </w:rPr>
              <w:t>裕民县文化馆</w:t>
            </w:r>
          </w:p>
        </w:tc>
      </w:tr>
      <w:tr w14:paraId="0CB6A6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70CE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0DBA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B16F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3B28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334A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6A78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BDC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AE678">
            <w:pPr>
              <w:jc w:val="center"/>
            </w:pPr>
            <w:r>
              <w:rPr>
                <w:rFonts w:ascii="宋体" w:hAnsi="宋体" w:eastAsia="宋体"/>
                <w:sz w:val="16"/>
              </w:rPr>
              <w:t>得分</w:t>
            </w:r>
          </w:p>
        </w:tc>
      </w:tr>
      <w:tr w14:paraId="68FEC1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84E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564E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9CA86">
            <w:pPr>
              <w:jc w:val="center"/>
            </w:pPr>
            <w:r>
              <w:rPr>
                <w:rFonts w:ascii="宋体" w:hAnsi="宋体" w:eastAsia="宋体"/>
                <w:sz w:val="16"/>
              </w:rPr>
              <w:t>339.95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B4ED2">
            <w:pPr>
              <w:jc w:val="center"/>
            </w:pPr>
            <w:r>
              <w:rPr>
                <w:rFonts w:ascii="宋体" w:hAnsi="宋体" w:eastAsia="宋体"/>
                <w:sz w:val="16"/>
              </w:rPr>
              <w:t>353.97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00FA8">
            <w:pPr>
              <w:jc w:val="center"/>
            </w:pPr>
            <w:r>
              <w:rPr>
                <w:rFonts w:ascii="宋体" w:hAnsi="宋体" w:eastAsia="宋体"/>
                <w:sz w:val="16"/>
              </w:rPr>
              <w:t>353.97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403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1C86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7DE59">
            <w:pPr>
              <w:jc w:val="center"/>
            </w:pPr>
            <w:r>
              <w:rPr>
                <w:rFonts w:ascii="宋体" w:hAnsi="宋体" w:eastAsia="宋体"/>
                <w:sz w:val="16"/>
              </w:rPr>
              <w:t>10</w:t>
            </w:r>
          </w:p>
        </w:tc>
      </w:tr>
      <w:tr w14:paraId="58DBBD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2D23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BD49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0B068">
            <w:pPr>
              <w:jc w:val="center"/>
            </w:pPr>
            <w:r>
              <w:rPr>
                <w:rFonts w:ascii="宋体" w:hAnsi="宋体" w:eastAsia="宋体"/>
                <w:sz w:val="16"/>
              </w:rPr>
              <w:t>36.80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345C9">
            <w:pPr>
              <w:jc w:val="center"/>
            </w:pPr>
            <w:r>
              <w:rPr>
                <w:rFonts w:ascii="宋体" w:hAnsi="宋体" w:eastAsia="宋体"/>
                <w:sz w:val="16"/>
              </w:rPr>
              <w:t>45.00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BC5DE">
            <w:pPr>
              <w:jc w:val="center"/>
            </w:pPr>
            <w:r>
              <w:rPr>
                <w:rFonts w:ascii="宋体" w:hAnsi="宋体" w:eastAsia="宋体"/>
                <w:sz w:val="16"/>
              </w:rPr>
              <w:t>45.00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A09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89DD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2133F">
            <w:pPr>
              <w:jc w:val="center"/>
            </w:pPr>
            <w:r>
              <w:rPr>
                <w:rFonts w:ascii="宋体" w:hAnsi="宋体" w:eastAsia="宋体"/>
                <w:sz w:val="16"/>
              </w:rPr>
              <w:t>-</w:t>
            </w:r>
          </w:p>
        </w:tc>
      </w:tr>
      <w:tr w14:paraId="29B170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1923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71FE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89815">
            <w:pPr>
              <w:jc w:val="center"/>
            </w:pPr>
            <w:r>
              <w:rPr>
                <w:rFonts w:ascii="宋体" w:hAnsi="宋体" w:eastAsia="宋体"/>
                <w:sz w:val="16"/>
              </w:rPr>
              <w:t>303.15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51766">
            <w:pPr>
              <w:jc w:val="center"/>
            </w:pPr>
            <w:r>
              <w:rPr>
                <w:rFonts w:ascii="宋体" w:hAnsi="宋体" w:eastAsia="宋体"/>
                <w:sz w:val="16"/>
              </w:rPr>
              <w:t>308.97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3BEEA">
            <w:pPr>
              <w:jc w:val="center"/>
            </w:pPr>
            <w:r>
              <w:rPr>
                <w:rFonts w:ascii="宋体" w:hAnsi="宋体" w:eastAsia="宋体"/>
                <w:sz w:val="16"/>
              </w:rPr>
              <w:t>308.97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DB6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CAFB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90CF3">
            <w:pPr>
              <w:jc w:val="center"/>
            </w:pPr>
            <w:r>
              <w:rPr>
                <w:rFonts w:ascii="宋体" w:hAnsi="宋体" w:eastAsia="宋体"/>
                <w:sz w:val="16"/>
              </w:rPr>
              <w:t>-</w:t>
            </w:r>
          </w:p>
        </w:tc>
      </w:tr>
      <w:tr w14:paraId="6B5D34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440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C1E9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867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BA09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73C2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17564C9">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741A170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6E942F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1436548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EBDB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4844B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86C4B6">
            <w:pPr>
              <w:jc w:val="center"/>
            </w:pPr>
            <w:r>
              <w:rPr>
                <w:rFonts w:ascii="宋体" w:hAnsi="宋体" w:eastAsia="宋体"/>
                <w:sz w:val="16"/>
              </w:rPr>
              <w:t>实际完成情况</w:t>
            </w:r>
          </w:p>
        </w:tc>
      </w:tr>
      <w:tr w14:paraId="0E4105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AA34B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58857A">
            <w:pPr>
              <w:jc w:val="both"/>
            </w:pPr>
            <w:r>
              <w:rPr>
                <w:rFonts w:ascii="宋体" w:hAnsi="宋体" w:eastAsia="宋体"/>
                <w:sz w:val="16"/>
              </w:rPr>
              <w:t>2024年裕民县文化馆主要工作任务是坚持以习近平新时代中国特色社会主义思想为指导，坚持深入贯彻落实“文化润疆”、“文化惠民”政策为主要工作思路。结合党的二十大精神，以繁荣我县群众文化事业，提升公共文化服务能力为目标。 开展丰富多彩的文化惠民活动，完成全年80场任务；开展全民阅读推广场次15场；开展群文指导，繁荣我县的群众文化生活，承办县委、县政府和上级主管部门交办的其他事项。负责非物质文化遗产保护和研究。推动非物质文化遗产的保护、传承、普及、弘扬和振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DCEF40">
            <w:pPr>
              <w:jc w:val="both"/>
            </w:pPr>
            <w:r>
              <w:rPr>
                <w:rFonts w:ascii="宋体" w:hAnsi="宋体" w:eastAsia="宋体"/>
                <w:sz w:val="16"/>
              </w:rPr>
              <w:t>2024年裕民县文化馆</w:t>
            </w:r>
            <w:r>
              <w:rPr>
                <w:rFonts w:hint="eastAsia" w:ascii="宋体" w:hAnsi="宋体"/>
                <w:sz w:val="16"/>
                <w:lang w:eastAsia="zh-CN"/>
              </w:rPr>
              <w:t>全面</w:t>
            </w:r>
            <w:r>
              <w:rPr>
                <w:rFonts w:ascii="宋体" w:hAnsi="宋体" w:eastAsia="宋体"/>
                <w:sz w:val="16"/>
              </w:rPr>
              <w:t>履职尽责，根据确定的工作目标，本单位做好在职、退休、遗属人员工资、社保、住房公积金、遗属补助的发放和缴纳工作。紧紧围绕学习宣传贯彻党的二十大精神，积极开展“我们的中国梦——文化进万家”系列活动。坚持以人民为中心的工作导向，动员和组织开展形式多样文化演艺惠民活动80场次；图书馆为了充分发挥公共文化服务的职能，实施“文化润疆”工作要求开展全民阅读活动15次；通过实施公共文化服务项目，文化设施逐步改善、公共文化活动供给能力不断增强。实现了公共文化服务全覆盖，文化服务活动的丰富多样性和广泛参与性，丰富了全县人民群众精神文化生活。</w:t>
            </w:r>
          </w:p>
        </w:tc>
      </w:tr>
      <w:tr w14:paraId="765013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B468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DB4E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2450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2C12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D9C5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0E9D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D02D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60546">
            <w:pPr>
              <w:jc w:val="center"/>
            </w:pPr>
            <w:r>
              <w:rPr>
                <w:rFonts w:ascii="宋体" w:hAnsi="宋体" w:eastAsia="宋体"/>
                <w:sz w:val="16"/>
              </w:rPr>
              <w:t>得分</w:t>
            </w:r>
          </w:p>
        </w:tc>
      </w:tr>
      <w:tr w14:paraId="27DC83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64EA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E7A2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173EB">
            <w:pPr>
              <w:jc w:val="center"/>
            </w:pPr>
            <w:r>
              <w:rPr>
                <w:rFonts w:ascii="宋体" w:hAnsi="宋体" w:eastAsia="宋体"/>
                <w:sz w:val="16"/>
              </w:rPr>
              <w:t>在职在编人数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41DCF">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B272C">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36862">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61BA3">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B2EB9">
            <w:pPr>
              <w:jc w:val="center"/>
            </w:pPr>
            <w:r>
              <w:rPr>
                <w:rFonts w:ascii="宋体" w:hAnsi="宋体" w:eastAsia="宋体"/>
                <w:sz w:val="16"/>
              </w:rPr>
              <w:t>12</w:t>
            </w:r>
          </w:p>
        </w:tc>
      </w:tr>
      <w:tr w14:paraId="338535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226A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4818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89BC8">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9DCE0">
            <w:pPr>
              <w:jc w:val="center"/>
            </w:pPr>
            <w:r>
              <w:rPr>
                <w:rFonts w:ascii="宋体" w:hAnsi="宋体" w:eastAsia="宋体"/>
                <w:sz w:val="16"/>
              </w:rPr>
              <w:t>&gt;=22人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5038E">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B8473">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D3EB7">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B2442">
            <w:pPr>
              <w:jc w:val="center"/>
            </w:pPr>
            <w:r>
              <w:rPr>
                <w:rFonts w:ascii="宋体" w:hAnsi="宋体" w:eastAsia="宋体"/>
                <w:sz w:val="16"/>
              </w:rPr>
              <w:t>12</w:t>
            </w:r>
          </w:p>
        </w:tc>
      </w:tr>
      <w:tr w14:paraId="7C5CF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22E5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D55F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B5603">
            <w:pPr>
              <w:jc w:val="center"/>
            </w:pPr>
            <w:r>
              <w:rPr>
                <w:rFonts w:ascii="宋体" w:hAnsi="宋体" w:eastAsia="宋体"/>
                <w:sz w:val="16"/>
              </w:rPr>
              <w:t>遗属补助发放人数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F64E6">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D0A56">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98A01">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81959">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FBCC5">
            <w:pPr>
              <w:jc w:val="center"/>
            </w:pPr>
            <w:r>
              <w:rPr>
                <w:rFonts w:ascii="宋体" w:hAnsi="宋体" w:eastAsia="宋体"/>
                <w:sz w:val="16"/>
              </w:rPr>
              <w:t>12</w:t>
            </w:r>
          </w:p>
        </w:tc>
      </w:tr>
      <w:tr w14:paraId="244BF3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E746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216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D9F59">
            <w:pPr>
              <w:jc w:val="center"/>
            </w:pPr>
            <w:r>
              <w:rPr>
                <w:rFonts w:ascii="宋体" w:hAnsi="宋体" w:eastAsia="宋体"/>
                <w:sz w:val="16"/>
              </w:rPr>
              <w:t>全民阅读推广场次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1BDE9">
            <w:pPr>
              <w:jc w:val="center"/>
            </w:pPr>
            <w:r>
              <w:rPr>
                <w:rFonts w:ascii="宋体" w:hAnsi="宋体" w:eastAsia="宋体"/>
                <w:sz w:val="16"/>
              </w:rPr>
              <w:t>&gt;=15场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D4DE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999A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9972C">
            <w:pPr>
              <w:jc w:val="center"/>
            </w:pPr>
            <w:r>
              <w:rPr>
                <w:rFonts w:ascii="宋体" w:hAnsi="宋体" w:eastAsia="宋体"/>
                <w:sz w:val="16"/>
              </w:rPr>
              <w:t>15场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5053D">
            <w:pPr>
              <w:jc w:val="center"/>
            </w:pPr>
            <w:r>
              <w:rPr>
                <w:rFonts w:ascii="宋体" w:hAnsi="宋体" w:eastAsia="宋体"/>
                <w:sz w:val="16"/>
              </w:rPr>
              <w:t>12</w:t>
            </w:r>
          </w:p>
        </w:tc>
      </w:tr>
      <w:tr w14:paraId="26F648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6818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5DE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F558D">
            <w:pPr>
              <w:jc w:val="center"/>
            </w:pPr>
            <w:r>
              <w:rPr>
                <w:rFonts w:ascii="宋体" w:hAnsi="宋体" w:eastAsia="宋体"/>
                <w:sz w:val="16"/>
              </w:rPr>
              <w:t>文化惠民活动场次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6C648">
            <w:pPr>
              <w:jc w:val="center"/>
            </w:pPr>
            <w:r>
              <w:rPr>
                <w:rFonts w:ascii="宋体" w:hAnsi="宋体" w:eastAsia="宋体"/>
                <w:sz w:val="16"/>
              </w:rPr>
              <w:t>&gt;=80场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A948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3C55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6BFEB">
            <w:pPr>
              <w:jc w:val="center"/>
            </w:pPr>
            <w:r>
              <w:rPr>
                <w:rFonts w:ascii="宋体" w:hAnsi="宋体" w:eastAsia="宋体"/>
                <w:sz w:val="16"/>
              </w:rPr>
              <w:t>80场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961B2">
            <w:pPr>
              <w:jc w:val="center"/>
            </w:pPr>
            <w:r>
              <w:rPr>
                <w:rFonts w:ascii="宋体" w:hAnsi="宋体" w:eastAsia="宋体"/>
                <w:sz w:val="16"/>
              </w:rPr>
              <w:t>12</w:t>
            </w:r>
          </w:p>
        </w:tc>
      </w:tr>
      <w:tr w14:paraId="5E02FA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5F9A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F470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18881">
            <w:pPr>
              <w:jc w:val="center"/>
            </w:pPr>
            <w:r>
              <w:rPr>
                <w:rFonts w:ascii="宋体" w:hAnsi="宋体" w:eastAsia="宋体"/>
                <w:sz w:val="16"/>
              </w:rPr>
              <w:t>“三馆一站”免费开放覆盖率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E36C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175A4">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B572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C18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AF53F">
            <w:pPr>
              <w:jc w:val="center"/>
            </w:pPr>
            <w:r>
              <w:rPr>
                <w:rFonts w:ascii="宋体" w:hAnsi="宋体" w:eastAsia="宋体"/>
                <w:sz w:val="16"/>
              </w:rPr>
              <w:t>15</w:t>
            </w:r>
          </w:p>
        </w:tc>
      </w:tr>
      <w:tr w14:paraId="3B5FF6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CF52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A43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C18B2">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FFB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4B454">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BFC5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A9C0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F3C4B">
            <w:pPr>
              <w:jc w:val="center"/>
            </w:pPr>
            <w:r>
              <w:rPr>
                <w:rFonts w:ascii="宋体" w:hAnsi="宋体" w:eastAsia="宋体"/>
                <w:sz w:val="16"/>
              </w:rPr>
              <w:t>15</w:t>
            </w:r>
          </w:p>
        </w:tc>
      </w:tr>
    </w:tbl>
    <w:p w14:paraId="5C759E0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4878461">
        <w:tblPrEx>
          <w:tblCellMar>
            <w:top w:w="0" w:type="dxa"/>
            <w:left w:w="108" w:type="dxa"/>
            <w:bottom w:w="0" w:type="dxa"/>
            <w:right w:w="108" w:type="dxa"/>
          </w:tblCellMar>
        </w:tblPrEx>
        <w:tc>
          <w:tcPr>
            <w:tcW w:w="8848" w:type="dxa"/>
            <w:gridSpan w:val="14"/>
            <w:vAlign w:val="center"/>
          </w:tcPr>
          <w:p w14:paraId="10C7E0A6">
            <w:pPr>
              <w:jc w:val="center"/>
            </w:pPr>
            <w:r>
              <w:rPr>
                <w:rFonts w:ascii="宋体" w:hAnsi="宋体" w:eastAsia="宋体"/>
                <w:sz w:val="24"/>
              </w:rPr>
              <w:t>项目支出绩效自评表</w:t>
            </w:r>
          </w:p>
        </w:tc>
      </w:tr>
      <w:tr w14:paraId="5A4C2B16">
        <w:tblPrEx>
          <w:tblCellMar>
            <w:top w:w="0" w:type="dxa"/>
            <w:left w:w="108" w:type="dxa"/>
            <w:bottom w:w="0" w:type="dxa"/>
            <w:right w:w="108" w:type="dxa"/>
          </w:tblCellMar>
        </w:tblPrEx>
        <w:tc>
          <w:tcPr>
            <w:tcW w:w="8848" w:type="dxa"/>
            <w:gridSpan w:val="14"/>
            <w:vAlign w:val="center"/>
          </w:tcPr>
          <w:p w14:paraId="59EA5461">
            <w:pPr>
              <w:jc w:val="center"/>
            </w:pPr>
            <w:r>
              <w:rPr>
                <w:rFonts w:ascii="宋体" w:hAnsi="宋体" w:eastAsia="宋体"/>
                <w:sz w:val="24"/>
              </w:rPr>
              <w:t>(2024年度)</w:t>
            </w:r>
          </w:p>
        </w:tc>
      </w:tr>
      <w:tr w14:paraId="5DDB8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80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3F72C8">
            <w:pPr>
              <w:jc w:val="center"/>
            </w:pPr>
            <w:r>
              <w:rPr>
                <w:rFonts w:ascii="宋体" w:hAnsi="宋体" w:eastAsia="宋体"/>
                <w:sz w:val="16"/>
              </w:rPr>
              <w:t>2024年美术馆、公共图书馆、文化馆免费开放补助资金</w:t>
            </w:r>
          </w:p>
        </w:tc>
      </w:tr>
      <w:tr w14:paraId="3690E6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3C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46013">
            <w:pPr>
              <w:jc w:val="center"/>
            </w:pPr>
            <w:r>
              <w:rPr>
                <w:rFonts w:ascii="宋体" w:hAnsi="宋体" w:eastAsia="宋体"/>
                <w:sz w:val="16"/>
              </w:rPr>
              <w:t>裕民县文化广播电视和旅游局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2A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AC8FC0">
            <w:pPr>
              <w:jc w:val="center"/>
            </w:pPr>
            <w:r>
              <w:rPr>
                <w:rFonts w:ascii="宋体" w:hAnsi="宋体" w:eastAsia="宋体"/>
                <w:sz w:val="16"/>
              </w:rPr>
              <w:t>裕民县文化馆</w:t>
            </w:r>
          </w:p>
        </w:tc>
      </w:tr>
      <w:tr w14:paraId="41BC86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DEB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E9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A0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0F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DC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087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09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BCB8">
            <w:pPr>
              <w:jc w:val="center"/>
            </w:pPr>
            <w:r>
              <w:rPr>
                <w:rFonts w:ascii="宋体" w:hAnsi="宋体" w:eastAsia="宋体"/>
                <w:sz w:val="16"/>
              </w:rPr>
              <w:t>得分</w:t>
            </w:r>
          </w:p>
        </w:tc>
      </w:tr>
      <w:tr w14:paraId="7276E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10B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FC0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A18A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81E6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8BEB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B4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BA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9BC6">
            <w:pPr>
              <w:jc w:val="center"/>
            </w:pPr>
            <w:r>
              <w:rPr>
                <w:rFonts w:ascii="宋体" w:hAnsi="宋体" w:eastAsia="宋体"/>
                <w:sz w:val="16"/>
              </w:rPr>
              <w:t>10.00</w:t>
            </w:r>
          </w:p>
        </w:tc>
      </w:tr>
      <w:tr w14:paraId="36582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A8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DB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2BF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188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7B7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01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37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A544">
            <w:pPr>
              <w:jc w:val="center"/>
            </w:pPr>
            <w:r>
              <w:rPr>
                <w:rFonts w:ascii="宋体" w:hAnsi="宋体" w:eastAsia="宋体"/>
                <w:sz w:val="16"/>
              </w:rPr>
              <w:t>—</w:t>
            </w:r>
          </w:p>
        </w:tc>
      </w:tr>
      <w:tr w14:paraId="319B6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77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AC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A8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E5B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1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7B5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50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E893">
            <w:pPr>
              <w:jc w:val="center"/>
            </w:pPr>
            <w:r>
              <w:rPr>
                <w:rFonts w:ascii="宋体" w:hAnsi="宋体" w:eastAsia="宋体"/>
                <w:sz w:val="16"/>
              </w:rPr>
              <w:t>—</w:t>
            </w:r>
          </w:p>
        </w:tc>
      </w:tr>
      <w:tr w14:paraId="14EB40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674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F33B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7F21B9">
            <w:pPr>
              <w:jc w:val="center"/>
            </w:pPr>
            <w:r>
              <w:rPr>
                <w:rFonts w:ascii="宋体" w:hAnsi="宋体" w:eastAsia="宋体"/>
                <w:sz w:val="16"/>
              </w:rPr>
              <w:t>实际完成情况</w:t>
            </w:r>
          </w:p>
        </w:tc>
      </w:tr>
      <w:tr w14:paraId="5C0D7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0A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B1626">
            <w:pPr>
              <w:jc w:val="both"/>
            </w:pPr>
            <w:r>
              <w:rPr>
                <w:rFonts w:ascii="宋体" w:hAnsi="宋体" w:eastAsia="宋体"/>
                <w:sz w:val="16"/>
              </w:rPr>
              <w:t>2024年图书馆和文化馆补助资金40万元，主要用于公益性讲座、展览、阅读推广、流动图书借阅与送书下乡服务活动；民间文化传承活动、公益性群众文化活动，业务活动小型修缮及业务设备更新等。全民阅读推广等活动场次达到21场；文化惠民演出达到80场；基层文化人才培训8次。充分发挥“三馆一站”在提高公民鉴赏能力、提高各族群众思想道德和科学文化素质的作用，保障各族群众基本权益，促进社会和谐稳定。保障群众精神文化需求及达到弘</w:t>
            </w:r>
            <w:r>
              <w:rPr>
                <w:rFonts w:hint="eastAsia" w:ascii="宋体" w:hAnsi="宋体"/>
                <w:sz w:val="16"/>
                <w:lang w:eastAsia="zh-CN"/>
              </w:rPr>
              <w:t>扬和</w:t>
            </w:r>
            <w:r>
              <w:rPr>
                <w:rFonts w:ascii="宋体" w:hAnsi="宋体" w:eastAsia="宋体"/>
                <w:sz w:val="16"/>
              </w:rPr>
              <w:t>传承中华优秀传统文化的目的。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0AB17D">
            <w:pPr>
              <w:jc w:val="both"/>
            </w:pPr>
            <w:r>
              <w:rPr>
                <w:rFonts w:ascii="宋体" w:hAnsi="宋体" w:eastAsia="宋体"/>
                <w:sz w:val="16"/>
              </w:rPr>
              <w:t>2024年美术馆、公共图书馆、文化馆免费开放专项资金40万元，</w:t>
            </w:r>
            <w:r>
              <w:rPr>
                <w:rFonts w:hint="eastAsia" w:ascii="宋体" w:hAnsi="宋体"/>
                <w:sz w:val="16"/>
                <w:lang w:eastAsia="zh-CN"/>
              </w:rPr>
              <w:t>截至</w:t>
            </w:r>
            <w:r>
              <w:rPr>
                <w:rFonts w:ascii="宋体" w:hAnsi="宋体" w:eastAsia="宋体"/>
                <w:sz w:val="16"/>
              </w:rPr>
              <w:t>2024年12月25日，已经支付40万元，项目按照计划正常实行，已经完成了全民阅读推广场次21场次，实际完成21场， 文化下乡惠民演出场次80场次，实际完成80场次；基层文化人才培训班8次，实际完成8次；全民阅读推广参与率达到95%，文化惠民演出覆盖率达到100%，保障群众精神文化需求，弘扬传承中华优秀传统文化。该项目严格按照计划实施，并有效保障了绩效自评工作的顺利开展，通过美术馆、公共图书馆、文化馆免费开放项目实施，提高了各族群众思想道德和科学文化素质的作用，保</w:t>
            </w:r>
            <w:r>
              <w:rPr>
                <w:rFonts w:hint="eastAsia" w:ascii="宋体" w:hAnsi="宋体"/>
                <w:sz w:val="16"/>
                <w:lang w:eastAsia="zh-CN"/>
              </w:rPr>
              <w:t>障了</w:t>
            </w:r>
            <w:r>
              <w:rPr>
                <w:rFonts w:ascii="宋体" w:hAnsi="宋体" w:eastAsia="宋体"/>
                <w:sz w:val="16"/>
              </w:rPr>
              <w:t>各族群众基本权益，促进社会和谐稳定。</w:t>
            </w:r>
          </w:p>
        </w:tc>
      </w:tr>
      <w:tr w14:paraId="142C68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36F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1D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F7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F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0B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DB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21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57D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C8E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F6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4E1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55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24D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C012">
            <w:pPr>
              <w:jc w:val="center"/>
            </w:pPr>
            <w:r>
              <w:rPr>
                <w:rFonts w:ascii="宋体" w:hAnsi="宋体" w:eastAsia="宋体"/>
                <w:sz w:val="16"/>
              </w:rPr>
              <w:t>偏差原因分析及改进措施</w:t>
            </w:r>
          </w:p>
        </w:tc>
      </w:tr>
      <w:tr w14:paraId="2C1503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CDF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318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7FE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BFB6">
            <w:pPr>
              <w:jc w:val="center"/>
            </w:pPr>
            <w:r>
              <w:rPr>
                <w:rFonts w:ascii="宋体" w:hAnsi="宋体" w:eastAsia="宋体"/>
                <w:sz w:val="16"/>
              </w:rPr>
              <w:t>全民阅读推广场次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3BB5">
            <w:pPr>
              <w:jc w:val="center"/>
            </w:pPr>
            <w:r>
              <w:rPr>
                <w:rFonts w:ascii="宋体" w:hAnsi="宋体" w:eastAsia="宋体"/>
                <w:sz w:val="16"/>
              </w:rPr>
              <w:t>&gt;=21场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5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023E">
            <w:pPr>
              <w:jc w:val="center"/>
            </w:pPr>
            <w:r>
              <w:rPr>
                <w:rFonts w:ascii="宋体" w:hAnsi="宋体" w:eastAsia="宋体"/>
                <w:sz w:val="16"/>
              </w:rPr>
              <w:t>19场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25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2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A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385C">
            <w:pPr>
              <w:jc w:val="center"/>
            </w:pPr>
            <w:r>
              <w:rPr>
                <w:rFonts w:ascii="宋体" w:hAnsi="宋体" w:eastAsia="宋体"/>
                <w:sz w:val="16"/>
              </w:rPr>
              <w:t>21场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8F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E0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0C1B">
            <w:pPr>
              <w:jc w:val="center"/>
            </w:pPr>
          </w:p>
        </w:tc>
      </w:tr>
      <w:tr w14:paraId="08DF7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72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A0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90E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B2E9">
            <w:pPr>
              <w:jc w:val="center"/>
            </w:pPr>
            <w:r>
              <w:rPr>
                <w:rFonts w:ascii="宋体" w:hAnsi="宋体" w:eastAsia="宋体"/>
                <w:sz w:val="16"/>
              </w:rPr>
              <w:t>文化惠民演出场次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6494">
            <w:pPr>
              <w:jc w:val="center"/>
            </w:pPr>
            <w:r>
              <w:rPr>
                <w:rFonts w:ascii="宋体" w:hAnsi="宋体" w:eastAsia="宋体"/>
                <w:sz w:val="16"/>
              </w:rPr>
              <w:t>&gt;=80场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E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D42E">
            <w:pPr>
              <w:jc w:val="center"/>
            </w:pPr>
            <w:r>
              <w:rPr>
                <w:rFonts w:ascii="宋体" w:hAnsi="宋体" w:eastAsia="宋体"/>
                <w:sz w:val="16"/>
              </w:rPr>
              <w: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F2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2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D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89C7">
            <w:pPr>
              <w:jc w:val="center"/>
            </w:pPr>
            <w:r>
              <w:rPr>
                <w:rFonts w:ascii="宋体" w:hAnsi="宋体" w:eastAsia="宋体"/>
                <w:sz w:val="16"/>
              </w:rPr>
              <w:t>80场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0F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68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69E6">
            <w:pPr>
              <w:jc w:val="center"/>
            </w:pPr>
          </w:p>
        </w:tc>
      </w:tr>
      <w:tr w14:paraId="0CD56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2D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9E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CB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4108">
            <w:pPr>
              <w:jc w:val="center"/>
            </w:pPr>
            <w:r>
              <w:rPr>
                <w:rFonts w:ascii="宋体" w:hAnsi="宋体" w:eastAsia="宋体"/>
                <w:sz w:val="16"/>
              </w:rPr>
              <w:t>基层文化人才培训班次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C707">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31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2A73">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AA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5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C5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D199">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2B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E7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97ED">
            <w:pPr>
              <w:jc w:val="center"/>
            </w:pPr>
          </w:p>
        </w:tc>
      </w:tr>
      <w:tr w14:paraId="7C867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BD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008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6E5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24C">
            <w:pPr>
              <w:jc w:val="center"/>
            </w:pPr>
            <w:r>
              <w:rPr>
                <w:rFonts w:ascii="宋体" w:hAnsi="宋体" w:eastAsia="宋体"/>
                <w:sz w:val="16"/>
              </w:rPr>
              <w:t>全民阅读推广参与率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4A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3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6F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98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55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927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AF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A1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35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83F7">
            <w:pPr>
              <w:jc w:val="center"/>
            </w:pPr>
          </w:p>
        </w:tc>
      </w:tr>
      <w:tr w14:paraId="1EB82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A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AB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D0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5DC9">
            <w:pPr>
              <w:jc w:val="center"/>
            </w:pPr>
            <w:r>
              <w:rPr>
                <w:rFonts w:ascii="宋体" w:hAnsi="宋体" w:eastAsia="宋体"/>
                <w:sz w:val="16"/>
              </w:rPr>
              <w:t>文化惠民演出覆盖率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1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9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C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62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1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69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0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63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12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7E74">
            <w:pPr>
              <w:jc w:val="center"/>
            </w:pPr>
          </w:p>
        </w:tc>
      </w:tr>
      <w:tr w14:paraId="3E3E0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B7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2D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82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70A4">
            <w:pPr>
              <w:jc w:val="center"/>
            </w:pPr>
            <w:r>
              <w:rPr>
                <w:rFonts w:ascii="宋体" w:hAnsi="宋体" w:eastAsia="宋体"/>
                <w:sz w:val="16"/>
              </w:rPr>
              <w:t>基层文化人才培训合格率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FA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A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0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CA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98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70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5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6F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EC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CAB0">
            <w:pPr>
              <w:jc w:val="center"/>
            </w:pPr>
          </w:p>
        </w:tc>
      </w:tr>
      <w:tr w14:paraId="20E43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D9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57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F3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A5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89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30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9070">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31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5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44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72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0B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18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C224">
            <w:pPr>
              <w:jc w:val="center"/>
            </w:pPr>
          </w:p>
        </w:tc>
      </w:tr>
      <w:tr w14:paraId="66FFA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D77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CEC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D5F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3F00">
            <w:pPr>
              <w:jc w:val="center"/>
            </w:pPr>
            <w:r>
              <w:rPr>
                <w:rFonts w:ascii="宋体" w:hAnsi="宋体" w:eastAsia="宋体"/>
                <w:sz w:val="16"/>
              </w:rPr>
              <w:t>图书馆每年补助标准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5B3B">
            <w:pPr>
              <w:jc w:val="center"/>
            </w:pPr>
            <w:r>
              <w:rPr>
                <w:rFonts w:ascii="宋体" w:hAnsi="宋体" w:eastAsia="宋体"/>
                <w:sz w:val="16"/>
              </w:rPr>
              <w:t>&lt;=20万元//馆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45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3149">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C3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E3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61D9">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E5FE">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59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6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A3A4">
            <w:pPr>
              <w:jc w:val="center"/>
            </w:pPr>
          </w:p>
        </w:tc>
      </w:tr>
      <w:tr w14:paraId="10EAB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9F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1B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AE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8B66">
            <w:pPr>
              <w:jc w:val="center"/>
            </w:pPr>
            <w:r>
              <w:rPr>
                <w:rFonts w:ascii="宋体" w:hAnsi="宋体" w:eastAsia="宋体"/>
                <w:sz w:val="16"/>
              </w:rPr>
              <w:t>文化馆每年补助标准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3102">
            <w:pPr>
              <w:jc w:val="center"/>
            </w:pPr>
            <w:r>
              <w:rPr>
                <w:rFonts w:ascii="宋体" w:hAnsi="宋体" w:eastAsia="宋体"/>
                <w:sz w:val="16"/>
              </w:rPr>
              <w:t>&lt;=20万元/馆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F6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41CB">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1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E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7969">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4A40">
            <w:pPr>
              <w:jc w:val="center"/>
            </w:pPr>
            <w:r>
              <w:rPr>
                <w:rFonts w:ascii="宋体" w:hAnsi="宋体" w:eastAsia="宋体"/>
                <w:sz w:val="16"/>
              </w:rPr>
              <w:t>20万元/馆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80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1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730B">
            <w:pPr>
              <w:jc w:val="center"/>
            </w:pPr>
          </w:p>
        </w:tc>
      </w:tr>
      <w:tr w14:paraId="2DA7D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15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05B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093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DD16">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9A0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04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E544">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A9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0C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F7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3E8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51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4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B8B2">
            <w:pPr>
              <w:jc w:val="center"/>
            </w:pPr>
          </w:p>
        </w:tc>
      </w:tr>
      <w:tr w14:paraId="71DB9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12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43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40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4E7F">
            <w:pPr>
              <w:jc w:val="center"/>
            </w:pPr>
            <w:r>
              <w:rPr>
                <w:rFonts w:ascii="宋体" w:hAnsi="宋体" w:eastAsia="宋体"/>
                <w:sz w:val="16"/>
              </w:rPr>
              <w:t>弘</w:t>
            </w:r>
            <w:r>
              <w:rPr>
                <w:rFonts w:hint="eastAsia" w:ascii="宋体" w:hAnsi="宋体"/>
                <w:sz w:val="16"/>
                <w:lang w:eastAsia="zh-CN"/>
              </w:rPr>
              <w:t>扬和</w:t>
            </w:r>
            <w:r>
              <w:rPr>
                <w:rFonts w:ascii="宋体" w:hAnsi="宋体" w:eastAsia="宋体"/>
                <w:sz w:val="16"/>
              </w:rPr>
              <w:t>传承中华优秀传统文化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116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38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ED8C">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4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BA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98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62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91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4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7116">
            <w:pPr>
              <w:jc w:val="center"/>
            </w:pPr>
          </w:p>
        </w:tc>
      </w:tr>
      <w:tr w14:paraId="1CB30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305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C666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433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8BA7">
            <w:pPr>
              <w:jc w:val="center"/>
            </w:pPr>
            <w:r>
              <w:rPr>
                <w:rFonts w:ascii="宋体" w:hAnsi="宋体" w:eastAsia="宋体"/>
                <w:sz w:val="16"/>
              </w:rPr>
              <w:t>参与活动群众满意率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717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C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B0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C1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87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70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2E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15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37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83EB">
            <w:pPr>
              <w:jc w:val="center"/>
            </w:pPr>
          </w:p>
        </w:tc>
      </w:tr>
      <w:tr w14:paraId="3A4A4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15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C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24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4D3A">
            <w:pPr>
              <w:jc w:val="center"/>
            </w:pPr>
            <w:r>
              <w:rPr>
                <w:rFonts w:ascii="宋体" w:hAnsi="宋体" w:eastAsia="宋体"/>
                <w:sz w:val="16"/>
              </w:rPr>
              <w:t>培训人员满意率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246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6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ECD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37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67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C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19F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9E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C9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37F6">
            <w:pPr>
              <w:jc w:val="center"/>
            </w:pPr>
          </w:p>
        </w:tc>
      </w:tr>
      <w:tr w14:paraId="3F2621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665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41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C449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90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7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CA0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526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8CF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CF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FEA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605B3"/>
        </w:tc>
      </w:tr>
    </w:tbl>
    <w:p w14:paraId="4DD7597F">
      <w:r>
        <w:br w:type="page"/>
      </w:r>
    </w:p>
    <w:p w14:paraId="393C3FEF">
      <w:pPr>
        <w:spacing w:line="640" w:lineRule="exact"/>
        <w:ind w:firstLine="640"/>
        <w:jc w:val="both"/>
        <w:outlineLvl w:val="2"/>
      </w:pPr>
      <w:r>
        <w:rPr>
          <w:rFonts w:ascii="黑体" w:hAnsi="黑体" w:eastAsia="黑体"/>
          <w:sz w:val="32"/>
        </w:rPr>
        <w:t>十二、其他需说明的事项</w:t>
      </w:r>
    </w:p>
    <w:p w14:paraId="63B711A1">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项目1个，全年预算数5</w:t>
      </w:r>
      <w:r>
        <w:rPr>
          <w:rFonts w:hint="eastAsia" w:ascii="仿宋_GB2312" w:hAnsi="仿宋_GB2312" w:eastAsia="仿宋_GB2312"/>
          <w:b w:val="0"/>
          <w:sz w:val="32"/>
          <w:lang w:val="en-US" w:eastAsia="zh-CN"/>
        </w:rPr>
        <w:t>.00</w:t>
      </w:r>
      <w:r>
        <w:rPr>
          <w:rFonts w:ascii="仿宋_GB2312" w:hAnsi="仿宋_GB2312" w:eastAsia="仿宋_GB2312"/>
          <w:b w:val="0"/>
          <w:sz w:val="32"/>
        </w:rPr>
        <w:t>万元，全年执行数5</w:t>
      </w:r>
      <w:r>
        <w:rPr>
          <w:rFonts w:hint="eastAsia" w:ascii="仿宋_GB2312" w:hAnsi="仿宋_GB2312" w:eastAsia="仿宋_GB2312"/>
          <w:b w:val="0"/>
          <w:sz w:val="32"/>
          <w:lang w:val="en-US" w:eastAsia="zh-CN"/>
        </w:rPr>
        <w:t>.00</w:t>
      </w:r>
      <w:r>
        <w:rPr>
          <w:rFonts w:ascii="仿宋_GB2312" w:hAnsi="仿宋_GB2312" w:eastAsia="仿宋_GB2312"/>
          <w:b w:val="0"/>
          <w:sz w:val="32"/>
        </w:rPr>
        <w:t>万元。</w:t>
      </w:r>
    </w:p>
    <w:p w14:paraId="1E5F493D">
      <w:r>
        <w:br w:type="page"/>
      </w:r>
    </w:p>
    <w:p w14:paraId="3DD75464">
      <w:pPr>
        <w:spacing w:line="240" w:lineRule="auto"/>
        <w:jc w:val="center"/>
        <w:outlineLvl w:val="1"/>
      </w:pPr>
      <w:r>
        <w:rPr>
          <w:rFonts w:ascii="黑体" w:hAnsi="黑体" w:eastAsia="黑体"/>
          <w:sz w:val="32"/>
        </w:rPr>
        <w:t>第三部分 专业名词解释</w:t>
      </w:r>
    </w:p>
    <w:p w14:paraId="2D5AEBB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6608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57867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BC12D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CBCAB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1D389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59B52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32AC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79838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7DE17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5CEA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E781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5DBC2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38DC1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4FCF16">
      <w:r>
        <w:br w:type="page"/>
      </w:r>
    </w:p>
    <w:p w14:paraId="73E94DBA">
      <w:pPr>
        <w:spacing w:line="240" w:lineRule="auto"/>
        <w:jc w:val="center"/>
        <w:outlineLvl w:val="1"/>
      </w:pPr>
      <w:r>
        <w:rPr>
          <w:rFonts w:ascii="黑体" w:hAnsi="黑体" w:eastAsia="黑体"/>
          <w:sz w:val="32"/>
        </w:rPr>
        <w:t>第四部分 部门决算报表（见附表）</w:t>
      </w:r>
    </w:p>
    <w:p w14:paraId="3697EC08">
      <w:pPr>
        <w:spacing w:line="240" w:lineRule="auto"/>
        <w:ind w:firstLine="640"/>
        <w:jc w:val="both"/>
      </w:pPr>
      <w:r>
        <w:rPr>
          <w:rFonts w:ascii="仿宋_GB2312" w:hAnsi="仿宋_GB2312" w:eastAsia="仿宋_GB2312"/>
          <w:b w:val="0"/>
          <w:sz w:val="32"/>
        </w:rPr>
        <w:t>一、《收入支出决算总表》</w:t>
      </w:r>
    </w:p>
    <w:p w14:paraId="6802A2DB">
      <w:pPr>
        <w:spacing w:line="240" w:lineRule="auto"/>
        <w:ind w:firstLine="640"/>
        <w:jc w:val="both"/>
      </w:pPr>
      <w:r>
        <w:rPr>
          <w:rFonts w:ascii="仿宋_GB2312" w:hAnsi="仿宋_GB2312" w:eastAsia="仿宋_GB2312"/>
          <w:b w:val="0"/>
          <w:sz w:val="32"/>
        </w:rPr>
        <w:t>二、《收入决算表》</w:t>
      </w:r>
    </w:p>
    <w:p w14:paraId="07AF95D8">
      <w:pPr>
        <w:spacing w:line="240" w:lineRule="auto"/>
        <w:ind w:firstLine="640"/>
        <w:jc w:val="both"/>
      </w:pPr>
      <w:r>
        <w:rPr>
          <w:rFonts w:ascii="仿宋_GB2312" w:hAnsi="仿宋_GB2312" w:eastAsia="仿宋_GB2312"/>
          <w:b w:val="0"/>
          <w:sz w:val="32"/>
        </w:rPr>
        <w:t>三、《支出决算表》</w:t>
      </w:r>
    </w:p>
    <w:p w14:paraId="7D568F9E">
      <w:pPr>
        <w:spacing w:line="240" w:lineRule="auto"/>
        <w:ind w:firstLine="640"/>
        <w:jc w:val="both"/>
      </w:pPr>
      <w:r>
        <w:rPr>
          <w:rFonts w:ascii="仿宋_GB2312" w:hAnsi="仿宋_GB2312" w:eastAsia="仿宋_GB2312"/>
          <w:b w:val="0"/>
          <w:sz w:val="32"/>
        </w:rPr>
        <w:t>四、《财政拨款收入支出决算总表》</w:t>
      </w:r>
    </w:p>
    <w:p w14:paraId="39AAE22E">
      <w:pPr>
        <w:spacing w:line="240" w:lineRule="auto"/>
        <w:ind w:firstLine="640"/>
        <w:jc w:val="both"/>
      </w:pPr>
      <w:r>
        <w:rPr>
          <w:rFonts w:ascii="仿宋_GB2312" w:hAnsi="仿宋_GB2312" w:eastAsia="仿宋_GB2312"/>
          <w:b w:val="0"/>
          <w:sz w:val="32"/>
        </w:rPr>
        <w:t>五、《一般公共预算财政拨款支出决算表》</w:t>
      </w:r>
    </w:p>
    <w:p w14:paraId="6F3AC96F">
      <w:pPr>
        <w:spacing w:line="240" w:lineRule="auto"/>
        <w:ind w:firstLine="640"/>
        <w:jc w:val="both"/>
      </w:pPr>
      <w:r>
        <w:rPr>
          <w:rFonts w:ascii="仿宋_GB2312" w:hAnsi="仿宋_GB2312" w:eastAsia="仿宋_GB2312"/>
          <w:b w:val="0"/>
          <w:sz w:val="32"/>
        </w:rPr>
        <w:t>六、《一般公共预算财政拨款基本支出决算表》</w:t>
      </w:r>
    </w:p>
    <w:p w14:paraId="37A1634B">
      <w:pPr>
        <w:spacing w:line="240" w:lineRule="auto"/>
        <w:ind w:firstLine="640"/>
        <w:jc w:val="both"/>
      </w:pPr>
      <w:r>
        <w:rPr>
          <w:rFonts w:ascii="仿宋_GB2312" w:hAnsi="仿宋_GB2312" w:eastAsia="仿宋_GB2312"/>
          <w:b w:val="0"/>
          <w:sz w:val="32"/>
        </w:rPr>
        <w:t>七、《政府性基金预算财政拨款收入支出决算表》</w:t>
      </w:r>
    </w:p>
    <w:p w14:paraId="3B31FED1">
      <w:pPr>
        <w:spacing w:line="240" w:lineRule="auto"/>
        <w:ind w:firstLine="640"/>
        <w:jc w:val="both"/>
      </w:pPr>
      <w:r>
        <w:rPr>
          <w:rFonts w:ascii="仿宋_GB2312" w:hAnsi="仿宋_GB2312" w:eastAsia="仿宋_GB2312"/>
          <w:b w:val="0"/>
          <w:sz w:val="32"/>
        </w:rPr>
        <w:t>八、《国有资本经营预算财政拨款收入支出决算表》</w:t>
      </w:r>
    </w:p>
    <w:p w14:paraId="3F95F17C">
      <w:pPr>
        <w:spacing w:line="240" w:lineRule="auto"/>
        <w:ind w:firstLine="640"/>
        <w:jc w:val="both"/>
      </w:pPr>
      <w:r>
        <w:rPr>
          <w:rFonts w:ascii="仿宋_GB2312" w:hAnsi="仿宋_GB2312" w:eastAsia="仿宋_GB2312"/>
          <w:b w:val="0"/>
          <w:sz w:val="32"/>
        </w:rPr>
        <w:t>九、《财政拨款“三公”经费支出决算表》</w:t>
      </w:r>
    </w:p>
    <w:p w14:paraId="6BB06D19">
      <w:pPr>
        <w:spacing w:line="240" w:lineRule="auto"/>
        <w:ind w:firstLine="640"/>
        <w:jc w:val="both"/>
      </w:pPr>
    </w:p>
    <w:p w14:paraId="0B97EC2C">
      <w:pPr>
        <w:spacing w:line="240" w:lineRule="auto"/>
        <w:ind w:firstLine="640"/>
        <w:jc w:val="both"/>
      </w:pPr>
    </w:p>
    <w:p w14:paraId="1EDA1A77">
      <w:pPr>
        <w:spacing w:line="240" w:lineRule="auto"/>
        <w:ind w:firstLine="640"/>
        <w:jc w:val="both"/>
      </w:pPr>
    </w:p>
    <w:p w14:paraId="73FF55F1">
      <w:pPr>
        <w:spacing w:line="240" w:lineRule="auto"/>
        <w:ind w:firstLine="640"/>
        <w:jc w:val="both"/>
      </w:pPr>
    </w:p>
    <w:p w14:paraId="106195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A43AEC-5F97-4556-B3FF-66FBCA065C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A9507E5-04DD-4463-803F-48D8228B0E63}"/>
  </w:font>
  <w:font w:name="仿宋_GB2312">
    <w:panose1 w:val="02010609030101010101"/>
    <w:charset w:val="86"/>
    <w:family w:val="modern"/>
    <w:pitch w:val="default"/>
    <w:sig w:usb0="00000001" w:usb1="080E0000" w:usb2="00000000" w:usb3="00000000" w:csb0="00040000" w:csb1="00000000"/>
    <w:embedRegular r:id="rId3" w:fontKey="{D4AC8512-1972-45C6-AF5B-04DB107643BB}"/>
  </w:font>
  <w:font w:name="楷体_GB2312">
    <w:panose1 w:val="02010609030101010101"/>
    <w:charset w:val="86"/>
    <w:family w:val="auto"/>
    <w:pitch w:val="default"/>
    <w:sig w:usb0="00000001" w:usb1="080E0000" w:usb2="00000000" w:usb3="00000000" w:csb0="00040000" w:csb1="00000000"/>
    <w:embedRegular r:id="rId4" w:fontKey="{1A4C4C02-146B-416E-B4DF-DD43E4D600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03DE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7D330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7D330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2B577A"/>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E41276"/>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F545C1"/>
    <w:rsid w:val="52F92565"/>
    <w:rsid w:val="543D17CB"/>
    <w:rsid w:val="55DA564E"/>
    <w:rsid w:val="56E07045"/>
    <w:rsid w:val="583059FA"/>
    <w:rsid w:val="587E6212"/>
    <w:rsid w:val="5AFC6609"/>
    <w:rsid w:val="5FA17648"/>
    <w:rsid w:val="5FD320BD"/>
    <w:rsid w:val="60DE4D57"/>
    <w:rsid w:val="613409CB"/>
    <w:rsid w:val="61A46A97"/>
    <w:rsid w:val="62DD7D21"/>
    <w:rsid w:val="643A3BFE"/>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b361b58a-5b41-4ef0-8677-e14a9b262b34</errorID>
      <errorWord>,</errorWord>
      <group>L1_Format</group>
      <groupName>格式问题</groupName>
      <ability>L2_HalfPunc</ability>
      <abilityName>全半角检查</abilityName>
      <candidateList>
        <item>，</item>
      </candidateList>
      <explain>文本全半角错误。</explain>
      <paraID>466FCA42</paraID>
      <start>56</start>
      <end>57</end>
      <status>unmodified</status>
      <modifiedWord/>
      <trackRevisions>false</trackRevisions>
    </reviewItem>
    <reviewItem>
      <errorID>6d174715-7528-4f28-a34a-f0f6701afbd3</errorID>
      <errorWord>,</errorWord>
      <group>L1_Format</group>
      <groupName>格式问题</groupName>
      <ability>L2_HalfPunc</ability>
      <abilityName>全半角检查</abilityName>
      <candidateList>
        <item>，</item>
      </candidateList>
      <explain>文本全半角错误。</explain>
      <paraID> 66F545D</paraID>
      <start>126</start>
      <end>127</end>
      <status>unmodified</status>
      <modifiedWord/>
      <trackRevisions>false</trackRevisions>
    </reviewItem>
    <reviewItem>
      <errorID>cb2155be-3f4f-4eca-983e-2531fb831ed3</errorID>
      <errorWord>,</errorWord>
      <group>L1_Format</group>
      <groupName>格式问题</groupName>
      <ability>L2_HalfPunc</ability>
      <abilityName>全半角检查</abilityName>
      <candidateList>
        <item>，</item>
      </candidateList>
      <explain>文本全半角错误。</explain>
      <paraID>7AD90D3B</paraID>
      <start>17</start>
      <end>18</end>
      <status>unmodified</status>
      <modifiedWord/>
      <trackRevisions>false</trackRevisions>
    </reviewItem>
    <reviewItem>
      <errorID>c058a6a6-ab23-4b49-98de-43d467ecd1ae</errorID>
      <errorWord>,</errorWord>
      <group>L1_Format</group>
      <groupName>格式问题</groupName>
      <ability>L2_HalfPunc</ability>
      <abilityName>全半角检查</abilityName>
      <candidateList>
        <item>，</item>
      </candidateList>
      <explain>文本全半角错误。</explain>
      <paraID> 38630D9</paraID>
      <start>24</start>
      <end>25</end>
      <status>unmodified</status>
      <modifiedWord/>
      <trackRevisions>false</trackRevisions>
    </reviewItem>
    <reviewItem>
      <errorID>4b2e8230-5435-4ea2-aaf0-b0ebc9d31ab5</errorID>
      <errorWord>,</errorWord>
      <group>L1_Format</group>
      <groupName>格式问题</groupName>
      <ability>L2_HalfPunc</ability>
      <abilityName>全半角检查</abilityName>
      <candidateList>
        <item>，</item>
      </candidateList>
      <explain>文本全半角错误。</explain>
      <paraID>6EB2756B</paraID>
      <start>21</start>
      <end>22</end>
      <status>unmodified</status>
      <modifiedWord/>
      <trackRevisions>false</trackRevisions>
    </reviewItem>
    <reviewItem>
      <errorID>0801bc9d-a36b-4eb5-b98f-2b5bb33aad7e</errorID>
      <errorWord>,</errorWord>
      <group>L1_Format</group>
      <groupName>格式问题</groupName>
      <ability>L2_HalfPunc</ability>
      <abilityName>全半角检查</abilityName>
      <candidateList>
        <item>，</item>
      </candidateList>
      <explain>文本全半角错误。</explain>
      <paraID>46A126B4</paraID>
      <start>18</start>
      <end>19</end>
      <status>unmodified</status>
      <modifiedWord/>
      <trackRevisions>false</trackRevisions>
    </reviewItem>
    <reviewItem>
      <errorID>dde8bdae-efab-48a0-933e-ea9596a5ceb3</errorID>
      <errorWord>,</errorWord>
      <group>L1_Format</group>
      <groupName>格式问题</groupName>
      <ability>L2_HalfPunc</ability>
      <abilityName>全半角检查</abilityName>
      <candidateList>
        <item>，</item>
      </candidateList>
      <explain>文本全半角错误。</explain>
      <paraID> 5234A8C</paraID>
      <start>18</start>
      <end>19</end>
      <status>unmodified</status>
      <modifiedWord/>
      <trackRevisions>false</trackRevisions>
    </reviewItem>
    <reviewItem>
      <errorID>e1e5b293-6a26-421d-95e2-8bb9ef304fec</errorID>
      <errorWord>:</errorWord>
      <group>L1_Format</group>
      <groupName>格式问题</groupName>
      <ability>L2_HalfPunc</ability>
      <abilityName>全半角检查</abilityName>
      <candidateList>
        <item>：</item>
      </candidateList>
      <explain>文本全半角错误。</explain>
      <paraID>1C1DE5A5</paraID>
      <start>37</start>
      <end>38</end>
      <status>unmodified</status>
      <modifiedWord/>
      <trackRevisions>false</trackRevisions>
    </reviewItem>
    <reviewItem>
      <errorID>738a2f23-3c6a-4408-966f-1b01f21033a8</errorID>
      <errorWord>,</errorWord>
      <group>L1_Format</group>
      <groupName>格式问题</groupName>
      <ability>L2_HalfPunc</ability>
      <abilityName>全半角检查</abilityName>
      <candidateList>
        <item>，</item>
      </candidateList>
      <explain>文本全半角错误。</explain>
      <paraID>1C1DE5A5</paraID>
      <start>73</start>
      <end>74</end>
      <status>unmodified</status>
      <modifiedWord/>
      <trackRevisions>false</trackRevisions>
    </reviewItem>
    <reviewItem>
      <errorID>dd1e88cd-c639-4643-a893-56de458342e9</errorID>
      <errorWord>:</errorWord>
      <group>L1_Format</group>
      <groupName>格式问题</groupName>
      <ability>L2_HalfPunc</ability>
      <abilityName>全半角检查</abilityName>
      <candidateList>
        <item>：</item>
      </candidateList>
      <explain>文本全半角错误。</explain>
      <paraID>3D6D472E</paraID>
      <start>31</start>
      <end>32</end>
      <status>unmodified</status>
      <modifiedWord/>
      <trackRevisions>false</trackRevisions>
    </reviewItem>
    <reviewItem>
      <errorID>91d1f240-6a8f-422d-9700-c2af72db94b3</errorID>
      <errorWord>,</errorWord>
      <group>L1_Format</group>
      <groupName>格式问题</groupName>
      <ability>L2_HalfPunc</ability>
      <abilityName>全半角检查</abilityName>
      <candidateList>
        <item>，</item>
      </candidateList>
      <explain>文本全半角错误。</explain>
      <paraID>3D6D472E</paraID>
      <start>70</start>
      <end>71</end>
      <status>unmodified</status>
      <modifiedWord/>
      <trackRevisions>false</trackRevisions>
    </reviewItem>
    <reviewItem>
      <errorID>fd62ad55-fdea-43d1-b3ac-4d589d0bf620</errorID>
      <errorWord>:</errorWord>
      <group>L1_Format</group>
      <groupName>格式问题</groupName>
      <ability>L2_HalfPunc</ability>
      <abilityName>全半角检查</abilityName>
      <candidateList>
        <item>：</item>
      </candidateList>
      <explain>文本全半角错误。</explain>
      <paraID>3187B98B</paraID>
      <start>34</start>
      <end>35</end>
      <status>unmodified</status>
      <modifiedWord/>
      <trackRevisions>false</trackRevisions>
    </reviewItem>
    <reviewItem>
      <errorID>9d3314f5-8399-4add-9034-e672da737f78</errorID>
      <errorWord>,</errorWord>
      <group>L1_Format</group>
      <groupName>格式问题</groupName>
      <ability>L2_HalfPunc</ability>
      <abilityName>全半角检查</abilityName>
      <candidateList>
        <item>，</item>
      </candidateList>
      <explain>文本全半角错误。</explain>
      <paraID>3187B98B</paraID>
      <start>72</start>
      <end>73</end>
      <status>unmodified</status>
      <modifiedWord/>
      <trackRevisions>false</trackRevisions>
    </reviewItem>
    <reviewItem>
      <errorID>f6dedaa6-4aa1-4b73-bc95-25a0aba2ec4c</errorID>
      <errorWord>:</errorWord>
      <group>L1_Format</group>
      <groupName>格式问题</groupName>
      <ability>L2_HalfPunc</ability>
      <abilityName>全半角检查</abilityName>
      <candidateList>
        <item>：</item>
      </candidateList>
      <explain>文本全半角错误。</explain>
      <paraID> 71A9EAE</paraID>
      <start>36</start>
      <end>37</end>
      <status>unmodified</status>
      <modifiedWord/>
      <trackRevisions>false</trackRevisions>
    </reviewItem>
    <reviewItem>
      <errorID>b685bb98-1520-4346-988c-df90a22718a2</errorID>
      <errorWord>,</errorWord>
      <group>L1_Format</group>
      <groupName>格式问题</groupName>
      <ability>L2_HalfPunc</ability>
      <abilityName>全半角检查</abilityName>
      <candidateList>
        <item>，</item>
      </candidateList>
      <explain>文本全半角错误。</explain>
      <paraID> 71A9EAE</paraID>
      <start>72</start>
      <end>73</end>
      <status>unmodified</status>
      <modifiedWord/>
      <trackRevisions>false</trackRevisions>
    </reviewItem>
    <reviewItem>
      <errorID>9e2b5725-6db4-4f14-879b-4a04234d15c5</errorID>
      <errorWord>:</errorWord>
      <group>L1_Format</group>
      <groupName>格式问题</groupName>
      <ability>L2_HalfPunc</ability>
      <abilityName>全半角检查</abilityName>
      <candidateList>
        <item>：</item>
      </candidateList>
      <explain>文本全半角错误。</explain>
      <paraID>51807253</paraID>
      <start>48</start>
      <end>49</end>
      <status>unmodified</status>
      <modifiedWord/>
      <trackRevisions>false</trackRevisions>
    </reviewItem>
    <reviewItem>
      <errorID>e2954b3c-191c-4dc8-badc-e9c9dcbcd301</errorID>
      <errorWord>,</errorWord>
      <group>L1_Format</group>
      <groupName>格式问题</groupName>
      <ability>L2_HalfPunc</ability>
      <abilityName>全半角检查</abilityName>
      <candidateList>
        <item>，</item>
      </candidateList>
      <explain>文本全半角错误。</explain>
      <paraID>51807253</paraID>
      <start>85</start>
      <end>86</end>
      <status>unmodified</status>
      <modifiedWord/>
      <trackRevisions>false</trackRevisions>
    </reviewItem>
    <reviewItem>
      <errorID>d24c9894-0b07-40eb-9deb-7c1783a439cd</errorID>
      <errorWord>:</errorWord>
      <group>L1_Format</group>
      <groupName>格式问题</groupName>
      <ability>L2_HalfPunc</ability>
      <abilityName>全半角检查</abilityName>
      <candidateList>
        <item>：</item>
      </candidateList>
      <explain>文本全半角错误。</explain>
      <paraID>62F5EEE4</paraID>
      <start>37</start>
      <end>38</end>
      <status>unmodified</status>
      <modifiedWord/>
      <trackRevisions>false</trackRevisions>
    </reviewItem>
    <reviewItem>
      <errorID>33eafe5e-0d26-4845-a69e-d63708887eeb</errorID>
      <errorWord>,</errorWord>
      <group>L1_Format</group>
      <groupName>格式问题</groupName>
      <ability>L2_HalfPunc</ability>
      <abilityName>全半角检查</abilityName>
      <candidateList>
        <item>，</item>
      </candidateList>
      <explain>文本全半角错误。</explain>
      <paraID>62F5EEE4</paraID>
      <start>74</start>
      <end>75</end>
      <status>unmodified</status>
      <modifiedWord/>
      <trackRevisions>false</trackRevisions>
    </reviewItem>
    <reviewItem>
      <errorID>1c163c63-f0dd-45dc-8ee2-397a5c0e2c00</errorID>
      <errorWord>:</errorWord>
      <group>L1_Format</group>
      <groupName>格式问题</groupName>
      <ability>L2_HalfPunc</ability>
      <abilityName>全半角检查</abilityName>
      <candidateList>
        <item>：</item>
      </candidateList>
      <explain>文本全半角错误。</explain>
      <paraID>4CD7EF3D</paraID>
      <start>46</start>
      <end>47</end>
      <status>unmodified</status>
      <modifiedWord/>
      <trackRevisions>false</trackRevisions>
    </reviewItem>
    <reviewItem>
      <errorID>1b77ccbb-1bae-4cb1-a32c-b50945a1138b</errorID>
      <errorWord>,</errorWord>
      <group>L1_Format</group>
      <groupName>格式问题</groupName>
      <ability>L2_HalfPunc</ability>
      <abilityName>全半角检查</abilityName>
      <candidateList>
        <item>，</item>
      </candidateList>
      <explain>文本全半角错误。</explain>
      <paraID>4CD7EF3D</paraID>
      <start>83</start>
      <end>84</end>
      <status>unmodified</status>
      <modifiedWord/>
      <trackRevisions>false</trackRevisions>
    </reviewItem>
    <reviewItem>
      <errorID>731a7593-6baf-4f65-8e94-681694666b2b</errorID>
      <errorWord>:</errorWord>
      <group>L1_Format</group>
      <groupName>格式问题</groupName>
      <ability>L2_HalfPunc</ability>
      <abilityName>全半角检查</abilityName>
      <candidateList>
        <item>：</item>
      </candidateList>
      <explain>文本全半角错误。</explain>
      <paraID>6584393D</paraID>
      <start>44</start>
      <end>45</end>
      <status>unmodified</status>
      <modifiedWord/>
      <trackRevisions>false</trackRevisions>
    </reviewItem>
    <reviewItem>
      <errorID>aa500a15-44ee-42f8-b46b-9dbf189e6e6b</errorID>
      <errorWord>,</errorWord>
      <group>L1_Format</group>
      <groupName>格式问题</groupName>
      <ability>L2_HalfPunc</ability>
      <abilityName>全半角检查</abilityName>
      <candidateList>
        <item>，</item>
      </candidateList>
      <explain>文本全半角错误。</explain>
      <paraID>6584393D</paraID>
      <start>80</start>
      <end>81</end>
      <status>unmodified</status>
      <modifiedWord/>
      <trackRevisions>false</trackRevisions>
    </reviewItem>
    <reviewItem>
      <errorID>a032f765-12ea-4708-8e73-50c76e0c736e</errorID>
      <errorWord>:</errorWord>
      <group>L1_Format</group>
      <groupName>格式问题</groupName>
      <ability>L2_HalfPunc</ability>
      <abilityName>全半角检查</abilityName>
      <candidateList>
        <item>：</item>
      </candidateList>
      <explain>文本全半角错误。</explain>
      <paraID>4FCE70F4</paraID>
      <start>31</start>
      <end>32</end>
      <status>unmodified</status>
      <modifiedWord/>
      <trackRevisions>false</trackRevisions>
    </reviewItem>
    <reviewItem>
      <errorID>51d039f6-dbd4-4af6-afdd-a6b125fd6098</errorID>
      <errorWord>,</errorWord>
      <group>L1_Format</group>
      <groupName>格式问题</groupName>
      <ability>L2_HalfPunc</ability>
      <abilityName>全半角检查</abilityName>
      <candidateList>
        <item>，</item>
      </candidateList>
      <explain>文本全半角错误。</explain>
      <paraID>4FCE70F4</paraID>
      <start>68</start>
      <end>69</end>
      <status>unmodified</status>
      <modifiedWord/>
      <trackRevisions>false</trackRevisions>
    </reviewItem>
    <reviewItem>
      <errorID>20a9bd8e-bf00-4fde-9b81-4920993f486c</errorID>
      <errorWord>:</errorWord>
      <group>L1_Format</group>
      <groupName>格式问题</groupName>
      <ability>L2_HalfPunc</ability>
      <abilityName>全半角检查</abilityName>
      <candidateList>
        <item>：</item>
      </candidateList>
      <explain>文本全半角错误。</explain>
      <paraID>6DC4E79F</paraID>
      <start>29</start>
      <end>30</end>
      <status>unmodified</status>
      <modifiedWord/>
      <trackRevisions>false</trackRevisions>
    </reviewItem>
    <reviewItem>
      <errorID>434f693a-9c07-4ead-874f-485aea3b8f00</errorID>
      <errorWord>,</errorWord>
      <group>L1_Format</group>
      <groupName>格式问题</groupName>
      <ability>L2_HalfPunc</ability>
      <abilityName>全半角检查</abilityName>
      <candidateList>
        <item>，</item>
      </candidateList>
      <explain>文本全半角错误。</explain>
      <paraID>6DC4E79F</paraID>
      <start>66</start>
      <end>67</end>
      <status>unmodified</status>
      <modifiedWord/>
      <trackRevisions>false</trackRevisions>
    </reviewItem>
    <reviewItem>
      <errorID>2a73c1d8-1d91-4b5c-aa45-d5f143ec337a</errorID>
      <errorWord>高</errorWord>
      <group>L1_Word</group>
      <groupName>字词问题</groupName>
      <ability>L2_Typo</ability>
      <abilityName>字词错误</abilityName>
      <candidateList>
        <item>高了</item>
      </candidateList>
      <explain/>
      <paraID>74E1A9B6</paraID>
      <start>165</start>
      <end>166</end>
      <status>unmodified</status>
      <modifiedWord/>
      <trackRevisions>false</trackRevisions>
    </reviewItem>
    <reviewItem>
      <errorID>74260702-189b-435b-b33e-d406fbae970b</errorID>
      <errorWord>:</errorWord>
      <group>L1_Format</group>
      <groupName>格式问题</groupName>
      <ability>L2_HalfPunc</ability>
      <abilityName>全半角检查</abilityName>
      <candidateList>
        <item>：</item>
      </candidateList>
      <explain>文本全半角错误。</explain>
      <paraID>17EBD494</paraID>
      <start>2</start>
      <end>3</end>
      <status>unmodified</status>
      <modifiedWord/>
      <trackRevisions>false</trackRevisions>
    </reviewItem>
    <reviewItem>
      <errorID>8bbfec78-c66d-4838-a0af-00872082f6ce</errorID>
      <errorWord>,</errorWord>
      <group>L1_Format</group>
      <groupName>格式问题</groupName>
      <ability>L2_HalfPunc</ability>
      <abilityName>全半角检查</abilityName>
      <candidateList>
        <item>，</item>
      </candidateList>
      <explain>文本全半角错误。</explain>
      <paraID>377161D9</paraID>
      <start>4</start>
      <end>5</end>
      <status>unmodified</status>
      <modifiedWord/>
      <trackRevisions>false</trackRevisions>
    </reviewItem>
    <reviewItem>
      <errorID>d91493ab-3004-4b0b-af02-902a8f5e12e0</errorID>
      <errorWord>,</errorWord>
      <group>L1_Format</group>
      <groupName>格式问题</groupName>
      <ability>L2_HalfPunc</ability>
      <abilityName>全半角检查</abilityName>
      <candidateList>
        <item>，</item>
      </candidateList>
      <explain>文本全半角错误。</explain>
      <paraID>70437969</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eff4e-9a9d-450a-8b14-754866f1428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7921</Words>
  <Characters>8997</Characters>
  <Lines>0</Lines>
  <Paragraphs>0</Paragraphs>
  <TotalTime>3</TotalTime>
  <ScaleCrop>false</ScaleCrop>
  <LinksUpToDate>false</LinksUpToDate>
  <CharactersWithSpaces>9012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