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401223"/>
    <w:p w14:paraId="4C2290AA">
      <w:pPr>
        <w:spacing w:line="540" w:lineRule="exact"/>
        <w:jc w:val="center"/>
        <w:rPr>
          <w:rFonts w:hint="default" w:ascii="Times New Roman" w:hAnsi="Times New Roman" w:eastAsia="华文中宋" w:cs="Times New Roman"/>
          <w:b/>
          <w:kern w:val="0"/>
          <w:sz w:val="52"/>
          <w:szCs w:val="52"/>
        </w:rPr>
      </w:pPr>
    </w:p>
    <w:p w14:paraId="0A7FE47F">
      <w:pPr>
        <w:spacing w:line="540" w:lineRule="exact"/>
        <w:rPr>
          <w:rFonts w:hint="default" w:ascii="Times New Roman" w:hAnsi="Times New Roman" w:eastAsia="华文中宋" w:cs="Times New Roman"/>
          <w:b/>
          <w:kern w:val="0"/>
          <w:sz w:val="52"/>
          <w:szCs w:val="52"/>
        </w:rPr>
      </w:pPr>
    </w:p>
    <w:p w14:paraId="643AD518">
      <w:pPr>
        <w:spacing w:line="540" w:lineRule="exact"/>
        <w:jc w:val="center"/>
        <w:rPr>
          <w:rFonts w:hint="default" w:ascii="Times New Roman" w:hAnsi="Times New Roman" w:eastAsia="华文中宋" w:cs="Times New Roman"/>
          <w:b/>
          <w:kern w:val="0"/>
          <w:sz w:val="52"/>
          <w:szCs w:val="52"/>
        </w:rPr>
      </w:pPr>
    </w:p>
    <w:p w14:paraId="575D91A3">
      <w:pPr>
        <w:spacing w:line="540" w:lineRule="exact"/>
        <w:jc w:val="center"/>
        <w:rPr>
          <w:rFonts w:hint="default" w:ascii="Times New Roman" w:hAnsi="Times New Roman" w:eastAsia="华文中宋" w:cs="Times New Roman"/>
          <w:b/>
          <w:kern w:val="0"/>
          <w:sz w:val="52"/>
          <w:szCs w:val="52"/>
        </w:rPr>
      </w:pPr>
    </w:p>
    <w:p w14:paraId="04F870F2">
      <w:pPr>
        <w:spacing w:line="540" w:lineRule="exact"/>
        <w:jc w:val="center"/>
        <w:rPr>
          <w:rFonts w:hint="default" w:ascii="Times New Roman" w:hAnsi="Times New Roman" w:eastAsia="华文中宋" w:cs="Times New Roman"/>
          <w:b/>
          <w:kern w:val="0"/>
          <w:sz w:val="52"/>
          <w:szCs w:val="52"/>
        </w:rPr>
      </w:pPr>
      <w:r>
        <w:rPr>
          <w:rFonts w:hint="default" w:ascii="Times New Roman" w:hAnsi="Times New Roman" w:eastAsia="华文中宋" w:cs="Times New Roman"/>
          <w:b/>
          <w:kern w:val="0"/>
          <w:sz w:val="52"/>
          <w:szCs w:val="52"/>
        </w:rPr>
        <w:t>2024年中央财政支持学前教育发展项目支出绩效评价报告</w:t>
      </w:r>
    </w:p>
    <w:p w14:paraId="3E0E955B">
      <w:pPr>
        <w:spacing w:line="540" w:lineRule="exact"/>
        <w:jc w:val="center"/>
        <w:rPr>
          <w:rFonts w:hint="default" w:ascii="Times New Roman" w:hAnsi="Times New Roman" w:eastAsia="华文中宋" w:cs="Times New Roman"/>
          <w:b/>
          <w:kern w:val="0"/>
          <w:sz w:val="52"/>
          <w:szCs w:val="52"/>
        </w:rPr>
      </w:pPr>
    </w:p>
    <w:p w14:paraId="05834A9E">
      <w:pPr>
        <w:spacing w:line="540" w:lineRule="exact"/>
        <w:jc w:val="center"/>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（202</w:t>
      </w:r>
      <w:r>
        <w:rPr>
          <w:rFonts w:hint="default" w:ascii="Times New Roman" w:hAnsi="Times New Roman" w:eastAsia="仿宋_GB2312" w:cs="Times New Roman"/>
          <w:kern w:val="0"/>
          <w:sz w:val="36"/>
          <w:szCs w:val="36"/>
          <w:lang w:val="en-US" w:eastAsia="zh-CN"/>
        </w:rPr>
        <w:t>4</w:t>
      </w:r>
      <w:r>
        <w:rPr>
          <w:rFonts w:hint="default" w:ascii="Times New Roman" w:hAnsi="Times New Roman" w:eastAsia="仿宋_GB2312" w:cs="Times New Roman"/>
          <w:kern w:val="0"/>
          <w:sz w:val="36"/>
          <w:szCs w:val="36"/>
        </w:rPr>
        <w:t>年度）</w:t>
      </w:r>
    </w:p>
    <w:p w14:paraId="3619759B">
      <w:pPr>
        <w:spacing w:line="540" w:lineRule="exact"/>
        <w:jc w:val="center"/>
        <w:rPr>
          <w:rFonts w:hint="default" w:ascii="Times New Roman" w:hAnsi="Times New Roman" w:eastAsia="仿宋_GB2312" w:cs="Times New Roman"/>
          <w:kern w:val="0"/>
          <w:sz w:val="30"/>
          <w:szCs w:val="30"/>
        </w:rPr>
      </w:pPr>
    </w:p>
    <w:p w14:paraId="7A16AA1C">
      <w:pPr>
        <w:spacing w:line="540" w:lineRule="exact"/>
        <w:jc w:val="center"/>
        <w:rPr>
          <w:rFonts w:hint="default" w:ascii="Times New Roman" w:hAnsi="Times New Roman" w:eastAsia="仿宋_GB2312" w:cs="Times New Roman"/>
          <w:kern w:val="0"/>
          <w:sz w:val="30"/>
          <w:szCs w:val="30"/>
        </w:rPr>
      </w:pPr>
    </w:p>
    <w:p w14:paraId="460E7455">
      <w:pPr>
        <w:spacing w:line="540" w:lineRule="exact"/>
        <w:jc w:val="center"/>
        <w:rPr>
          <w:rFonts w:hint="default" w:ascii="Times New Roman" w:hAnsi="Times New Roman" w:eastAsia="仿宋_GB2312" w:cs="Times New Roman"/>
          <w:kern w:val="0"/>
          <w:sz w:val="30"/>
          <w:szCs w:val="30"/>
        </w:rPr>
      </w:pPr>
    </w:p>
    <w:p w14:paraId="19F003C6">
      <w:pPr>
        <w:pStyle w:val="9"/>
        <w:rPr>
          <w:rFonts w:hint="default" w:ascii="Times New Roman" w:hAnsi="Times New Roman" w:cs="Times New Roman"/>
        </w:rPr>
      </w:pPr>
    </w:p>
    <w:p w14:paraId="1C1BC5C7">
      <w:pPr>
        <w:spacing w:line="540" w:lineRule="exact"/>
        <w:jc w:val="center"/>
        <w:rPr>
          <w:rFonts w:hint="default" w:ascii="Times New Roman" w:hAnsi="Times New Roman" w:eastAsia="仿宋_GB2312" w:cs="Times New Roman"/>
          <w:kern w:val="0"/>
          <w:sz w:val="30"/>
          <w:szCs w:val="30"/>
        </w:rPr>
      </w:pPr>
    </w:p>
    <w:p w14:paraId="00F628BF">
      <w:pPr>
        <w:spacing w:line="540" w:lineRule="exact"/>
        <w:rPr>
          <w:rFonts w:hint="default" w:ascii="Times New Roman" w:hAnsi="Times New Roman" w:eastAsia="仿宋_GB2312" w:cs="Times New Roman"/>
          <w:kern w:val="0"/>
          <w:sz w:val="30"/>
          <w:szCs w:val="30"/>
        </w:rPr>
      </w:pPr>
    </w:p>
    <w:p w14:paraId="2909101F">
      <w:pPr>
        <w:spacing w:line="700" w:lineRule="exact"/>
        <w:ind w:firstLine="1440" w:firstLineChars="400"/>
        <w:jc w:val="left"/>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drawing>
          <wp:anchor distT="0" distB="0" distL="114300" distR="114300" simplePos="0" relativeHeight="251659264" behindDoc="1" locked="0" layoutInCell="1" allowOverlap="1">
            <wp:simplePos x="0" y="0"/>
            <wp:positionH relativeFrom="page">
              <wp:posOffset>4816475</wp:posOffset>
            </wp:positionH>
            <wp:positionV relativeFrom="page">
              <wp:posOffset>6616700</wp:posOffset>
            </wp:positionV>
            <wp:extent cx="1635760" cy="1572895"/>
            <wp:effectExtent l="0" t="0" r="2540" b="8255"/>
            <wp:wrapNone/>
            <wp:docPr id="2" name="STA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TAMP"/>
                    <pic:cNvPicPr>
                      <a:picLocks noChangeAspect="1"/>
                    </pic:cNvPicPr>
                  </pic:nvPicPr>
                  <pic:blipFill>
                    <a:blip r:embed="rId5">
                      <a:extLst>
                        <a:ext uri="{28A0092B-C50C-407E-A947-70E740481C1C}">
                          <a14:useLocalDpi xmlns:a14="http://schemas.microsoft.com/office/drawing/2010/main" val="0"/>
                        </a:ext>
                      </a:extLst>
                    </a:blip>
                    <a:stretch>
                      <a:fillRect/>
                    </a:stretch>
                  </pic:blipFill>
                  <pic:spPr>
                    <a:xfrm>
                      <a:off x="0" y="0"/>
                      <a:ext cx="1635760" cy="1572895"/>
                    </a:xfrm>
                    <a:prstGeom prst="rect">
                      <a:avLst/>
                    </a:prstGeom>
                  </pic:spPr>
                </pic:pic>
              </a:graphicData>
            </a:graphic>
          </wp:anchor>
        </w:drawing>
      </w:r>
      <w:r>
        <w:rPr>
          <w:rFonts w:hint="default" w:ascii="Times New Roman" w:hAnsi="Times New Roman" w:eastAsia="仿宋_GB2312" w:cs="Times New Roman"/>
          <w:kern w:val="0"/>
          <w:sz w:val="36"/>
          <w:szCs w:val="36"/>
        </w:rPr>
        <w:t>项目名称：中央财政支持学前教育发展项目</w:t>
      </w:r>
    </w:p>
    <w:p w14:paraId="09E18B5C">
      <w:pPr>
        <w:spacing w:line="700" w:lineRule="exact"/>
        <w:ind w:firstLine="1440" w:firstLineChars="400"/>
        <w:jc w:val="left"/>
        <w:rPr>
          <w:rFonts w:hint="default" w:ascii="Times New Roman" w:hAnsi="Times New Roman" w:eastAsia="仿宋_GB2312" w:cs="Times New Roman"/>
          <w:kern w:val="0"/>
          <w:sz w:val="36"/>
          <w:szCs w:val="36"/>
          <w:lang w:val="en-US" w:eastAsia="zh-CN"/>
        </w:rPr>
      </w:pPr>
      <w:r>
        <w:rPr>
          <w:rFonts w:hint="default" w:ascii="Times New Roman" w:hAnsi="Times New Roman" w:eastAsia="仿宋_GB2312" w:cs="Times New Roman"/>
          <w:kern w:val="0"/>
          <w:sz w:val="36"/>
          <w:szCs w:val="36"/>
        </w:rPr>
        <w:t>实施单位（公章）：</w:t>
      </w:r>
      <w:r>
        <w:rPr>
          <w:rFonts w:hint="eastAsia" w:ascii="Times New Roman" w:hAnsi="Times New Roman" w:eastAsia="仿宋_GB2312" w:cs="Times New Roman"/>
          <w:kern w:val="0"/>
          <w:sz w:val="36"/>
          <w:szCs w:val="36"/>
          <w:lang w:val="en-US" w:eastAsia="zh-CN"/>
        </w:rPr>
        <w:t>裕民县教育和体育局</w:t>
      </w:r>
    </w:p>
    <w:p w14:paraId="2C4A3DB9">
      <w:pPr>
        <w:spacing w:line="700" w:lineRule="exact"/>
        <w:ind w:firstLine="1440" w:firstLineChars="400"/>
        <w:jc w:val="left"/>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主管部门（公章）：</w:t>
      </w:r>
      <w:r>
        <w:rPr>
          <w:rFonts w:hint="eastAsia" w:ascii="Times New Roman" w:hAnsi="Times New Roman" w:eastAsia="仿宋_GB2312" w:cs="Times New Roman"/>
          <w:kern w:val="0"/>
          <w:sz w:val="36"/>
          <w:szCs w:val="36"/>
          <w:lang w:val="en-US" w:eastAsia="zh-CN"/>
        </w:rPr>
        <w:t>裕民县教育和体育局</w:t>
      </w:r>
    </w:p>
    <w:p w14:paraId="57133081">
      <w:pPr>
        <w:spacing w:line="700" w:lineRule="exact"/>
        <w:ind w:firstLine="1440" w:firstLineChars="400"/>
        <w:jc w:val="left"/>
        <w:rPr>
          <w:rFonts w:hint="eastAsia" w:ascii="Times New Roman" w:hAnsi="Times New Roman" w:eastAsia="仿宋_GB2312" w:cs="Times New Roman"/>
          <w:kern w:val="0"/>
          <w:sz w:val="36"/>
          <w:szCs w:val="36"/>
          <w:lang w:val="en-US" w:eastAsia="zh-CN"/>
        </w:rPr>
      </w:pPr>
      <w:r>
        <w:rPr>
          <w:rFonts w:hint="default" w:ascii="Times New Roman" w:hAnsi="Times New Roman" w:eastAsia="仿宋_GB2312" w:cs="Times New Roman"/>
          <w:kern w:val="0"/>
          <w:sz w:val="36"/>
          <w:szCs w:val="36"/>
        </w:rPr>
        <w:t>项目负责人（签章）：</w:t>
      </w:r>
      <w:r>
        <w:rPr>
          <w:rFonts w:hint="eastAsia" w:ascii="Times New Roman" w:hAnsi="Times New Roman" w:eastAsia="仿宋_GB2312" w:cs="Times New Roman"/>
          <w:kern w:val="0"/>
          <w:sz w:val="36"/>
          <w:szCs w:val="36"/>
          <w:lang w:val="en-US" w:eastAsia="zh-CN"/>
        </w:rPr>
        <w:t>郭文言</w:t>
      </w:r>
    </w:p>
    <w:p w14:paraId="74D2F8E8">
      <w:pPr>
        <w:spacing w:line="700" w:lineRule="exact"/>
        <w:ind w:firstLine="1440" w:firstLineChars="400"/>
        <w:jc w:val="left"/>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填报时间：</w:t>
      </w:r>
      <w:r>
        <w:rPr>
          <w:rFonts w:hint="eastAsia" w:ascii="Times New Roman" w:hAnsi="Times New Roman" w:eastAsia="仿宋_GB2312" w:cs="Times New Roman"/>
          <w:kern w:val="0"/>
          <w:sz w:val="36"/>
          <w:szCs w:val="36"/>
          <w:lang w:val="en-US" w:eastAsia="zh-CN"/>
        </w:rPr>
        <w:t>2024</w:t>
      </w:r>
      <w:r>
        <w:rPr>
          <w:rFonts w:hint="default" w:ascii="Times New Roman" w:hAnsi="Times New Roman" w:eastAsia="仿宋_GB2312" w:cs="Times New Roman"/>
          <w:kern w:val="0"/>
          <w:sz w:val="36"/>
          <w:szCs w:val="36"/>
        </w:rPr>
        <w:t>年</w:t>
      </w:r>
      <w:r>
        <w:rPr>
          <w:rFonts w:hint="eastAsia" w:ascii="Times New Roman" w:hAnsi="Times New Roman" w:eastAsia="仿宋_GB2312" w:cs="Times New Roman"/>
          <w:kern w:val="0"/>
          <w:sz w:val="36"/>
          <w:szCs w:val="36"/>
          <w:lang w:val="en-US" w:eastAsia="zh-CN"/>
        </w:rPr>
        <w:t>4</w:t>
      </w:r>
      <w:r>
        <w:rPr>
          <w:rFonts w:hint="default" w:ascii="Times New Roman" w:hAnsi="Times New Roman" w:eastAsia="仿宋_GB2312" w:cs="Times New Roman"/>
          <w:kern w:val="0"/>
          <w:sz w:val="36"/>
          <w:szCs w:val="36"/>
        </w:rPr>
        <w:t>月</w:t>
      </w:r>
      <w:r>
        <w:rPr>
          <w:rFonts w:hint="eastAsia" w:ascii="Times New Roman" w:hAnsi="Times New Roman" w:eastAsia="仿宋_GB2312" w:cs="Times New Roman"/>
          <w:kern w:val="0"/>
          <w:sz w:val="36"/>
          <w:szCs w:val="36"/>
          <w:lang w:val="en-US" w:eastAsia="zh-CN"/>
        </w:rPr>
        <w:t>21</w:t>
      </w:r>
      <w:r>
        <w:rPr>
          <w:rFonts w:hint="default" w:ascii="Times New Roman" w:hAnsi="Times New Roman" w:eastAsia="仿宋_GB2312" w:cs="Times New Roman"/>
          <w:kern w:val="0"/>
          <w:sz w:val="36"/>
          <w:szCs w:val="36"/>
        </w:rPr>
        <w:t>日</w:t>
      </w:r>
    </w:p>
    <w:p w14:paraId="2B2E59F3">
      <w:pPr>
        <w:spacing w:line="540" w:lineRule="exact"/>
        <w:jc w:val="center"/>
        <w:rPr>
          <w:rFonts w:hint="default" w:ascii="Times New Roman" w:hAnsi="Times New Roman" w:eastAsia="仿宋_GB2312" w:cs="Times New Roman"/>
          <w:kern w:val="0"/>
          <w:sz w:val="30"/>
          <w:szCs w:val="30"/>
        </w:rPr>
      </w:pPr>
    </w:p>
    <w:p w14:paraId="167502D6">
      <w:pPr>
        <w:spacing w:line="540" w:lineRule="exact"/>
        <w:rPr>
          <w:rStyle w:val="15"/>
          <w:rFonts w:hint="default" w:ascii="Times New Roman" w:hAnsi="Times New Roman" w:eastAsia="黑体" w:cs="Times New Roman"/>
          <w:b w:val="0"/>
          <w:spacing w:val="-4"/>
          <w:sz w:val="32"/>
          <w:szCs w:val="32"/>
        </w:rPr>
      </w:pPr>
    </w:p>
    <w:p w14:paraId="5841FBC1">
      <w:pPr>
        <w:spacing w:line="560" w:lineRule="exact"/>
        <w:ind w:firstLine="640" w:firstLineChars="200"/>
        <w:rPr>
          <w:rFonts w:hint="default" w:ascii="Times New Roman" w:hAnsi="Times New Roman" w:eastAsia="黑体" w:cs="Times New Roman"/>
          <w:bCs/>
          <w:sz w:val="32"/>
          <w:szCs w:val="32"/>
        </w:rPr>
        <w:sectPr>
          <w:pgSz w:w="11906" w:h="16838"/>
          <w:pgMar w:top="1440" w:right="1558" w:bottom="1440" w:left="1800" w:header="851" w:footer="992" w:gutter="0"/>
          <w:cols w:space="425" w:num="1"/>
          <w:docGrid w:type="lines" w:linePitch="312" w:charSpace="0"/>
        </w:sectPr>
      </w:pPr>
    </w:p>
    <w:p w14:paraId="07C82588">
      <w:pPr>
        <w:spacing w:line="560" w:lineRule="exact"/>
        <w:ind w:firstLine="640" w:firstLineChars="200"/>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一、基本情况</w:t>
      </w:r>
    </w:p>
    <w:p w14:paraId="0E0CAD3A">
      <w:p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（一）项目概况</w:t>
      </w:r>
    </w:p>
    <w:p w14:paraId="21F8694E">
      <w:pPr>
        <w:pStyle w:val="9"/>
        <w:numPr>
          <w:ilvl w:val="0"/>
          <w:numId w:val="0"/>
        </w:numPr>
        <w:spacing w:before="0" w:after="0" w:line="560" w:lineRule="exact"/>
        <w:ind w:firstLine="643" w:firstLineChars="200"/>
        <w:jc w:val="both"/>
        <w:rPr>
          <w:rFonts w:hint="default" w:ascii="Times New Roman" w:hAnsi="Times New Roman" w:eastAsia="仿宋_GB2312" w:cs="Times New Roman"/>
          <w:kern w:val="2"/>
          <w:lang w:val="en-US" w:eastAsia="zh-CN"/>
        </w:rPr>
      </w:pPr>
      <w:r>
        <w:rPr>
          <w:rFonts w:hint="default" w:ascii="Times New Roman" w:hAnsi="Times New Roman" w:eastAsia="仿宋_GB2312" w:cs="Times New Roman"/>
          <w:kern w:val="2"/>
          <w:lang w:val="en-US" w:eastAsia="zh-CN"/>
        </w:rPr>
        <w:t>1.项目背景</w:t>
      </w:r>
    </w:p>
    <w:p w14:paraId="6430A630">
      <w:pPr>
        <w:pStyle w:val="9"/>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lang w:val="en-US" w:eastAsia="zh-CN"/>
        </w:rPr>
      </w:pPr>
      <w:r>
        <w:rPr>
          <w:rFonts w:hint="default" w:ascii="Times New Roman" w:hAnsi="Times New Roman" w:eastAsia="仿宋_GB2312" w:cs="Times New Roman"/>
          <w:b w:val="0"/>
          <w:bCs w:val="0"/>
          <w:highlight w:val="none"/>
          <w:lang w:val="en-US" w:eastAsia="zh-CN"/>
        </w:rPr>
        <w:t>随着人口增长和家长对学前教育重视程度提高，幼儿入园需求不断增加，需要扩充学前教育资源。城乡、区域之间学前教育资源差距较大，学前教育市场中，部分民办园收费较高，普惠性幼儿园数量相对较少，难以满足普通家庭对质优价廉学前教育的需求。学前教育是基础教育的重要组成部分，是终身教育的奠基阶段，对幼儿的认知、情感、社交等方面发展具有关键作用，高质量的学前教育能为幼儿后续学习和发展奠定良好基础。学前教育是国民教育体系的重要一环，加强学前教育发展有助于完善整个教育体系，实现各级各类教育的协调发展。为推动学前教育普及普惠安全优质发展，中央财政设立专项资金支持学前教育发展项目，引导地方加大投入，扩大学前教育资源，提高保教质量，健全幼儿资助制度，以满足人民群众对学前教育的需求。</w:t>
      </w:r>
    </w:p>
    <w:p w14:paraId="34BBCCE0">
      <w:pPr>
        <w:pStyle w:val="9"/>
        <w:numPr>
          <w:ilvl w:val="0"/>
          <w:numId w:val="0"/>
        </w:numPr>
        <w:spacing w:before="0" w:after="0" w:line="560" w:lineRule="exact"/>
        <w:ind w:firstLine="643" w:firstLineChars="200"/>
        <w:jc w:val="both"/>
        <w:rPr>
          <w:rFonts w:hint="default" w:ascii="Times New Roman" w:hAnsi="Times New Roman" w:eastAsia="仿宋_GB2312" w:cs="Times New Roman"/>
          <w:kern w:val="2"/>
        </w:rPr>
      </w:pPr>
      <w:r>
        <w:rPr>
          <w:rFonts w:hint="default" w:ascii="Times New Roman" w:hAnsi="Times New Roman" w:eastAsia="仿宋_GB2312" w:cs="Times New Roman"/>
          <w:kern w:val="2"/>
          <w:lang w:val="en-US" w:eastAsia="zh-CN"/>
        </w:rPr>
        <w:t>2.</w:t>
      </w:r>
      <w:r>
        <w:rPr>
          <w:rFonts w:hint="default" w:ascii="Times New Roman" w:hAnsi="Times New Roman" w:eastAsia="仿宋_GB2312" w:cs="Times New Roman"/>
          <w:kern w:val="2"/>
        </w:rPr>
        <w:t>项目主要内容：</w:t>
      </w:r>
    </w:p>
    <w:p w14:paraId="2AB0144B">
      <w:pPr>
        <w:pStyle w:val="9"/>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lang w:val="en-US" w:eastAsia="zh-CN"/>
        </w:rPr>
      </w:pPr>
      <w:r>
        <w:rPr>
          <w:rFonts w:hint="default" w:ascii="Times New Roman" w:hAnsi="Times New Roman" w:eastAsia="仿宋_GB2312" w:cs="Times New Roman"/>
          <w:b w:val="0"/>
          <w:bCs w:val="0"/>
          <w:highlight w:val="none"/>
          <w:lang w:val="en-US" w:eastAsia="zh-CN"/>
        </w:rPr>
        <w:t>项目主要内容：</w:t>
      </w:r>
      <w:r>
        <w:rPr>
          <w:rFonts w:hint="eastAsia" w:ascii="Times New Roman" w:hAnsi="Times New Roman" w:eastAsia="仿宋_GB2312" w:cs="Times New Roman"/>
          <w:b w:val="0"/>
          <w:bCs w:val="0"/>
          <w:highlight w:val="none"/>
          <w:lang w:val="en-US" w:eastAsia="zh-CN"/>
        </w:rPr>
        <w:t>为</w:t>
      </w:r>
      <w:r>
        <w:rPr>
          <w:rFonts w:hint="default" w:ascii="Times New Roman" w:hAnsi="Times New Roman" w:eastAsia="仿宋_GB2312" w:cs="Times New Roman"/>
          <w:b w:val="0"/>
          <w:bCs w:val="0"/>
          <w:highlight w:val="none"/>
          <w:lang w:val="en-US" w:eastAsia="zh-CN"/>
        </w:rPr>
        <w:t>裕民县</w:t>
      </w:r>
      <w:r>
        <w:rPr>
          <w:rFonts w:hint="eastAsia" w:ascii="Times New Roman" w:hAnsi="Times New Roman" w:eastAsia="仿宋_GB2312" w:cs="Times New Roman"/>
          <w:b w:val="0"/>
          <w:bCs w:val="0"/>
          <w:highlight w:val="none"/>
          <w:lang w:val="en-US" w:eastAsia="zh-CN"/>
        </w:rPr>
        <w:t>第三幼儿园</w:t>
      </w:r>
      <w:r>
        <w:rPr>
          <w:rFonts w:hint="default" w:ascii="Times New Roman" w:hAnsi="Times New Roman" w:eastAsia="仿宋_GB2312" w:cs="Times New Roman"/>
          <w:b w:val="0"/>
          <w:bCs w:val="0"/>
          <w:highlight w:val="none"/>
          <w:lang w:val="en-US" w:eastAsia="zh-CN"/>
        </w:rPr>
        <w:t xml:space="preserve">室外塑胶运动场2500平方米、室外硬化5000平方米、收纳柜10个，幼儿床180张、幼儿桌84张、一批教学用具的购置。该项目的完成有效改善办学条件，提高幼儿园教育教学质量，能够提升教育教学功能，打造塔城地区一流示范园 </w:t>
      </w:r>
    </w:p>
    <w:p w14:paraId="5CD4A826">
      <w:pPr>
        <w:pStyle w:val="9"/>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lang w:val="en-US" w:eastAsia="zh-CN"/>
        </w:rPr>
      </w:pPr>
      <w:r>
        <w:rPr>
          <w:rFonts w:hint="default" w:ascii="Times New Roman" w:hAnsi="Times New Roman" w:eastAsia="仿宋_GB2312" w:cs="Times New Roman"/>
          <w:b w:val="0"/>
          <w:bCs w:val="0"/>
          <w:highlight w:val="none"/>
          <w:lang w:val="en-US" w:eastAsia="zh-CN"/>
        </w:rPr>
        <w:t>项目实施情况：2024年中央财政支持学前教育发展项目项目截止2024年12月31日，已支出292.11万元</w:t>
      </w:r>
      <w:r>
        <w:rPr>
          <w:rFonts w:hint="eastAsia" w:ascii="Times New Roman" w:hAnsi="Times New Roman" w:eastAsia="仿宋_GB2312" w:cs="Times New Roman"/>
          <w:b w:val="0"/>
          <w:bCs w:val="0"/>
          <w:highlight w:val="none"/>
          <w:lang w:val="en-US" w:eastAsia="zh-CN"/>
        </w:rPr>
        <w:t>，为</w:t>
      </w:r>
      <w:r>
        <w:rPr>
          <w:rFonts w:hint="default" w:ascii="Times New Roman" w:hAnsi="Times New Roman" w:eastAsia="仿宋_GB2312" w:cs="Times New Roman"/>
          <w:b w:val="0"/>
          <w:bCs w:val="0"/>
          <w:highlight w:val="none"/>
          <w:lang w:val="en-US" w:eastAsia="zh-CN"/>
        </w:rPr>
        <w:t>裕民县第三幼室外塑胶运动场2500平方米、室外硬化5000平方米、收纳柜10个，幼儿床180张、幼儿桌84张、一批教学用具的购置。项目完成率100%。该项目的完成有效改善办学条件，提高幼儿园教育教学质量，能够提升教育教学功能，打造塔城地区一流示范园</w:t>
      </w:r>
    </w:p>
    <w:p w14:paraId="424909EE">
      <w:pPr>
        <w:spacing w:line="560" w:lineRule="exact"/>
        <w:ind w:firstLine="643" w:firstLineChars="200"/>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rPr>
        <w:t>资金投入和使用情况</w:t>
      </w:r>
    </w:p>
    <w:p w14:paraId="0A6B07F7">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（1）资金投入情况</w:t>
      </w:r>
    </w:p>
    <w:p w14:paraId="50D4A51D">
      <w:pPr>
        <w:spacing w:line="560" w:lineRule="exact"/>
        <w:ind w:firstLine="640" w:firstLineChars="20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该项目年初预算数</w:t>
      </w:r>
      <w:r>
        <w:rPr>
          <w:rFonts w:hint="eastAsia" w:ascii="Times New Roman" w:hAnsi="Times New Roman" w:eastAsia="仿宋_GB2312" w:cs="Times New Roman"/>
          <w:color w:val="auto"/>
          <w:sz w:val="32"/>
          <w:szCs w:val="32"/>
          <w:highlight w:val="none"/>
          <w:lang w:val="en-US" w:eastAsia="zh-CN"/>
        </w:rPr>
        <w:t>302.46</w:t>
      </w:r>
      <w:r>
        <w:rPr>
          <w:rFonts w:hint="default" w:ascii="Times New Roman" w:hAnsi="Times New Roman" w:eastAsia="仿宋_GB2312" w:cs="Times New Roman"/>
          <w:color w:val="auto"/>
          <w:sz w:val="32"/>
          <w:szCs w:val="32"/>
          <w:highlight w:val="none"/>
          <w:lang w:val="en-US" w:eastAsia="zh-CN"/>
        </w:rPr>
        <w:t>万元，全年预算数</w:t>
      </w:r>
      <w:r>
        <w:rPr>
          <w:rFonts w:hint="eastAsia" w:ascii="Times New Roman" w:hAnsi="Times New Roman" w:eastAsia="仿宋_GB2312" w:cs="Times New Roman"/>
          <w:color w:val="auto"/>
          <w:sz w:val="32"/>
          <w:szCs w:val="32"/>
          <w:highlight w:val="none"/>
          <w:lang w:val="en-US" w:eastAsia="zh-CN"/>
        </w:rPr>
        <w:t>302.46</w:t>
      </w:r>
      <w:r>
        <w:rPr>
          <w:rFonts w:hint="default" w:ascii="Times New Roman" w:hAnsi="Times New Roman" w:eastAsia="仿宋_GB2312" w:cs="Times New Roman"/>
          <w:color w:val="auto"/>
          <w:sz w:val="32"/>
          <w:szCs w:val="32"/>
          <w:highlight w:val="none"/>
          <w:lang w:val="en-US" w:eastAsia="zh-CN"/>
        </w:rPr>
        <w:t>万元，该项目资金已全部落实到位，资金来源为</w:t>
      </w:r>
      <w:r>
        <w:rPr>
          <w:rFonts w:hint="eastAsia" w:ascii="Times New Roman" w:hAnsi="Times New Roman" w:eastAsia="仿宋_GB2312" w:cs="Times New Roman"/>
          <w:color w:val="auto"/>
          <w:sz w:val="32"/>
          <w:szCs w:val="32"/>
          <w:highlight w:val="none"/>
          <w:lang w:val="en-US" w:eastAsia="zh-CN"/>
        </w:rPr>
        <w:t>财政拨款</w:t>
      </w:r>
      <w:r>
        <w:rPr>
          <w:rFonts w:hint="default" w:ascii="Times New Roman" w:hAnsi="Times New Roman" w:eastAsia="仿宋_GB2312" w:cs="Times New Roman"/>
          <w:color w:val="auto"/>
          <w:sz w:val="32"/>
          <w:szCs w:val="32"/>
          <w:highlight w:val="none"/>
          <w:lang w:val="en-US" w:eastAsia="zh-CN"/>
        </w:rPr>
        <w:t>。</w:t>
      </w:r>
    </w:p>
    <w:p w14:paraId="1CB46F17">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（2）资金使用情况</w:t>
      </w:r>
    </w:p>
    <w:p w14:paraId="1E9C2055">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该项目年初预算数</w:t>
      </w:r>
      <w:r>
        <w:rPr>
          <w:rFonts w:hint="eastAsia" w:ascii="Times New Roman" w:hAnsi="Times New Roman" w:eastAsia="仿宋_GB2312" w:cs="Times New Roman"/>
          <w:sz w:val="32"/>
          <w:szCs w:val="32"/>
          <w:highlight w:val="none"/>
          <w:lang w:val="en-US" w:eastAsia="zh-CN"/>
        </w:rPr>
        <w:t>302.46</w:t>
      </w:r>
      <w:r>
        <w:rPr>
          <w:rFonts w:hint="default" w:ascii="Times New Roman" w:hAnsi="Times New Roman" w:eastAsia="仿宋_GB2312" w:cs="Times New Roman"/>
          <w:sz w:val="32"/>
          <w:szCs w:val="32"/>
          <w:highlight w:val="none"/>
          <w:lang w:val="en-US" w:eastAsia="zh-CN"/>
        </w:rPr>
        <w:t>万元，全年预算数</w:t>
      </w:r>
      <w:r>
        <w:rPr>
          <w:rFonts w:hint="eastAsia" w:ascii="Times New Roman" w:hAnsi="Times New Roman" w:eastAsia="仿宋_GB2312" w:cs="Times New Roman"/>
          <w:sz w:val="32"/>
          <w:szCs w:val="32"/>
          <w:highlight w:val="none"/>
          <w:lang w:val="en-US" w:eastAsia="zh-CN"/>
        </w:rPr>
        <w:t>302.46</w:t>
      </w:r>
      <w:r>
        <w:rPr>
          <w:rFonts w:hint="default" w:ascii="Times New Roman" w:hAnsi="Times New Roman" w:eastAsia="仿宋_GB2312" w:cs="Times New Roman"/>
          <w:sz w:val="32"/>
          <w:szCs w:val="32"/>
          <w:highlight w:val="none"/>
          <w:lang w:val="en-US" w:eastAsia="zh-CN"/>
        </w:rPr>
        <w:t>万元，全年执行数</w:t>
      </w:r>
      <w:r>
        <w:rPr>
          <w:rFonts w:hint="eastAsia" w:ascii="Times New Roman" w:hAnsi="Times New Roman" w:eastAsia="仿宋_GB2312" w:cs="Times New Roman"/>
          <w:sz w:val="32"/>
          <w:szCs w:val="32"/>
          <w:highlight w:val="none"/>
          <w:lang w:val="en-US" w:eastAsia="zh-CN"/>
        </w:rPr>
        <w:t>292.11</w:t>
      </w:r>
      <w:r>
        <w:rPr>
          <w:rFonts w:hint="default" w:ascii="Times New Roman" w:hAnsi="Times New Roman" w:eastAsia="仿宋_GB2312" w:cs="Times New Roman"/>
          <w:sz w:val="32"/>
          <w:szCs w:val="32"/>
          <w:highlight w:val="none"/>
          <w:lang w:val="en-US" w:eastAsia="zh-CN"/>
        </w:rPr>
        <w:t>万元，预算执行率为</w:t>
      </w:r>
      <w:r>
        <w:rPr>
          <w:rFonts w:hint="eastAsia" w:ascii="Times New Roman" w:hAnsi="Times New Roman" w:eastAsia="仿宋_GB2312" w:cs="Times New Roman"/>
          <w:sz w:val="32"/>
          <w:szCs w:val="32"/>
          <w:highlight w:val="none"/>
          <w:lang w:val="en-US" w:eastAsia="zh-CN"/>
        </w:rPr>
        <w:t>96.58</w:t>
      </w:r>
      <w:r>
        <w:rPr>
          <w:rFonts w:hint="default" w:ascii="Times New Roman" w:hAnsi="Times New Roman" w:eastAsia="仿宋_GB2312" w:cs="Times New Roman"/>
          <w:sz w:val="32"/>
          <w:szCs w:val="32"/>
          <w:highlight w:val="none"/>
          <w:lang w:val="en-US" w:eastAsia="zh-CN"/>
        </w:rPr>
        <w:t>%，主要用于：</w:t>
      </w:r>
      <w:r>
        <w:rPr>
          <w:rFonts w:hint="eastAsia" w:ascii="Times New Roman" w:hAnsi="Times New Roman" w:eastAsia="仿宋_GB2312" w:cs="Times New Roman"/>
          <w:sz w:val="32"/>
          <w:szCs w:val="32"/>
          <w:highlight w:val="none"/>
          <w:lang w:val="en-US" w:eastAsia="zh-CN"/>
        </w:rPr>
        <w:t>为</w:t>
      </w:r>
      <w:r>
        <w:rPr>
          <w:rFonts w:hint="default" w:ascii="Times New Roman" w:hAnsi="Times New Roman" w:eastAsia="仿宋_GB2312" w:cs="Times New Roman"/>
          <w:sz w:val="32"/>
          <w:szCs w:val="32"/>
          <w:highlight w:val="none"/>
          <w:lang w:val="en-US" w:eastAsia="zh-CN"/>
        </w:rPr>
        <w:t>裕民县</w:t>
      </w:r>
      <w:r>
        <w:rPr>
          <w:rFonts w:hint="eastAsia" w:ascii="Times New Roman" w:hAnsi="Times New Roman" w:eastAsia="仿宋_GB2312" w:cs="Times New Roman"/>
          <w:sz w:val="32"/>
          <w:szCs w:val="32"/>
          <w:highlight w:val="none"/>
          <w:lang w:val="en-US" w:eastAsia="zh-CN"/>
        </w:rPr>
        <w:t>第三幼儿园</w:t>
      </w:r>
      <w:r>
        <w:rPr>
          <w:rFonts w:hint="default" w:ascii="Times New Roman" w:hAnsi="Times New Roman" w:eastAsia="仿宋_GB2312" w:cs="Times New Roman"/>
          <w:sz w:val="32"/>
          <w:szCs w:val="32"/>
          <w:highlight w:val="none"/>
          <w:lang w:val="en-US" w:eastAsia="zh-CN"/>
        </w:rPr>
        <w:t>室外塑胶运动场2500平方米、室外硬化5000平方米、收纳柜10个，幼儿床180张、幼儿桌84张、一批教学用具的购置。</w:t>
      </w:r>
    </w:p>
    <w:p w14:paraId="05B51395">
      <w:p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（二）项目绩效目标</w:t>
      </w:r>
    </w:p>
    <w:p w14:paraId="5CA7DF6E">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w:t>
      </w:r>
      <w:r>
        <w:rPr>
          <w:rFonts w:hint="default"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rPr>
        <w:t>总体目标</w:t>
      </w:r>
    </w:p>
    <w:p w14:paraId="16F63E21">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我单位2024年计划支出302.46万元，主要裕民县第三幼室外塑胶运动场2500平方米、室外硬化5000平方米、收纳柜10个，幼儿床180张、幼儿桌84张、一批教学用具的购置。该项目的完成有效改善办学条件，提高幼儿园教育教学质量，能够提升教育教学功能，打造塔城地区一流示范园。</w:t>
      </w:r>
    </w:p>
    <w:p w14:paraId="6EBF55F9">
      <w:pPr>
        <w:spacing w:line="560" w:lineRule="exact"/>
        <w:ind w:firstLine="640" w:firstLineChars="200"/>
        <w:rPr>
          <w:rFonts w:hint="default" w:ascii="Times New Roman" w:hAnsi="Times New Roman" w:eastAsia="仿宋_GB2312" w:cs="Times New Roman"/>
          <w:color w:val="FF0000"/>
          <w:sz w:val="30"/>
          <w:szCs w:val="30"/>
          <w:highlight w:val="none"/>
          <w:lang w:val="en-US" w:eastAsia="zh-CN"/>
        </w:rPr>
      </w:pPr>
      <w:r>
        <w:rPr>
          <w:rFonts w:hint="default" w:ascii="Times New Roman" w:hAnsi="Times New Roman" w:eastAsia="仿宋_GB2312" w:cs="Times New Roman"/>
          <w:sz w:val="32"/>
          <w:szCs w:val="32"/>
        </w:rPr>
        <w:t>2</w:t>
      </w:r>
      <w:r>
        <w:rPr>
          <w:rFonts w:hint="default"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rPr>
        <w:t>阶段性目标</w:t>
      </w:r>
    </w:p>
    <w:p w14:paraId="12307CD5">
      <w:pPr>
        <w:spacing w:line="560" w:lineRule="exact"/>
        <w:ind w:firstLine="640" w:firstLineChars="200"/>
        <w:rPr>
          <w:rFonts w:hint="default" w:ascii="Times New Roman" w:hAnsi="Times New Roman" w:eastAsia="黑体" w:cs="Times New Roman"/>
          <w:b w:val="0"/>
          <w:bCs/>
          <w:lang w:eastAsia="zh-CN"/>
        </w:rPr>
      </w:pPr>
      <w:r>
        <w:rPr>
          <w:rFonts w:hint="eastAsia" w:ascii="Times New Roman" w:hAnsi="Times New Roman" w:eastAsia="仿宋_GB2312" w:cs="Times New Roman"/>
          <w:sz w:val="32"/>
          <w:szCs w:val="32"/>
          <w:highlight w:val="none"/>
          <w:lang w:val="en-US" w:eastAsia="zh-CN"/>
        </w:rPr>
        <w:t>1.资金分配与落实阶段（第一季度）：完成补助资金分配方案的制定，资金文下达后，明确资金使用方向和项目实施的计划；2.项目启动与前期准备阶段（第二季度）：迅速启动项目建设和设备采购工作。属于基本建设的项目，严格履行项目立项、规划设计等基本建设程序；属于设备采购的按照政府采购相关法律法规，完成采购需求论证、招标公告发布、供应商选择等前期工作。组建项目工作小组，明确职责分工，制定项目进度计划和质量控制方案，为项目顺利实施提供组织保障和制度保障。3.项目建设与绩效评估阶段（第三季度至第四季度）：在项目建设过程中，严格按照项目设计和施工标准进行施工，确保工程质量和施工安全；设备采购严格按照采购方案进行采购。两者同时建立项目进度跟踪机制没及时解决采购安装过程中出现的问题和困难，确保项目按照预定计划顺利推进。加强项目资金管理，严格执行财务制度和资金使用审批流程，确保资金专款专用，提高资金使用效益。4.项目验收与绩效评估阶段（第四季度）：项目竣工后，及时组织相关部门和专家进行验收。基本建设项目按照工程竣工验收规范，对工程质量、安全、环保等方面进行全面验收；设备采购项目按照采购合同和设备技术标准，对设备数量、质量、性能等进行验收。验收合格后，办理项目结算和固定资产入账手续。开展项目绩效评估工作，对照项目绩效目标，对项目实施效果进行全面评价，总结经验教训，为后续项目实施提供参考依据。</w:t>
      </w:r>
    </w:p>
    <w:p w14:paraId="0CFC2EBC">
      <w:pPr>
        <w:spacing w:line="56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二、绩效评价工作开展情况</w:t>
      </w:r>
    </w:p>
    <w:p w14:paraId="0E5C86D3">
      <w:p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（一）绩效评价目的、对象和范围</w:t>
      </w:r>
    </w:p>
    <w:p w14:paraId="31F908DA">
      <w:pPr>
        <w:pStyle w:val="9"/>
        <w:widowControl w:val="0"/>
        <w:spacing w:before="0" w:after="0" w:line="560" w:lineRule="exact"/>
        <w:ind w:firstLine="640" w:firstLineChars="200"/>
        <w:jc w:val="both"/>
        <w:outlineLvl w:val="9"/>
        <w:rPr>
          <w:rFonts w:hint="default" w:ascii="Times New Roman" w:hAnsi="Times New Roman" w:eastAsia="仿宋_GB2312" w:cs="Times New Roman"/>
          <w:b w:val="0"/>
          <w:bCs w:val="0"/>
          <w:kern w:val="2"/>
          <w:sz w:val="30"/>
          <w:szCs w:val="30"/>
          <w:highlight w:val="none"/>
          <w:lang w:val="en-US" w:eastAsia="zh-CN" w:bidi="ar-SA"/>
        </w:rPr>
      </w:pPr>
      <w:r>
        <w:rPr>
          <w:rFonts w:hint="default" w:ascii="Times New Roman" w:hAnsi="Times New Roman" w:eastAsia="仿宋_GB2312" w:cs="Times New Roman"/>
          <w:b w:val="0"/>
          <w:bCs w:val="0"/>
          <w:color w:val="auto"/>
          <w:highlight w:val="none"/>
          <w:lang w:val="en-US" w:eastAsia="zh-CN"/>
        </w:rPr>
        <w:t>1.绩效评价完整性</w:t>
      </w:r>
    </w:p>
    <w:p w14:paraId="494F912A">
      <w:pPr>
        <w:spacing w:line="560" w:lineRule="exact"/>
        <w:ind w:firstLine="640" w:firstLineChars="20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本项目预算绩效评价报告在编制过程中，严格遵循相关法规与标准，确保评价内容的全面性与准确性。报告涵盖了项目从预算编制、执行到完成的全过程，对项目的各项绩效指标进行了细致的梳理与评估。</w:t>
      </w:r>
    </w:p>
    <w:p w14:paraId="2835111F">
      <w:pPr>
        <w:spacing w:line="560" w:lineRule="exact"/>
        <w:ind w:firstLine="640" w:firstLineChars="20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在评价指标体系的构建上，充分考虑了项目的性质、目标以及预期成果，选取了具有代表性和可衡量性的关键指标，涵盖了社会效益，力求全方位反映项目的绩效状况。同时，对于每个指标的评价标准和数据来源均进行了明确说明，确保评价结果的客观性和可追溯性。</w:t>
      </w:r>
    </w:p>
    <w:p w14:paraId="324B62DC">
      <w:pPr>
        <w:spacing w:line="560" w:lineRule="exact"/>
        <w:ind w:firstLine="640" w:firstLineChars="20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p>
    <w:p w14:paraId="4EAE25AF">
      <w:pPr>
        <w:spacing w:line="560" w:lineRule="exact"/>
        <w:ind w:firstLine="640" w:firstLineChars="20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14:paraId="15006D3D">
      <w:pPr>
        <w:spacing w:line="560" w:lineRule="exact"/>
        <w:ind w:firstLine="640" w:firstLineChars="20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14:paraId="7950C6C0">
      <w:pPr>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2.</w:t>
      </w:r>
      <w:r>
        <w:rPr>
          <w:rFonts w:hint="default" w:ascii="Times New Roman" w:hAnsi="Times New Roman" w:eastAsia="仿宋_GB2312" w:cs="Times New Roman"/>
          <w:color w:val="auto"/>
          <w:sz w:val="32"/>
          <w:szCs w:val="32"/>
          <w:highlight w:val="none"/>
        </w:rPr>
        <w:t>绩效评价的目的</w:t>
      </w:r>
    </w:p>
    <w:p w14:paraId="26070BB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（1）评估项目实施效果</w:t>
      </w:r>
    </w:p>
    <w:p w14:paraId="20DC71C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通过对项目预算执行情况及各项绩效目标达成程度的系统性分析，全面、客观地评估项目在预定周期内的实施效果，包括社会效益指标，为项目后续的改进与优化提供科学依据。</w:t>
      </w:r>
    </w:p>
    <w:p w14:paraId="0356E9D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（2）提升资源利用效率</w:t>
      </w:r>
    </w:p>
    <w:p w14:paraId="7906D21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14:paraId="56D1CC1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（3）强化项目管理责任</w:t>
      </w:r>
    </w:p>
    <w:p w14:paraId="1E1B94F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14:paraId="2815666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（4）为决策提供支持</w:t>
      </w:r>
    </w:p>
    <w:p w14:paraId="3449E65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14:paraId="6DD9367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（5）促进项目持续改进</w:t>
      </w:r>
    </w:p>
    <w:p w14:paraId="63B5649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14:paraId="2D23F37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color w:val="auto"/>
          <w:sz w:val="32"/>
          <w:szCs w:val="32"/>
          <w:highlight w:val="none"/>
        </w:rPr>
      </w:pPr>
      <w:r>
        <w:rPr>
          <w:rFonts w:hint="default" w:ascii="Times New Roman" w:hAnsi="Times New Roman" w:eastAsia="仿宋_GB2312" w:cs="Times New Roman"/>
          <w:color w:val="auto"/>
          <w:sz w:val="32"/>
          <w:szCs w:val="32"/>
          <w:highlight w:val="none"/>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14:paraId="4EB692CC">
      <w:pPr>
        <w:pStyle w:val="9"/>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lang w:val="en-US" w:eastAsia="zh-CN"/>
        </w:rPr>
        <w:t>3</w:t>
      </w:r>
      <w:r>
        <w:rPr>
          <w:rFonts w:hint="default" w:ascii="Times New Roman" w:hAnsi="Times New Roman" w:eastAsia="仿宋_GB2312" w:cs="Times New Roman"/>
          <w:b/>
          <w:bCs/>
          <w:color w:val="auto"/>
          <w:sz w:val="32"/>
          <w:szCs w:val="32"/>
          <w:highlight w:val="none"/>
          <w:lang w:val="en-US" w:eastAsia="zh-CN"/>
        </w:rPr>
        <w:t>.</w:t>
      </w:r>
      <w:r>
        <w:rPr>
          <w:rFonts w:hint="default" w:ascii="Times New Roman" w:hAnsi="Times New Roman" w:eastAsia="仿宋_GB2312" w:cs="Times New Roman"/>
          <w:b w:val="0"/>
          <w:bCs w:val="0"/>
          <w:color w:val="auto"/>
          <w:highlight w:val="none"/>
        </w:rPr>
        <w:t>绩效评价的对象</w:t>
      </w:r>
    </w:p>
    <w:p w14:paraId="5ACFB25D">
      <w:pPr>
        <w:pStyle w:val="9"/>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本项目预算绩效评价报告的评价对象是</w:t>
      </w:r>
      <w:r>
        <w:rPr>
          <w:rFonts w:hint="default" w:ascii="Times New Roman" w:hAnsi="Times New Roman" w:eastAsia="仿宋_GB2312" w:cs="Times New Roman"/>
          <w:b w:val="0"/>
          <w:bCs w:val="0"/>
          <w:color w:val="auto"/>
          <w:highlight w:val="none"/>
          <w:lang w:val="en-US" w:eastAsia="zh-CN"/>
        </w:rPr>
        <w:t>2024年改善普通高中学校办学条件补助资金项目</w:t>
      </w:r>
      <w:r>
        <w:rPr>
          <w:rFonts w:hint="default" w:ascii="Times New Roman" w:hAnsi="Times New Roman" w:eastAsia="仿宋_GB2312" w:cs="Times New Roman"/>
          <w:b w:val="0"/>
          <w:bCs w:val="0"/>
          <w:color w:val="auto"/>
          <w:highlight w:val="none"/>
        </w:rPr>
        <w:t>及其预算执行情况。该项目由</w:t>
      </w:r>
      <w:r>
        <w:rPr>
          <w:rFonts w:hint="eastAsia" w:ascii="Times New Roman" w:hAnsi="Times New Roman" w:eastAsia="仿宋_GB2312" w:cs="Times New Roman"/>
          <w:b w:val="0"/>
          <w:bCs w:val="0"/>
          <w:color w:val="auto"/>
          <w:highlight w:val="none"/>
          <w:lang w:val="en-US" w:eastAsia="zh-CN"/>
        </w:rPr>
        <w:t>裕民县教育和体育局</w:t>
      </w:r>
      <w:r>
        <w:rPr>
          <w:rFonts w:hint="default" w:ascii="Times New Roman" w:hAnsi="Times New Roman" w:eastAsia="仿宋_GB2312" w:cs="Times New Roman"/>
          <w:b w:val="0"/>
          <w:bCs w:val="0"/>
          <w:color w:val="auto"/>
          <w:highlight w:val="none"/>
        </w:rPr>
        <w:t>负责实施，旨在为</w:t>
      </w:r>
      <w:r>
        <w:rPr>
          <w:rFonts w:hint="eastAsia" w:ascii="Times New Roman" w:hAnsi="Times New Roman" w:eastAsia="仿宋_GB2312" w:cs="Times New Roman"/>
          <w:b w:val="0"/>
          <w:bCs w:val="0"/>
          <w:color w:val="auto"/>
          <w:highlight w:val="none"/>
          <w:lang w:val="en-US" w:eastAsia="zh-CN"/>
        </w:rPr>
        <w:t>裕民县第三幼室外塑胶运动场2500平方米、室外硬化5000平方米、收纳柜10个，幼儿床180张、幼儿桌84张、一批教学用具的购置。该项目的完成有效改善办学条件，提高幼儿园教育教学质量，能够提升教育教学功能，打造塔城地区一流示范园</w:t>
      </w:r>
      <w:r>
        <w:rPr>
          <w:rFonts w:hint="default" w:ascii="Times New Roman" w:hAnsi="Times New Roman" w:eastAsia="仿宋_GB2312" w:cs="Times New Roman"/>
          <w:b w:val="0"/>
          <w:bCs w:val="0"/>
          <w:color w:val="auto"/>
          <w:highlight w:val="none"/>
        </w:rPr>
        <w:t>。项目预算涵盖从</w:t>
      </w:r>
      <w:r>
        <w:rPr>
          <w:rFonts w:hint="eastAsia" w:ascii="Times New Roman" w:hAnsi="Times New Roman" w:eastAsia="仿宋_GB2312" w:cs="Times New Roman"/>
          <w:b w:val="0"/>
          <w:bCs w:val="0"/>
          <w:color w:val="auto"/>
          <w:highlight w:val="none"/>
          <w:lang w:val="en-US" w:eastAsia="zh-CN"/>
        </w:rPr>
        <w:t>2024年2月10日</w:t>
      </w:r>
      <w:r>
        <w:rPr>
          <w:rFonts w:hint="default" w:ascii="Times New Roman" w:hAnsi="Times New Roman" w:eastAsia="仿宋_GB2312" w:cs="Times New Roman"/>
          <w:b w:val="0"/>
          <w:bCs w:val="0"/>
          <w:color w:val="auto"/>
          <w:highlight w:val="none"/>
        </w:rPr>
        <w:t>至</w:t>
      </w:r>
      <w:r>
        <w:rPr>
          <w:rFonts w:hint="eastAsia" w:ascii="Times New Roman" w:hAnsi="Times New Roman" w:eastAsia="仿宋_GB2312" w:cs="Times New Roman"/>
          <w:b w:val="0"/>
          <w:bCs w:val="0"/>
          <w:color w:val="auto"/>
          <w:highlight w:val="none"/>
          <w:lang w:val="en-US" w:eastAsia="zh-CN"/>
        </w:rPr>
        <w:t>2024年12月25日</w:t>
      </w:r>
      <w:r>
        <w:rPr>
          <w:rFonts w:hint="default" w:ascii="Times New Roman" w:hAnsi="Times New Roman" w:eastAsia="仿宋_GB2312" w:cs="Times New Roman"/>
          <w:b w:val="0"/>
          <w:bCs w:val="0"/>
          <w:color w:val="auto"/>
          <w:highlight w:val="none"/>
        </w:rPr>
        <w:t>的全部资金投入与支出，涉及资金总额为</w:t>
      </w:r>
      <w:r>
        <w:rPr>
          <w:rFonts w:hint="eastAsia" w:ascii="Times New Roman" w:hAnsi="Times New Roman" w:eastAsia="仿宋_GB2312" w:cs="Times New Roman"/>
          <w:b w:val="0"/>
          <w:bCs w:val="0"/>
          <w:color w:val="auto"/>
          <w:highlight w:val="none"/>
          <w:lang w:val="en-US" w:eastAsia="zh-CN"/>
        </w:rPr>
        <w:t>292.11</w:t>
      </w:r>
      <w:r>
        <w:rPr>
          <w:rFonts w:hint="default" w:ascii="Times New Roman" w:hAnsi="Times New Roman" w:eastAsia="仿宋_GB2312" w:cs="Times New Roman"/>
          <w:b w:val="0"/>
          <w:bCs w:val="0"/>
          <w:color w:val="auto"/>
          <w:highlight w:val="none"/>
          <w:lang w:val="en-US" w:eastAsia="zh-CN"/>
        </w:rPr>
        <w:t>万</w:t>
      </w:r>
      <w:r>
        <w:rPr>
          <w:rFonts w:hint="default" w:ascii="Times New Roman" w:hAnsi="Times New Roman" w:eastAsia="仿宋_GB2312" w:cs="Times New Roman"/>
          <w:b w:val="0"/>
          <w:bCs w:val="0"/>
          <w:color w:val="auto"/>
          <w:highlight w:val="none"/>
        </w:rPr>
        <w:t>元。</w:t>
      </w:r>
    </w:p>
    <w:p w14:paraId="6606C700">
      <w:pPr>
        <w:pStyle w:val="9"/>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lang w:val="en-US" w:eastAsia="zh-CN"/>
        </w:rPr>
        <w:t>4.</w:t>
      </w:r>
      <w:r>
        <w:rPr>
          <w:rFonts w:hint="default" w:ascii="Times New Roman" w:hAnsi="Times New Roman" w:eastAsia="仿宋_GB2312" w:cs="Times New Roman"/>
          <w:b w:val="0"/>
          <w:bCs w:val="0"/>
          <w:color w:val="auto"/>
          <w:highlight w:val="none"/>
        </w:rPr>
        <w:t>绩效评价的范围</w:t>
      </w:r>
    </w:p>
    <w:p w14:paraId="0912335E">
      <w:pPr>
        <w:pStyle w:val="9"/>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本项目预算绩效评价报告的评价范围广泛而全面，涵盖了从项目立项至评价时点期间的所有关键预算活动和财务流程。具体而言，评价范围包括但不限于以下几个方面：</w:t>
      </w:r>
    </w:p>
    <w:p w14:paraId="7FA44CB3">
      <w:pPr>
        <w:pStyle w:val="9"/>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项目预算编制与执行：全面审视项目预算的编制依据、合理性、科学性以及实际执行情况，包括预算调整的原因和效果。</w:t>
      </w:r>
    </w:p>
    <w:p w14:paraId="52B929E2">
      <w:pPr>
        <w:pStyle w:val="9"/>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lang w:eastAsia="zh-CN"/>
        </w:rPr>
      </w:pPr>
      <w:r>
        <w:rPr>
          <w:rFonts w:hint="default" w:ascii="Times New Roman" w:hAnsi="Times New Roman" w:eastAsia="仿宋_GB2312" w:cs="Times New Roman"/>
          <w:b w:val="0"/>
          <w:bCs w:val="0"/>
          <w:color w:val="auto"/>
          <w:highlight w:val="none"/>
        </w:rPr>
        <w:t>资金管理：深入分析项目资金的分配、使用和监管情况，确保资金使用的合规性、高效性和透明度。</w:t>
      </w:r>
    </w:p>
    <w:p w14:paraId="2446F6BF">
      <w:pPr>
        <w:pStyle w:val="9"/>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lang w:eastAsia="zh-CN"/>
        </w:rPr>
      </w:pPr>
      <w:r>
        <w:rPr>
          <w:rFonts w:hint="default" w:ascii="Times New Roman" w:hAnsi="Times New Roman" w:eastAsia="仿宋_GB2312" w:cs="Times New Roman"/>
          <w:b w:val="0"/>
          <w:bCs w:val="0"/>
          <w:color w:val="auto"/>
          <w:highlight w:val="none"/>
        </w:rPr>
        <w:t>项目实施进度与产出：评估项目是否按照既定计划顺利推进，各项任务是否按时完成，以及项目产出的数量、质量和时效性是否符合预期。</w:t>
      </w:r>
    </w:p>
    <w:p w14:paraId="174C322C">
      <w:pPr>
        <w:pStyle w:val="9"/>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lang w:eastAsia="zh-CN"/>
        </w:rPr>
      </w:pPr>
      <w:r>
        <w:rPr>
          <w:rFonts w:hint="default" w:ascii="Times New Roman" w:hAnsi="Times New Roman" w:eastAsia="仿宋_GB2312" w:cs="Times New Roman"/>
          <w:b w:val="0"/>
          <w:bCs w:val="0"/>
          <w:color w:val="auto"/>
          <w:highlight w:val="none"/>
        </w:rPr>
        <w:t>社会</w:t>
      </w:r>
      <w:r>
        <w:rPr>
          <w:rFonts w:hint="default" w:ascii="Times New Roman" w:hAnsi="Times New Roman" w:eastAsia="仿宋_GB2312" w:cs="Times New Roman"/>
          <w:b w:val="0"/>
          <w:bCs w:val="0"/>
          <w:color w:val="auto"/>
          <w:highlight w:val="none"/>
          <w:lang w:eastAsia="zh-CN"/>
        </w:rPr>
        <w:t>、</w:t>
      </w:r>
      <w:r>
        <w:rPr>
          <w:rFonts w:hint="eastAsia" w:ascii="Times New Roman" w:hAnsi="Times New Roman" w:eastAsia="仿宋_GB2312" w:cs="Times New Roman"/>
          <w:b w:val="0"/>
          <w:bCs w:val="0"/>
          <w:color w:val="auto"/>
          <w:highlight w:val="none"/>
          <w:lang w:val="en-US" w:eastAsia="zh-CN"/>
        </w:rPr>
        <w:t>生态</w:t>
      </w:r>
      <w:r>
        <w:rPr>
          <w:rFonts w:hint="default" w:ascii="Times New Roman" w:hAnsi="Times New Roman" w:eastAsia="仿宋_GB2312" w:cs="Times New Roman"/>
          <w:b w:val="0"/>
          <w:bCs w:val="0"/>
          <w:color w:val="auto"/>
          <w:highlight w:val="none"/>
          <w:lang w:val="en-US" w:eastAsia="zh-CN"/>
        </w:rPr>
        <w:t>等</w:t>
      </w:r>
      <w:r>
        <w:rPr>
          <w:rFonts w:hint="default" w:ascii="Times New Roman" w:hAnsi="Times New Roman" w:eastAsia="仿宋_GB2312" w:cs="Times New Roman"/>
          <w:b w:val="0"/>
          <w:bCs w:val="0"/>
          <w:color w:val="auto"/>
          <w:highlight w:val="none"/>
        </w:rPr>
        <w:t>影响：考察项目对社会方面的综合影响。</w:t>
      </w:r>
    </w:p>
    <w:p w14:paraId="72468DC1">
      <w:pPr>
        <w:spacing w:line="560" w:lineRule="exact"/>
        <w:ind w:firstLine="643" w:firstLineChars="200"/>
        <w:rPr>
          <w:rFonts w:hint="default" w:ascii="Times New Roman" w:hAnsi="Times New Roman" w:cs="Times New Roman"/>
        </w:rPr>
      </w:pPr>
      <w:r>
        <w:rPr>
          <w:rFonts w:hint="default" w:ascii="Times New Roman" w:hAnsi="Times New Roman" w:eastAsia="楷体_GB2312" w:cs="Times New Roman"/>
          <w:b/>
          <w:bCs/>
          <w:sz w:val="32"/>
          <w:szCs w:val="32"/>
        </w:rPr>
        <w:t>（二）绩效评价原则、评价指标体系（详情见表1）、评价方法、评价标准。</w:t>
      </w:r>
    </w:p>
    <w:p w14:paraId="42944BF6">
      <w:pPr>
        <w:pStyle w:val="9"/>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绩效评价原则</w:t>
      </w:r>
    </w:p>
    <w:p w14:paraId="7D427B62">
      <w:pPr>
        <w:spacing w:line="560" w:lineRule="exact"/>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本次项目绩效评价遵循以下基本原则：</w:t>
      </w:r>
    </w:p>
    <w:p w14:paraId="1D2DC81F">
      <w:pPr>
        <w:pStyle w:val="9"/>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（1）科学公正。绩效评价应当运用科学合理的方法，按照规范的程序，对项目绩效进行客观、公正的反映。</w:t>
      </w:r>
    </w:p>
    <w:p w14:paraId="420161A5">
      <w:pPr>
        <w:pStyle w:val="9"/>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（2）统筹兼顾。单位自评、部门评价和财政评价应职责明确，各有侧重，相互衔接。单位自评应由项目单位自主实施，即“谁支出、谁自评”。部门评价和财政评价应在单位自评的基础上开展。</w:t>
      </w:r>
    </w:p>
    <w:p w14:paraId="3C68F889">
      <w:pPr>
        <w:pStyle w:val="9"/>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（3）激励约束。绩效评价结果应与预算安排、政策调整、改进管理实质性挂钩，体现奖优罚劣和激励相容导向，有效要安排、低效要压减、无效要问责。</w:t>
      </w:r>
    </w:p>
    <w:p w14:paraId="75358912">
      <w:pPr>
        <w:pStyle w:val="9"/>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（4）公开透明。绩效评价结果应依法依规公开，并自觉接受社会监督。</w:t>
      </w:r>
    </w:p>
    <w:p w14:paraId="19D496DF">
      <w:pPr>
        <w:pStyle w:val="9"/>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2</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评价指标体系</w:t>
      </w:r>
    </w:p>
    <w:p w14:paraId="7605156A">
      <w:pPr>
        <w:spacing w:line="560" w:lineRule="exact"/>
        <w:ind w:firstLine="708" w:firstLineChars="200"/>
        <w:rPr>
          <w:rFonts w:hint="default" w:ascii="Times New Roman" w:hAnsi="Times New Roman" w:cs="Times New Roman"/>
          <w:color w:val="000000"/>
          <w:spacing w:val="17"/>
          <w:sz w:val="32"/>
          <w:szCs w:val="32"/>
        </w:rPr>
      </w:pPr>
      <w:r>
        <w:rPr>
          <w:rFonts w:hint="default" w:ascii="Times New Roman" w:hAnsi="Times New Roman" w:eastAsia="仿宋_GB2312" w:cs="Times New Roman"/>
          <w:color w:val="000000"/>
          <w:spacing w:val="17"/>
          <w:sz w:val="32"/>
          <w:szCs w:val="32"/>
        </w:rPr>
        <w:t>绩效评价框架是开展绩效评价的核心。绩效评价框架包括评价准则、关键评价问题、评价指标、数据来源、数据收集方法等。指标体系建立过程如下：</w:t>
      </w:r>
    </w:p>
    <w:p w14:paraId="4A3452B4">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（1）确定评价指标</w:t>
      </w:r>
    </w:p>
    <w:p w14:paraId="5114C966">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14:paraId="3EEB7E80">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（2）确定权重</w:t>
      </w:r>
    </w:p>
    <w:p w14:paraId="2DB877A5">
      <w:pPr>
        <w:spacing w:line="560" w:lineRule="exact"/>
        <w:ind w:firstLine="708" w:firstLineChars="200"/>
        <w:rPr>
          <w:rFonts w:hint="default" w:ascii="Times New Roman" w:hAnsi="Times New Roman" w:eastAsia="仿宋_GB2312" w:cs="Times New Roman"/>
          <w:color w:val="FF0000"/>
          <w:spacing w:val="17"/>
          <w:sz w:val="32"/>
          <w:szCs w:val="32"/>
          <w:lang w:eastAsia="zh-CN"/>
        </w:rPr>
      </w:pPr>
      <w:r>
        <w:rPr>
          <w:rFonts w:hint="default" w:ascii="Times New Roman" w:hAnsi="Times New Roman" w:eastAsia="仿宋_GB2312" w:cs="Times New Roman"/>
          <w:color w:val="000000"/>
          <w:spacing w:val="17"/>
          <w:sz w:val="32"/>
          <w:szCs w:val="32"/>
        </w:rPr>
        <w:t>确定各个指标相对于项目总体绩效的权重分值。在绩效评价指标体系中，项目决策权重为20分，项目过程权重为20分，项目产出权重为40分，项目效益权重为20分。</w:t>
      </w:r>
    </w:p>
    <w:p w14:paraId="01DAF84E">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（3）确定指标标准值</w:t>
      </w:r>
    </w:p>
    <w:p w14:paraId="776BE13B">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指标标准值是绩效评价指标的尺度，既要反映同类项目的先进水平，又要符合项目的实际绩效水平。具体采用计划标准等确定此次绩效评价指标标准值。</w:t>
      </w:r>
    </w:p>
    <w:p w14:paraId="4C4282AE">
      <w:pPr>
        <w:pStyle w:val="9"/>
        <w:spacing w:before="0" w:after="0" w:line="560" w:lineRule="exact"/>
        <w:ind w:firstLine="708" w:firstLineChars="200"/>
        <w:jc w:val="both"/>
        <w:rPr>
          <w:rFonts w:hint="default" w:ascii="Times New Roman" w:hAnsi="Times New Roman" w:eastAsia="仿宋_GB2312" w:cs="Times New Roman"/>
          <w:b w:val="0"/>
          <w:bCs w:val="0"/>
          <w:color w:val="000000"/>
          <w:spacing w:val="17"/>
          <w:kern w:val="2"/>
        </w:rPr>
      </w:pPr>
      <w:r>
        <w:rPr>
          <w:rFonts w:hint="default" w:ascii="Times New Roman" w:hAnsi="Times New Roman" w:eastAsia="仿宋_GB2312" w:cs="Times New Roman"/>
          <w:b w:val="0"/>
          <w:bCs w:val="0"/>
          <w:color w:val="000000"/>
          <w:spacing w:val="17"/>
          <w:kern w:val="2"/>
        </w:rPr>
        <w:t>绩效评价总分值100分，根据综合评分结果，90（含）-100分为优、80（含）-90分为良、60（含）-80分为中、60分以下为差。</w:t>
      </w:r>
    </w:p>
    <w:p w14:paraId="196F4C88">
      <w:pPr>
        <w:pStyle w:val="9"/>
        <w:widowControl w:val="0"/>
        <w:spacing w:before="0" w:after="0" w:line="560" w:lineRule="exact"/>
        <w:ind w:firstLine="708" w:firstLineChars="200"/>
        <w:jc w:val="both"/>
        <w:outlineLvl w:val="9"/>
        <w:rPr>
          <w:rFonts w:hint="default" w:ascii="Times New Roman" w:hAnsi="Times New Roman" w:eastAsia="仿宋_GB2312" w:cs="Times New Roman"/>
          <w:b w:val="0"/>
          <w:bCs w:val="0"/>
          <w:color w:val="000000"/>
          <w:spacing w:val="17"/>
        </w:rPr>
      </w:pPr>
      <w:r>
        <w:rPr>
          <w:rFonts w:hint="default" w:ascii="Times New Roman" w:hAnsi="Times New Roman" w:eastAsia="仿宋_GB2312" w:cs="Times New Roman"/>
          <w:b w:val="0"/>
          <w:bCs w:val="0"/>
          <w:color w:val="000000"/>
          <w:spacing w:val="17"/>
        </w:rPr>
        <w:t>具体评价指标体系详情见附件1</w:t>
      </w:r>
    </w:p>
    <w:p w14:paraId="5533711A">
      <w:pPr>
        <w:pStyle w:val="9"/>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3</w:t>
      </w:r>
      <w:r>
        <w:rPr>
          <w:rFonts w:hint="default" w:ascii="Times New Roman" w:hAnsi="Times New Roman" w:eastAsia="仿宋_GB2312" w:cs="Times New Roman"/>
          <w:b w:val="0"/>
          <w:bCs w:val="0"/>
          <w:lang w:val="en-US" w:eastAsia="zh-CN"/>
        </w:rPr>
        <w:t>.</w:t>
      </w:r>
      <w:r>
        <w:rPr>
          <w:rFonts w:hint="default" w:ascii="Times New Roman" w:hAnsi="Times New Roman" w:eastAsia="仿宋_GB2312" w:cs="Times New Roman"/>
          <w:b w:val="0"/>
          <w:bCs w:val="0"/>
        </w:rPr>
        <w:t>绩效评价方法</w:t>
      </w:r>
    </w:p>
    <w:p w14:paraId="00889849">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绩效评价从项目决策、项目过程、项目产出、项目效益四个维度进行评价。评价对象为项目目标实施情况，评价核心为资金的支出完成情况和项目的产出效益。</w:t>
      </w:r>
    </w:p>
    <w:p w14:paraId="20EF4C7A">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14:paraId="2F8C7C13">
      <w:pPr>
        <w:spacing w:line="560" w:lineRule="exact"/>
        <w:ind w:firstLine="708" w:firstLineChars="200"/>
        <w:rPr>
          <w:rFonts w:hint="default" w:ascii="Times New Roman" w:hAnsi="Times New Roman" w:eastAsia="仿宋_GB2312" w:cs="Times New Roman"/>
          <w:color w:val="auto"/>
          <w:spacing w:val="17"/>
          <w:sz w:val="32"/>
          <w:szCs w:val="32"/>
          <w:highlight w:val="none"/>
          <w:lang w:val="en-US" w:eastAsia="zh-CN"/>
        </w:rPr>
      </w:pPr>
      <w:r>
        <w:rPr>
          <w:rFonts w:hint="default" w:ascii="Times New Roman" w:hAnsi="Times New Roman" w:eastAsia="仿宋_GB2312" w:cs="Times New Roman"/>
          <w:color w:val="auto"/>
          <w:spacing w:val="17"/>
          <w:sz w:val="32"/>
          <w:szCs w:val="32"/>
          <w:highlight w:val="none"/>
        </w:rPr>
        <w:t>（三）因素分析法。是指综合分析影响绩效目标实现、实施效果的内外部因素的方法。</w:t>
      </w:r>
      <w:r>
        <w:rPr>
          <w:rFonts w:hint="eastAsia" w:eastAsia="仿宋_GB2312" w:cs="Times New Roman"/>
          <w:color w:val="auto"/>
          <w:spacing w:val="17"/>
          <w:sz w:val="32"/>
          <w:szCs w:val="32"/>
          <w:highlight w:val="none"/>
          <w:lang w:val="en-US" w:eastAsia="zh-CN"/>
        </w:rPr>
        <w:t>项目在实施工程中除了内部的资金调控等问题还存在外部施工工程中的不定因素，因此我单位采用因素分析法可以更加全面的进行绩效评价。</w:t>
      </w:r>
    </w:p>
    <w:p w14:paraId="24094888">
      <w:pPr>
        <w:pStyle w:val="9"/>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4</w:t>
      </w:r>
      <w:r>
        <w:rPr>
          <w:rFonts w:hint="default" w:ascii="Times New Roman" w:hAnsi="Times New Roman" w:eastAsia="仿宋_GB2312" w:cs="Times New Roman"/>
          <w:b/>
          <w:bCs/>
          <w:color w:val="auto"/>
          <w:sz w:val="32"/>
          <w:szCs w:val="32"/>
          <w:highlight w:val="none"/>
          <w:lang w:val="en-US" w:eastAsia="zh-CN"/>
        </w:rPr>
        <w:t>.</w:t>
      </w:r>
      <w:r>
        <w:rPr>
          <w:rFonts w:hint="default" w:ascii="Times New Roman" w:hAnsi="Times New Roman" w:eastAsia="仿宋_GB2312" w:cs="Times New Roman"/>
          <w:b w:val="0"/>
          <w:bCs w:val="0"/>
          <w:color w:val="auto"/>
          <w:highlight w:val="none"/>
        </w:rPr>
        <w:t>评价标准</w:t>
      </w:r>
    </w:p>
    <w:p w14:paraId="50148C78">
      <w:pPr>
        <w:pStyle w:val="9"/>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lang w:eastAsia="zh-CN"/>
        </w:rPr>
      </w:pPr>
      <w:r>
        <w:rPr>
          <w:rFonts w:hint="default" w:ascii="Times New Roman" w:hAnsi="Times New Roman" w:eastAsia="仿宋_GB2312" w:cs="Times New Roman"/>
          <w:b w:val="0"/>
          <w:bCs w:val="0"/>
          <w:color w:val="auto"/>
          <w:highlight w:val="none"/>
        </w:rPr>
        <w:t>绩效评价标准通常包括计划标准、行业标准、历史标准等，用于对绩效指标完成情况进行比较、分析、评价。本次评价主要采用了</w:t>
      </w:r>
      <w:r>
        <w:rPr>
          <w:rFonts w:hint="eastAsia" w:ascii="Times New Roman" w:hAnsi="Times New Roman" w:eastAsia="仿宋_GB2312" w:cs="Times New Roman"/>
          <w:b w:val="0"/>
          <w:bCs w:val="0"/>
          <w:color w:val="auto"/>
          <w:highlight w:val="none"/>
          <w:lang w:val="en-US" w:eastAsia="zh-CN"/>
        </w:rPr>
        <w:t>计划</w:t>
      </w:r>
      <w:r>
        <w:rPr>
          <w:rFonts w:hint="default" w:ascii="Times New Roman" w:hAnsi="Times New Roman" w:eastAsia="仿宋_GB2312" w:cs="Times New Roman"/>
          <w:b w:val="0"/>
          <w:bCs w:val="0"/>
          <w:color w:val="auto"/>
          <w:highlight w:val="none"/>
        </w:rPr>
        <w:t>标准。</w:t>
      </w:r>
    </w:p>
    <w:p w14:paraId="28781411">
      <w:pPr>
        <w:pStyle w:val="9"/>
        <w:numPr>
          <w:ilvl w:val="0"/>
          <w:numId w:val="2"/>
        </w:numPr>
        <w:spacing w:before="0" w:after="0" w:line="560" w:lineRule="exact"/>
        <w:ind w:firstLine="711" w:firstLineChars="200"/>
        <w:jc w:val="both"/>
        <w:rPr>
          <w:rFonts w:hint="default" w:ascii="Times New Roman" w:hAnsi="Times New Roman" w:eastAsia="楷体" w:cs="Times New Roman"/>
          <w:color w:val="000000"/>
          <w:spacing w:val="17"/>
        </w:rPr>
      </w:pPr>
      <w:r>
        <w:rPr>
          <w:rFonts w:hint="default" w:ascii="Times New Roman" w:hAnsi="Times New Roman" w:eastAsia="楷体" w:cs="Times New Roman"/>
          <w:color w:val="000000"/>
          <w:spacing w:val="17"/>
        </w:rPr>
        <w:t>绩效评价工作过程</w:t>
      </w:r>
    </w:p>
    <w:p w14:paraId="64E9942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1</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前期准备与规划</w:t>
      </w:r>
    </w:p>
    <w:p w14:paraId="3715706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w:t>
      </w:r>
    </w:p>
    <w:p w14:paraId="7273808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2</w:t>
      </w:r>
      <w:r>
        <w:rPr>
          <w:rFonts w:hint="default" w:ascii="Times New Roman" w:hAnsi="Times New Roman" w:eastAsia="仿宋_GB2312" w:cs="Times New Roman"/>
          <w:color w:val="auto"/>
          <w:sz w:val="32"/>
          <w:szCs w:val="32"/>
          <w:highlight w:val="none"/>
          <w:lang w:eastAsia="zh-CN"/>
        </w:rPr>
        <w:t>）指标体系构建</w:t>
      </w:r>
    </w:p>
    <w:p w14:paraId="0B8D93A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依据项目的性质、目标以及预期成果，构建了科学合理的绩效评价指标体系。该指标体系涵盖了</w:t>
      </w:r>
      <w:r>
        <w:rPr>
          <w:rFonts w:hint="default" w:ascii="Times New Roman" w:hAnsi="Times New Roman" w:eastAsia="仿宋_GB2312" w:cs="Times New Roman"/>
          <w:color w:val="auto"/>
          <w:spacing w:val="17"/>
          <w:sz w:val="32"/>
          <w:szCs w:val="32"/>
          <w:highlight w:val="none"/>
        </w:rPr>
        <w:t>项目决策、项目过程、项目产出、项目效益四个维度</w:t>
      </w:r>
      <w:r>
        <w:rPr>
          <w:rFonts w:hint="default" w:ascii="Times New Roman" w:hAnsi="Times New Roman" w:eastAsia="仿宋_GB2312" w:cs="Times New Roman"/>
          <w:color w:val="auto"/>
          <w:sz w:val="32"/>
          <w:szCs w:val="32"/>
          <w:highlight w:val="none"/>
          <w:lang w:eastAsia="zh-CN"/>
        </w:rPr>
        <w:t>，选取了具有代表性和可衡量性的关键指标，并为每个指标设定了明确的评价标准与权重，确保评价结果能够全面、准确地反映项目的绩效状况。</w:t>
      </w:r>
    </w:p>
    <w:p w14:paraId="55AD479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3</w:t>
      </w:r>
      <w:r>
        <w:rPr>
          <w:rFonts w:hint="default" w:ascii="Times New Roman" w:hAnsi="Times New Roman" w:eastAsia="仿宋_GB2312" w:cs="Times New Roman"/>
          <w:color w:val="auto"/>
          <w:sz w:val="32"/>
          <w:szCs w:val="32"/>
          <w:highlight w:val="none"/>
          <w:lang w:eastAsia="zh-CN"/>
        </w:rPr>
        <w:t>）数据收集与整理</w:t>
      </w:r>
    </w:p>
    <w:p w14:paraId="78EF060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p>
    <w:p w14:paraId="14B9C71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4</w:t>
      </w:r>
      <w:r>
        <w:rPr>
          <w:rFonts w:hint="default" w:ascii="Times New Roman" w:hAnsi="Times New Roman" w:eastAsia="仿宋_GB2312" w:cs="Times New Roman"/>
          <w:color w:val="auto"/>
          <w:sz w:val="32"/>
          <w:szCs w:val="32"/>
          <w:highlight w:val="none"/>
          <w:lang w:eastAsia="zh-CN"/>
        </w:rPr>
        <w:t>）数据分析与评估</w:t>
      </w:r>
    </w:p>
    <w:p w14:paraId="4535DF0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p>
    <w:p w14:paraId="32FD3F7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5</w:t>
      </w:r>
      <w:r>
        <w:rPr>
          <w:rFonts w:hint="default" w:ascii="Times New Roman" w:hAnsi="Times New Roman" w:eastAsia="仿宋_GB2312" w:cs="Times New Roman"/>
          <w:color w:val="auto"/>
          <w:sz w:val="32"/>
          <w:szCs w:val="32"/>
          <w:highlight w:val="none"/>
          <w:lang w:eastAsia="zh-CN"/>
        </w:rPr>
        <w:t>）报告撰写与反馈</w:t>
      </w:r>
    </w:p>
    <w:p w14:paraId="1E0DF63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p>
    <w:p w14:paraId="78CDD99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6</w:t>
      </w:r>
      <w:r>
        <w:rPr>
          <w:rFonts w:hint="default" w:ascii="Times New Roman" w:hAnsi="Times New Roman" w:eastAsia="仿宋_GB2312" w:cs="Times New Roman"/>
          <w:color w:val="auto"/>
          <w:sz w:val="32"/>
          <w:szCs w:val="32"/>
          <w:highlight w:val="none"/>
          <w:lang w:eastAsia="zh-CN"/>
        </w:rPr>
        <w:t>）后续跟踪与改进</w:t>
      </w:r>
    </w:p>
    <w:p w14:paraId="740532E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14:paraId="41FB8778">
      <w:pPr>
        <w:numPr>
          <w:ilvl w:val="0"/>
          <w:numId w:val="3"/>
        </w:numPr>
        <w:spacing w:line="56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综合评价情况及评价结论（附相关评分表）</w:t>
      </w:r>
    </w:p>
    <w:p w14:paraId="4D55D4BA">
      <w:pPr>
        <w:pStyle w:val="9"/>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color w:val="auto"/>
          <w:highlight w:val="none"/>
          <w:lang w:val="en-US" w:eastAsia="zh-CN"/>
        </w:rPr>
      </w:pPr>
      <w:r>
        <w:rPr>
          <w:rFonts w:hint="default" w:ascii="Times New Roman" w:hAnsi="Times New Roman" w:eastAsia="楷体_GB2312" w:cs="Times New Roman"/>
          <w:color w:val="auto"/>
          <w:highlight w:val="none"/>
          <w:lang w:eastAsia="zh-CN"/>
        </w:rPr>
        <w:t>（</w:t>
      </w:r>
      <w:r>
        <w:rPr>
          <w:rFonts w:hint="default" w:ascii="Times New Roman" w:hAnsi="Times New Roman" w:eastAsia="楷体_GB2312" w:cs="Times New Roman"/>
          <w:color w:val="auto"/>
          <w:highlight w:val="none"/>
          <w:lang w:val="en-US" w:eastAsia="zh-CN"/>
        </w:rPr>
        <w:t>一</w:t>
      </w:r>
      <w:r>
        <w:rPr>
          <w:rFonts w:hint="default" w:ascii="Times New Roman" w:hAnsi="Times New Roman" w:eastAsia="楷体_GB2312" w:cs="Times New Roman"/>
          <w:color w:val="auto"/>
          <w:highlight w:val="none"/>
          <w:lang w:eastAsia="zh-CN"/>
        </w:rPr>
        <w:t>）</w:t>
      </w:r>
      <w:r>
        <w:rPr>
          <w:rFonts w:hint="default" w:ascii="Times New Roman" w:hAnsi="Times New Roman" w:eastAsia="楷体_GB2312" w:cs="Times New Roman"/>
          <w:color w:val="auto"/>
          <w:highlight w:val="none"/>
          <w:lang w:val="en-US" w:eastAsia="zh-CN"/>
        </w:rPr>
        <w:t>评价情况</w:t>
      </w:r>
    </w:p>
    <w:p w14:paraId="7DA03552">
      <w:pPr>
        <w:pStyle w:val="8"/>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综合评价基于对项目各方面绩效的深入分析与评估。从项目目标的达成情况来看，2024年中央财政支持学前教育发展项目在时效指标、社会效益指标等方面表现出色，达到了预期的标准与要求。同时，项目也在</w:t>
      </w:r>
      <w:r>
        <w:rPr>
          <w:rFonts w:hint="eastAsia" w:ascii="Times New Roman" w:hAnsi="Times New Roman" w:eastAsia="仿宋_GB2312" w:cs="Times New Roman"/>
          <w:sz w:val="32"/>
          <w:szCs w:val="32"/>
          <w:highlight w:val="none"/>
          <w:lang w:val="en-US" w:eastAsia="zh-CN"/>
        </w:rPr>
        <w:t>提高学校办学条件等方面</w:t>
      </w:r>
      <w:r>
        <w:rPr>
          <w:rFonts w:hint="default" w:ascii="Times New Roman" w:hAnsi="Times New Roman" w:eastAsia="仿宋_GB2312" w:cs="Times New Roman"/>
          <w:sz w:val="32"/>
          <w:szCs w:val="32"/>
          <w:highlight w:val="none"/>
          <w:lang w:eastAsia="zh-CN"/>
        </w:rPr>
        <w:t>取得了显著的成效，如</w:t>
      </w:r>
      <w:r>
        <w:rPr>
          <w:rFonts w:hint="eastAsia" w:ascii="Times New Roman" w:hAnsi="Times New Roman" w:eastAsia="仿宋_GB2312" w:cs="Times New Roman"/>
          <w:sz w:val="32"/>
          <w:szCs w:val="32"/>
          <w:highlight w:val="none"/>
          <w:lang w:val="en-US" w:eastAsia="zh-CN"/>
        </w:rPr>
        <w:t>有效改善办学条件，提高幼儿园教育教学质量，能够提升教育教学功能</w:t>
      </w:r>
      <w:r>
        <w:rPr>
          <w:rFonts w:hint="default" w:ascii="Times New Roman" w:hAnsi="Times New Roman" w:eastAsia="仿宋_GB2312" w:cs="Times New Roman"/>
          <w:sz w:val="32"/>
          <w:szCs w:val="32"/>
          <w:highlight w:val="none"/>
          <w:lang w:eastAsia="zh-CN"/>
        </w:rPr>
        <w:t>。</w:t>
      </w:r>
    </w:p>
    <w:p w14:paraId="2D4B39D1">
      <w:pPr>
        <w:pStyle w:val="8"/>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在项目管理方面，</w:t>
      </w:r>
      <w:r>
        <w:rPr>
          <w:rFonts w:hint="eastAsia" w:ascii="Times New Roman" w:hAnsi="Times New Roman" w:eastAsia="仿宋_GB2312" w:cs="Times New Roman"/>
          <w:sz w:val="32"/>
          <w:szCs w:val="32"/>
          <w:highlight w:val="none"/>
          <w:lang w:val="en-US" w:eastAsia="zh-CN"/>
        </w:rPr>
        <w:t>裕民县教育和体育局</w:t>
      </w:r>
      <w:r>
        <w:rPr>
          <w:rFonts w:hint="default" w:ascii="Times New Roman" w:hAnsi="Times New Roman" w:eastAsia="仿宋_GB2312" w:cs="Times New Roman"/>
          <w:sz w:val="32"/>
          <w:szCs w:val="32"/>
          <w:highlight w:val="none"/>
        </w:rPr>
        <w:t>通过有效的规划、组织与协调，项目得以顺利实施，并在预算与时间上保持了良好的控制。</w:t>
      </w:r>
    </w:p>
    <w:p w14:paraId="3C41ADA0">
      <w:pPr>
        <w:pStyle w:val="8"/>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从项目效益的角度来看，本项目不仅实现了预期的社会效益等方面产生了积极的影响。具体而言，</w:t>
      </w:r>
      <w:r>
        <w:rPr>
          <w:rFonts w:hint="eastAsia" w:ascii="Times New Roman" w:hAnsi="Times New Roman" w:eastAsia="仿宋_GB2312" w:cs="Times New Roman"/>
          <w:sz w:val="32"/>
          <w:szCs w:val="32"/>
          <w:highlight w:val="none"/>
          <w:lang w:val="en-US" w:eastAsia="zh-CN"/>
        </w:rPr>
        <w:t>办学条件</w:t>
      </w:r>
      <w:r>
        <w:rPr>
          <w:rFonts w:hint="default" w:ascii="Times New Roman" w:hAnsi="Times New Roman" w:eastAsia="仿宋_GB2312" w:cs="Times New Roman"/>
          <w:sz w:val="32"/>
          <w:szCs w:val="32"/>
          <w:highlight w:val="none"/>
        </w:rPr>
        <w:t>等方面的提升，为项目的利益相关者带来了实实在在的利益。</w:t>
      </w:r>
    </w:p>
    <w:p w14:paraId="0F50D9A1">
      <w:pPr>
        <w:pStyle w:val="8"/>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cs="Times New Roman"/>
          <w:color w:val="auto"/>
          <w:highlight w:val="none"/>
        </w:rPr>
      </w:pPr>
      <w:r>
        <w:rPr>
          <w:rFonts w:hint="default" w:ascii="Times New Roman" w:hAnsi="Times New Roman" w:eastAsia="仿宋_GB2312" w:cs="Times New Roman"/>
          <w:color w:val="auto"/>
          <w:sz w:val="32"/>
          <w:szCs w:val="32"/>
          <w:highlight w:val="none"/>
        </w:rPr>
        <w:t>综上所述2024年中央财政支持学前教育发展项目在绩效评价中表现出色，达到了项目的预期目标，并在多个方面取得了显著的成效。</w:t>
      </w:r>
    </w:p>
    <w:p w14:paraId="719595B0">
      <w:pPr>
        <w:pStyle w:val="9"/>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lang w:val="en-US" w:eastAsia="zh-CN"/>
        </w:rPr>
      </w:pP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二</w:t>
      </w: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评价结论</w:t>
      </w:r>
    </w:p>
    <w:p w14:paraId="79946605">
      <w:pPr>
        <w:pStyle w:val="9"/>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lang w:eastAsia="zh-CN"/>
        </w:rPr>
      </w:pPr>
      <w:r>
        <w:rPr>
          <w:rFonts w:hint="default" w:ascii="Times New Roman" w:hAnsi="Times New Roman" w:eastAsia="仿宋_GB2312" w:cs="Times New Roman"/>
          <w:b w:val="0"/>
          <w:bCs w:val="0"/>
          <w:color w:val="auto"/>
          <w:highlight w:val="none"/>
        </w:rPr>
        <w:t>运用绩效评价组制定的评价指标体系以及财政部《项目支出绩效评价管理办法》（财预〔2020〕10号）文件的评分标准，通过数据采集、问卷调查及访谈等方式，对本项目进行客观评价，最终评分结果：总得分为</w:t>
      </w:r>
      <w:r>
        <w:rPr>
          <w:rFonts w:hint="eastAsia" w:ascii="Times New Roman" w:hAnsi="Times New Roman" w:eastAsia="仿宋_GB2312" w:cs="Times New Roman"/>
          <w:b w:val="0"/>
          <w:bCs w:val="0"/>
          <w:color w:val="auto"/>
          <w:highlight w:val="none"/>
          <w:lang w:val="en-US" w:eastAsia="zh-CN"/>
        </w:rPr>
        <w:t>99.5</w:t>
      </w:r>
      <w:r>
        <w:rPr>
          <w:rFonts w:hint="default" w:ascii="Times New Roman" w:hAnsi="Times New Roman" w:eastAsia="仿宋_GB2312" w:cs="Times New Roman"/>
          <w:b w:val="0"/>
          <w:bCs w:val="0"/>
          <w:color w:val="auto"/>
          <w:highlight w:val="none"/>
        </w:rPr>
        <w:t xml:space="preserve">分，属于“优（良/中/差）”。其中，项目决策类指标权重为20分，得分为 </w:t>
      </w:r>
      <w:r>
        <w:rPr>
          <w:rFonts w:hint="eastAsia" w:ascii="Times New Roman" w:hAnsi="Times New Roman" w:eastAsia="仿宋_GB2312" w:cs="Times New Roman"/>
          <w:b w:val="0"/>
          <w:bCs w:val="0"/>
          <w:color w:val="auto"/>
          <w:highlight w:val="none"/>
          <w:lang w:val="en-US" w:eastAsia="zh-CN"/>
        </w:rPr>
        <w:t>20</w:t>
      </w:r>
      <w:r>
        <w:rPr>
          <w:rFonts w:hint="default" w:ascii="Times New Roman" w:hAnsi="Times New Roman" w:eastAsia="仿宋_GB2312" w:cs="Times New Roman"/>
          <w:b w:val="0"/>
          <w:bCs w:val="0"/>
          <w:color w:val="auto"/>
          <w:highlight w:val="none"/>
        </w:rPr>
        <w:t xml:space="preserve">分，得分率为 </w:t>
      </w:r>
      <w:r>
        <w:rPr>
          <w:rFonts w:hint="eastAsia" w:ascii="Times New Roman" w:hAnsi="Times New Roman" w:eastAsia="仿宋_GB2312" w:cs="Times New Roman"/>
          <w:b w:val="0"/>
          <w:bCs w:val="0"/>
          <w:color w:val="auto"/>
          <w:highlight w:val="none"/>
          <w:lang w:val="en-US" w:eastAsia="zh-CN"/>
        </w:rPr>
        <w:t>100</w:t>
      </w:r>
      <w:r>
        <w:rPr>
          <w:rFonts w:hint="default" w:ascii="Times New Roman" w:hAnsi="Times New Roman" w:eastAsia="仿宋_GB2312" w:cs="Times New Roman"/>
          <w:b w:val="0"/>
          <w:bCs w:val="0"/>
          <w:color w:val="auto"/>
          <w:highlight w:val="none"/>
        </w:rPr>
        <w:t>%。项目过程类指标权重为20分，得分为</w:t>
      </w:r>
      <w:r>
        <w:rPr>
          <w:rFonts w:hint="eastAsia" w:ascii="Times New Roman" w:hAnsi="Times New Roman" w:eastAsia="仿宋_GB2312" w:cs="Times New Roman"/>
          <w:b w:val="0"/>
          <w:bCs w:val="0"/>
          <w:color w:val="auto"/>
          <w:highlight w:val="none"/>
          <w:lang w:val="en-US" w:eastAsia="zh-CN"/>
        </w:rPr>
        <w:t>20</w:t>
      </w:r>
      <w:r>
        <w:rPr>
          <w:rFonts w:hint="default" w:ascii="Times New Roman" w:hAnsi="Times New Roman" w:eastAsia="仿宋_GB2312" w:cs="Times New Roman"/>
          <w:b w:val="0"/>
          <w:bCs w:val="0"/>
          <w:color w:val="auto"/>
          <w:highlight w:val="none"/>
        </w:rPr>
        <w:t xml:space="preserve">分，得分率为 </w:t>
      </w:r>
      <w:r>
        <w:rPr>
          <w:rFonts w:hint="eastAsia" w:ascii="Times New Roman" w:hAnsi="Times New Roman" w:eastAsia="仿宋_GB2312" w:cs="Times New Roman"/>
          <w:b w:val="0"/>
          <w:bCs w:val="0"/>
          <w:color w:val="auto"/>
          <w:highlight w:val="none"/>
          <w:lang w:val="en-US" w:eastAsia="zh-CN"/>
        </w:rPr>
        <w:t>100</w:t>
      </w:r>
      <w:r>
        <w:rPr>
          <w:rFonts w:hint="default" w:ascii="Times New Roman" w:hAnsi="Times New Roman" w:eastAsia="仿宋_GB2312" w:cs="Times New Roman"/>
          <w:b w:val="0"/>
          <w:bCs w:val="0"/>
          <w:color w:val="auto"/>
          <w:highlight w:val="none"/>
        </w:rPr>
        <w:t>%。项目产出类指标权重为40分，得分为</w:t>
      </w:r>
      <w:r>
        <w:rPr>
          <w:rFonts w:hint="eastAsia" w:ascii="Times New Roman" w:hAnsi="Times New Roman" w:eastAsia="仿宋_GB2312" w:cs="Times New Roman"/>
          <w:b w:val="0"/>
          <w:bCs w:val="0"/>
          <w:color w:val="auto"/>
          <w:highlight w:val="none"/>
          <w:lang w:val="en-US" w:eastAsia="zh-CN"/>
        </w:rPr>
        <w:t>40</w:t>
      </w:r>
      <w:r>
        <w:rPr>
          <w:rFonts w:hint="default" w:ascii="Times New Roman" w:hAnsi="Times New Roman" w:eastAsia="仿宋_GB2312" w:cs="Times New Roman"/>
          <w:b w:val="0"/>
          <w:bCs w:val="0"/>
          <w:color w:val="auto"/>
          <w:highlight w:val="none"/>
        </w:rPr>
        <w:t>分，得分率为</w:t>
      </w:r>
      <w:r>
        <w:rPr>
          <w:rFonts w:hint="eastAsia" w:ascii="Times New Roman" w:hAnsi="Times New Roman" w:eastAsia="仿宋_GB2312" w:cs="Times New Roman"/>
          <w:b w:val="0"/>
          <w:bCs w:val="0"/>
          <w:color w:val="auto"/>
          <w:highlight w:val="none"/>
          <w:lang w:val="en-US" w:eastAsia="zh-CN"/>
        </w:rPr>
        <w:t>100</w:t>
      </w:r>
      <w:r>
        <w:rPr>
          <w:rFonts w:hint="default" w:ascii="Times New Roman" w:hAnsi="Times New Roman" w:eastAsia="仿宋_GB2312" w:cs="Times New Roman"/>
          <w:b w:val="0"/>
          <w:bCs w:val="0"/>
          <w:color w:val="auto"/>
          <w:highlight w:val="none"/>
        </w:rPr>
        <w:t>%。项目效益类指标权重为20分，得分为</w:t>
      </w:r>
      <w:r>
        <w:rPr>
          <w:rFonts w:hint="eastAsia" w:ascii="Times New Roman" w:hAnsi="Times New Roman" w:eastAsia="仿宋_GB2312" w:cs="Times New Roman"/>
          <w:b w:val="0"/>
          <w:bCs w:val="0"/>
          <w:color w:val="auto"/>
          <w:highlight w:val="none"/>
          <w:lang w:val="en-US" w:eastAsia="zh-CN"/>
        </w:rPr>
        <w:t>20</w:t>
      </w:r>
      <w:r>
        <w:rPr>
          <w:rFonts w:hint="default" w:ascii="Times New Roman" w:hAnsi="Times New Roman" w:eastAsia="仿宋_GB2312" w:cs="Times New Roman"/>
          <w:b w:val="0"/>
          <w:bCs w:val="0"/>
          <w:color w:val="auto"/>
          <w:highlight w:val="none"/>
        </w:rPr>
        <w:t>分，得分率为</w:t>
      </w:r>
      <w:r>
        <w:rPr>
          <w:rFonts w:hint="eastAsia" w:ascii="Times New Roman" w:hAnsi="Times New Roman" w:eastAsia="仿宋_GB2312" w:cs="Times New Roman"/>
          <w:b w:val="0"/>
          <w:bCs w:val="0"/>
          <w:color w:val="auto"/>
          <w:highlight w:val="none"/>
          <w:lang w:val="en-US" w:eastAsia="zh-CN"/>
        </w:rPr>
        <w:t>100</w:t>
      </w:r>
      <w:r>
        <w:rPr>
          <w:rFonts w:hint="default" w:ascii="Times New Roman" w:hAnsi="Times New Roman" w:eastAsia="仿宋_GB2312" w:cs="Times New Roman"/>
          <w:b w:val="0"/>
          <w:bCs w:val="0"/>
          <w:color w:val="auto"/>
          <w:highlight w:val="none"/>
        </w:rPr>
        <w:t>%。具体打分情况详见：附件1综合评分表</w:t>
      </w:r>
      <w:r>
        <w:rPr>
          <w:rFonts w:hint="default" w:ascii="Times New Roman" w:hAnsi="Times New Roman" w:eastAsia="仿宋_GB2312" w:cs="Times New Roman"/>
          <w:b w:val="0"/>
          <w:bCs w:val="0"/>
          <w:color w:val="auto"/>
          <w:highlight w:val="none"/>
          <w:lang w:eastAsia="zh-CN"/>
        </w:rPr>
        <w:t>。</w:t>
      </w:r>
    </w:p>
    <w:p w14:paraId="5238AC83">
      <w:pPr>
        <w:pStyle w:val="9"/>
        <w:keepNext w:val="0"/>
        <w:keepLines w:val="0"/>
        <w:pageBreakBefore w:val="0"/>
        <w:widowControl/>
        <w:kinsoku/>
        <w:wordWrap/>
        <w:overflowPunct/>
        <w:topLinePunct w:val="0"/>
        <w:autoSpaceDE/>
        <w:autoSpaceDN/>
        <w:bidi w:val="0"/>
        <w:adjustRightInd/>
        <w:snapToGrid/>
        <w:spacing w:before="0" w:after="0"/>
        <w:textAlignment w:val="auto"/>
        <w:rPr>
          <w:rFonts w:hint="default" w:ascii="Times New Roman" w:hAnsi="Times New Roman" w:eastAsia="仿宋_GB2312" w:cs="Times New Roman"/>
          <w:color w:val="auto"/>
          <w:sz w:val="21"/>
          <w:szCs w:val="21"/>
          <w:highlight w:val="none"/>
        </w:rPr>
      </w:pPr>
      <w:r>
        <w:rPr>
          <w:rFonts w:hint="default" w:ascii="Times New Roman" w:hAnsi="Times New Roman" w:eastAsia="仿宋_GB2312" w:cs="Times New Roman"/>
          <w:color w:val="auto"/>
          <w:sz w:val="21"/>
          <w:szCs w:val="21"/>
          <w:highlight w:val="none"/>
        </w:rPr>
        <w:t>表1综合评分表</w:t>
      </w:r>
    </w:p>
    <w:tbl>
      <w:tblPr>
        <w:tblStyle w:val="12"/>
        <w:tblW w:w="8760" w:type="dxa"/>
        <w:jc w:val="center"/>
        <w:tblLayout w:type="fixed"/>
        <w:tblCellMar>
          <w:top w:w="0" w:type="dxa"/>
          <w:left w:w="108" w:type="dxa"/>
          <w:bottom w:w="0" w:type="dxa"/>
          <w:right w:w="108" w:type="dxa"/>
        </w:tblCellMar>
      </w:tblPr>
      <w:tblGrid>
        <w:gridCol w:w="2787"/>
        <w:gridCol w:w="1927"/>
        <w:gridCol w:w="2023"/>
        <w:gridCol w:w="2023"/>
      </w:tblGrid>
      <w:tr w14:paraId="34DC6E3B">
        <w:tblPrEx>
          <w:tblCellMar>
            <w:top w:w="0" w:type="dxa"/>
            <w:left w:w="108" w:type="dxa"/>
            <w:bottom w:w="0" w:type="dxa"/>
            <w:right w:w="108" w:type="dxa"/>
          </w:tblCellMar>
        </w:tblPrEx>
        <w:trPr>
          <w:trHeight w:val="90" w:hRule="atLeast"/>
          <w:tblHeader/>
          <w:jc w:val="center"/>
        </w:trPr>
        <w:tc>
          <w:tcPr>
            <w:tcW w:w="2787" w:type="dxa"/>
            <w:tcBorders>
              <w:top w:val="single" w:color="auto" w:sz="4" w:space="0"/>
              <w:left w:val="single" w:color="auto" w:sz="4" w:space="0"/>
              <w:bottom w:val="single" w:color="auto" w:sz="4" w:space="0"/>
              <w:right w:val="single" w:color="auto" w:sz="4" w:space="0"/>
            </w:tcBorders>
            <w:shd w:val="clear" w:color="000000" w:fill="BEBEBE"/>
            <w:vAlign w:val="center"/>
          </w:tcPr>
          <w:p w14:paraId="1EF4EAE7">
            <w:pPr>
              <w:jc w:val="center"/>
              <w:rPr>
                <w:rFonts w:hint="default" w:ascii="Times New Roman" w:hAnsi="Times New Roman" w:eastAsia="仿宋_GB2312" w:cs="Times New Roman"/>
                <w:b/>
                <w:bCs/>
                <w:color w:val="auto"/>
                <w:sz w:val="21"/>
                <w:szCs w:val="21"/>
                <w:highlight w:val="none"/>
              </w:rPr>
            </w:pPr>
            <w:r>
              <w:rPr>
                <w:rFonts w:hint="default" w:ascii="Times New Roman" w:hAnsi="Times New Roman" w:eastAsia="仿宋_GB2312" w:cs="Times New Roman"/>
                <w:b/>
                <w:bCs/>
                <w:color w:val="auto"/>
                <w:sz w:val="21"/>
                <w:szCs w:val="21"/>
                <w:highlight w:val="none"/>
              </w:rPr>
              <w:t>一级指标</w:t>
            </w:r>
          </w:p>
        </w:tc>
        <w:tc>
          <w:tcPr>
            <w:tcW w:w="1927" w:type="dxa"/>
            <w:tcBorders>
              <w:top w:val="single" w:color="auto" w:sz="4" w:space="0"/>
              <w:left w:val="nil"/>
              <w:bottom w:val="single" w:color="auto" w:sz="4" w:space="0"/>
              <w:right w:val="single" w:color="auto" w:sz="4" w:space="0"/>
            </w:tcBorders>
            <w:shd w:val="clear" w:color="000000" w:fill="BEBEBE"/>
            <w:vAlign w:val="center"/>
          </w:tcPr>
          <w:p w14:paraId="5C3CCA0E">
            <w:pPr>
              <w:jc w:val="center"/>
              <w:rPr>
                <w:rFonts w:hint="default" w:ascii="Times New Roman" w:hAnsi="Times New Roman" w:eastAsia="仿宋_GB2312" w:cs="Times New Roman"/>
                <w:b/>
                <w:bCs/>
                <w:color w:val="auto"/>
                <w:sz w:val="21"/>
                <w:szCs w:val="21"/>
                <w:highlight w:val="none"/>
              </w:rPr>
            </w:pPr>
            <w:r>
              <w:rPr>
                <w:rFonts w:hint="default" w:ascii="Times New Roman" w:hAnsi="Times New Roman" w:eastAsia="仿宋_GB2312" w:cs="Times New Roman"/>
                <w:b/>
                <w:bCs/>
                <w:color w:val="auto"/>
                <w:sz w:val="21"/>
                <w:szCs w:val="21"/>
                <w:highlight w:val="none"/>
              </w:rPr>
              <w:t>权重分</w:t>
            </w:r>
          </w:p>
        </w:tc>
        <w:tc>
          <w:tcPr>
            <w:tcW w:w="2023" w:type="dxa"/>
            <w:tcBorders>
              <w:top w:val="single" w:color="auto" w:sz="4" w:space="0"/>
              <w:left w:val="nil"/>
              <w:bottom w:val="single" w:color="auto" w:sz="4" w:space="0"/>
              <w:right w:val="single" w:color="auto" w:sz="4" w:space="0"/>
            </w:tcBorders>
            <w:shd w:val="clear" w:color="000000" w:fill="BEBEBE"/>
            <w:vAlign w:val="center"/>
          </w:tcPr>
          <w:p w14:paraId="657606F3">
            <w:pPr>
              <w:jc w:val="center"/>
              <w:rPr>
                <w:rFonts w:hint="default" w:ascii="Times New Roman" w:hAnsi="Times New Roman" w:eastAsia="仿宋_GB2312" w:cs="Times New Roman"/>
                <w:b/>
                <w:bCs/>
                <w:color w:val="auto"/>
                <w:sz w:val="21"/>
                <w:szCs w:val="21"/>
                <w:highlight w:val="none"/>
              </w:rPr>
            </w:pPr>
            <w:r>
              <w:rPr>
                <w:rFonts w:hint="default" w:ascii="Times New Roman" w:hAnsi="Times New Roman" w:eastAsia="仿宋_GB2312" w:cs="Times New Roman"/>
                <w:b/>
                <w:bCs/>
                <w:color w:val="auto"/>
                <w:sz w:val="21"/>
                <w:szCs w:val="21"/>
                <w:highlight w:val="none"/>
              </w:rPr>
              <w:t>得分</w:t>
            </w:r>
          </w:p>
        </w:tc>
        <w:tc>
          <w:tcPr>
            <w:tcW w:w="2023" w:type="dxa"/>
            <w:tcBorders>
              <w:top w:val="single" w:color="auto" w:sz="4" w:space="0"/>
              <w:left w:val="nil"/>
              <w:bottom w:val="single" w:color="auto" w:sz="4" w:space="0"/>
              <w:right w:val="single" w:color="auto" w:sz="4" w:space="0"/>
            </w:tcBorders>
            <w:shd w:val="clear" w:color="000000" w:fill="BEBEBE"/>
            <w:vAlign w:val="center"/>
          </w:tcPr>
          <w:p w14:paraId="7BCD62B7">
            <w:pPr>
              <w:jc w:val="center"/>
              <w:rPr>
                <w:rFonts w:hint="eastAsia" w:ascii="Times New Roman" w:hAnsi="Times New Roman" w:eastAsia="仿宋_GB2312" w:cs="Times New Roman"/>
                <w:b/>
                <w:bCs/>
                <w:color w:val="auto"/>
                <w:sz w:val="21"/>
                <w:szCs w:val="21"/>
                <w:highlight w:val="none"/>
                <w:lang w:val="en-US" w:eastAsia="zh-CN"/>
              </w:rPr>
            </w:pPr>
            <w:r>
              <w:rPr>
                <w:rFonts w:hint="eastAsia" w:eastAsia="仿宋_GB2312" w:cs="Times New Roman"/>
                <w:b/>
                <w:bCs/>
                <w:color w:val="auto"/>
                <w:sz w:val="21"/>
                <w:szCs w:val="21"/>
                <w:highlight w:val="none"/>
                <w:lang w:val="en-US" w:eastAsia="zh-CN"/>
              </w:rPr>
              <w:t>得分率</w:t>
            </w:r>
          </w:p>
        </w:tc>
      </w:tr>
      <w:tr w14:paraId="558C0D6B">
        <w:tblPrEx>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14:paraId="79FC9E91">
            <w:pPr>
              <w:jc w:val="center"/>
              <w:rPr>
                <w:rFonts w:hint="default" w:ascii="Times New Roman" w:hAnsi="Times New Roman" w:eastAsia="仿宋_GB2312" w:cs="Times New Roman"/>
                <w:color w:val="auto"/>
                <w:sz w:val="21"/>
                <w:szCs w:val="21"/>
                <w:highlight w:val="none"/>
              </w:rPr>
            </w:pPr>
            <w:r>
              <w:rPr>
                <w:rFonts w:hint="default" w:ascii="Times New Roman" w:hAnsi="Times New Roman" w:eastAsia="仿宋_GB2312" w:cs="Times New Roman"/>
                <w:color w:val="auto"/>
                <w:sz w:val="21"/>
                <w:szCs w:val="21"/>
                <w:highlight w:val="none"/>
              </w:rPr>
              <w:t>项目决策</w:t>
            </w:r>
          </w:p>
        </w:tc>
        <w:tc>
          <w:tcPr>
            <w:tcW w:w="1927" w:type="dxa"/>
            <w:tcBorders>
              <w:top w:val="nil"/>
              <w:left w:val="nil"/>
              <w:bottom w:val="single" w:color="auto" w:sz="4" w:space="0"/>
              <w:right w:val="single" w:color="auto" w:sz="4" w:space="0"/>
            </w:tcBorders>
            <w:shd w:val="clear" w:color="auto" w:fill="auto"/>
            <w:vAlign w:val="center"/>
          </w:tcPr>
          <w:p w14:paraId="019F6A4F">
            <w:pPr>
              <w:jc w:val="center"/>
              <w:rPr>
                <w:rFonts w:hint="default" w:ascii="Times New Roman" w:hAnsi="Times New Roman" w:eastAsia="仿宋_GB2312" w:cs="Times New Roman"/>
                <w:color w:val="auto"/>
                <w:sz w:val="21"/>
                <w:szCs w:val="21"/>
                <w:highlight w:val="none"/>
                <w:lang w:val="en-US" w:eastAsia="zh-CN"/>
              </w:rPr>
            </w:pPr>
            <w:r>
              <w:rPr>
                <w:rFonts w:hint="default" w:ascii="Times New Roman" w:hAnsi="Times New Roman" w:eastAsia="仿宋_GB2312" w:cs="Times New Roman"/>
                <w:color w:val="auto"/>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454CB6E4">
            <w:pPr>
              <w:jc w:val="center"/>
              <w:rPr>
                <w:rFonts w:hint="default" w:ascii="Times New Roman" w:hAnsi="Times New Roman" w:eastAsia="仿宋_GB2312" w:cs="Times New Roman"/>
                <w:color w:val="auto"/>
                <w:sz w:val="21"/>
                <w:szCs w:val="21"/>
                <w:highlight w:val="none"/>
                <w:lang w:val="en-US" w:eastAsia="zh-CN"/>
              </w:rPr>
            </w:pPr>
            <w:r>
              <w:rPr>
                <w:rFonts w:hint="eastAsia" w:eastAsia="仿宋_GB2312" w:cs="Times New Roman"/>
                <w:color w:val="auto"/>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7B5F78A8">
            <w:pPr>
              <w:jc w:val="center"/>
              <w:rPr>
                <w:rFonts w:hint="default" w:ascii="Times New Roman" w:hAnsi="Times New Roman" w:eastAsia="仿宋_GB2312" w:cs="Times New Roman"/>
                <w:color w:val="auto"/>
                <w:sz w:val="21"/>
                <w:szCs w:val="21"/>
                <w:highlight w:val="none"/>
                <w:lang w:val="en-US" w:eastAsia="zh-CN"/>
              </w:rPr>
            </w:pPr>
            <w:r>
              <w:rPr>
                <w:rFonts w:hint="eastAsia" w:eastAsia="仿宋_GB2312" w:cs="Times New Roman"/>
                <w:color w:val="auto"/>
                <w:sz w:val="21"/>
                <w:szCs w:val="21"/>
                <w:highlight w:val="none"/>
                <w:lang w:val="en-US" w:eastAsia="zh-CN"/>
              </w:rPr>
              <w:t>100</w:t>
            </w:r>
          </w:p>
        </w:tc>
      </w:tr>
      <w:tr w14:paraId="56B694D2">
        <w:tblPrEx>
          <w:tblCellMar>
            <w:top w:w="0" w:type="dxa"/>
            <w:left w:w="108" w:type="dxa"/>
            <w:bottom w:w="0" w:type="dxa"/>
            <w:right w:w="108" w:type="dxa"/>
          </w:tblCellMar>
        </w:tblPrEx>
        <w:trPr>
          <w:trHeight w:val="9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14:paraId="0CF69F11">
            <w:pPr>
              <w:jc w:val="center"/>
              <w:rPr>
                <w:rFonts w:hint="default" w:ascii="Times New Roman" w:hAnsi="Times New Roman" w:eastAsia="仿宋_GB2312" w:cs="Times New Roman"/>
                <w:color w:val="auto"/>
                <w:sz w:val="21"/>
                <w:szCs w:val="21"/>
                <w:highlight w:val="none"/>
              </w:rPr>
            </w:pPr>
            <w:r>
              <w:rPr>
                <w:rFonts w:hint="default" w:ascii="Times New Roman" w:hAnsi="Times New Roman" w:eastAsia="仿宋_GB2312" w:cs="Times New Roman"/>
                <w:color w:val="auto"/>
                <w:sz w:val="21"/>
                <w:szCs w:val="21"/>
                <w:highlight w:val="none"/>
              </w:rPr>
              <w:t>项目过程</w:t>
            </w:r>
          </w:p>
        </w:tc>
        <w:tc>
          <w:tcPr>
            <w:tcW w:w="1927" w:type="dxa"/>
            <w:tcBorders>
              <w:top w:val="nil"/>
              <w:left w:val="nil"/>
              <w:bottom w:val="single" w:color="auto" w:sz="4" w:space="0"/>
              <w:right w:val="single" w:color="auto" w:sz="4" w:space="0"/>
            </w:tcBorders>
            <w:shd w:val="clear" w:color="auto" w:fill="auto"/>
            <w:vAlign w:val="center"/>
          </w:tcPr>
          <w:p w14:paraId="39710E5E">
            <w:pPr>
              <w:jc w:val="center"/>
              <w:rPr>
                <w:rFonts w:hint="default" w:ascii="Times New Roman" w:hAnsi="Times New Roman" w:eastAsia="仿宋_GB2312" w:cs="Times New Roman"/>
                <w:color w:val="auto"/>
                <w:sz w:val="21"/>
                <w:szCs w:val="21"/>
                <w:highlight w:val="none"/>
                <w:lang w:val="en-US" w:eastAsia="zh-CN"/>
              </w:rPr>
            </w:pPr>
            <w:r>
              <w:rPr>
                <w:rFonts w:hint="default" w:ascii="Times New Roman" w:hAnsi="Times New Roman" w:eastAsia="仿宋_GB2312" w:cs="Times New Roman"/>
                <w:color w:val="auto"/>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34312E62">
            <w:pPr>
              <w:jc w:val="center"/>
              <w:rPr>
                <w:rFonts w:hint="default" w:ascii="Times New Roman" w:hAnsi="Times New Roman" w:eastAsia="仿宋_GB2312" w:cs="Times New Roman"/>
                <w:color w:val="auto"/>
                <w:sz w:val="21"/>
                <w:szCs w:val="21"/>
                <w:highlight w:val="none"/>
                <w:lang w:val="en-US" w:eastAsia="zh-CN"/>
              </w:rPr>
            </w:pPr>
            <w:r>
              <w:rPr>
                <w:rFonts w:hint="eastAsia" w:eastAsia="仿宋_GB2312" w:cs="Times New Roman"/>
                <w:color w:val="auto"/>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357DF2FD">
            <w:pPr>
              <w:jc w:val="center"/>
              <w:rPr>
                <w:rFonts w:hint="default" w:ascii="Times New Roman" w:hAnsi="Times New Roman" w:eastAsia="仿宋_GB2312" w:cs="Times New Roman"/>
                <w:color w:val="auto"/>
                <w:sz w:val="21"/>
                <w:szCs w:val="21"/>
                <w:highlight w:val="none"/>
                <w:lang w:val="en-US" w:eastAsia="zh-CN"/>
              </w:rPr>
            </w:pPr>
            <w:r>
              <w:rPr>
                <w:rFonts w:hint="eastAsia" w:eastAsia="仿宋_GB2312" w:cs="Times New Roman"/>
                <w:color w:val="auto"/>
                <w:sz w:val="21"/>
                <w:szCs w:val="21"/>
                <w:highlight w:val="none"/>
                <w:lang w:val="en-US" w:eastAsia="zh-CN"/>
              </w:rPr>
              <w:t>100</w:t>
            </w:r>
          </w:p>
        </w:tc>
      </w:tr>
      <w:tr w14:paraId="71B0DB9E">
        <w:tblPrEx>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14:paraId="636DE106">
            <w:pPr>
              <w:jc w:val="center"/>
              <w:rPr>
                <w:rFonts w:hint="default" w:ascii="Times New Roman" w:hAnsi="Times New Roman" w:eastAsia="仿宋_GB2312" w:cs="Times New Roman"/>
                <w:color w:val="auto"/>
                <w:sz w:val="21"/>
                <w:szCs w:val="21"/>
                <w:highlight w:val="none"/>
              </w:rPr>
            </w:pPr>
            <w:r>
              <w:rPr>
                <w:rFonts w:hint="default" w:ascii="Times New Roman" w:hAnsi="Times New Roman" w:eastAsia="仿宋_GB2312" w:cs="Times New Roman"/>
                <w:color w:val="auto"/>
                <w:sz w:val="21"/>
                <w:szCs w:val="21"/>
                <w:highlight w:val="none"/>
              </w:rPr>
              <w:t>项目产出</w:t>
            </w:r>
          </w:p>
        </w:tc>
        <w:tc>
          <w:tcPr>
            <w:tcW w:w="1927" w:type="dxa"/>
            <w:tcBorders>
              <w:top w:val="nil"/>
              <w:left w:val="nil"/>
              <w:bottom w:val="single" w:color="auto" w:sz="4" w:space="0"/>
              <w:right w:val="single" w:color="auto" w:sz="4" w:space="0"/>
            </w:tcBorders>
            <w:shd w:val="clear" w:color="auto" w:fill="auto"/>
            <w:vAlign w:val="center"/>
          </w:tcPr>
          <w:p w14:paraId="6E0DC06B">
            <w:pPr>
              <w:jc w:val="center"/>
              <w:rPr>
                <w:rFonts w:hint="default" w:ascii="Times New Roman" w:hAnsi="Times New Roman" w:eastAsia="仿宋_GB2312" w:cs="Times New Roman"/>
                <w:color w:val="auto"/>
                <w:sz w:val="21"/>
                <w:szCs w:val="21"/>
                <w:highlight w:val="none"/>
                <w:lang w:val="en-US" w:eastAsia="zh-CN"/>
              </w:rPr>
            </w:pPr>
            <w:r>
              <w:rPr>
                <w:rFonts w:hint="default" w:ascii="Times New Roman" w:hAnsi="Times New Roman" w:eastAsia="仿宋_GB2312" w:cs="Times New Roman"/>
                <w:color w:val="auto"/>
                <w:sz w:val="21"/>
                <w:szCs w:val="21"/>
                <w:highlight w:val="none"/>
                <w:lang w:val="en-US" w:eastAsia="zh-CN"/>
              </w:rPr>
              <w:t>40</w:t>
            </w:r>
          </w:p>
        </w:tc>
        <w:tc>
          <w:tcPr>
            <w:tcW w:w="2023" w:type="dxa"/>
            <w:tcBorders>
              <w:top w:val="nil"/>
              <w:left w:val="nil"/>
              <w:bottom w:val="single" w:color="auto" w:sz="4" w:space="0"/>
              <w:right w:val="single" w:color="auto" w:sz="4" w:space="0"/>
            </w:tcBorders>
            <w:shd w:val="clear" w:color="auto" w:fill="auto"/>
            <w:vAlign w:val="center"/>
          </w:tcPr>
          <w:p w14:paraId="443BA0BB">
            <w:pPr>
              <w:jc w:val="center"/>
              <w:rPr>
                <w:rFonts w:hint="default" w:ascii="Times New Roman" w:hAnsi="Times New Roman" w:eastAsia="仿宋_GB2312" w:cs="Times New Roman"/>
                <w:color w:val="auto"/>
                <w:sz w:val="21"/>
                <w:szCs w:val="21"/>
                <w:highlight w:val="none"/>
                <w:lang w:val="en-US" w:eastAsia="zh-CN"/>
              </w:rPr>
            </w:pPr>
            <w:r>
              <w:rPr>
                <w:rFonts w:hint="eastAsia" w:eastAsia="仿宋_GB2312" w:cs="Times New Roman"/>
                <w:color w:val="auto"/>
                <w:sz w:val="21"/>
                <w:szCs w:val="21"/>
                <w:highlight w:val="none"/>
                <w:lang w:val="en-US" w:eastAsia="zh-CN"/>
              </w:rPr>
              <w:t>39.5</w:t>
            </w:r>
          </w:p>
        </w:tc>
        <w:tc>
          <w:tcPr>
            <w:tcW w:w="2023" w:type="dxa"/>
            <w:tcBorders>
              <w:top w:val="nil"/>
              <w:left w:val="nil"/>
              <w:bottom w:val="single" w:color="auto" w:sz="4" w:space="0"/>
              <w:right w:val="single" w:color="auto" w:sz="4" w:space="0"/>
            </w:tcBorders>
            <w:shd w:val="clear" w:color="auto" w:fill="auto"/>
            <w:vAlign w:val="center"/>
          </w:tcPr>
          <w:p w14:paraId="64FE822B">
            <w:pPr>
              <w:jc w:val="center"/>
              <w:rPr>
                <w:rFonts w:hint="default" w:ascii="Times New Roman" w:hAnsi="Times New Roman" w:eastAsia="仿宋_GB2312" w:cs="Times New Roman"/>
                <w:color w:val="auto"/>
                <w:sz w:val="21"/>
                <w:szCs w:val="21"/>
                <w:highlight w:val="none"/>
                <w:lang w:val="en-US" w:eastAsia="zh-CN"/>
              </w:rPr>
            </w:pPr>
            <w:r>
              <w:rPr>
                <w:rFonts w:hint="eastAsia" w:eastAsia="仿宋_GB2312" w:cs="Times New Roman"/>
                <w:color w:val="auto"/>
                <w:sz w:val="21"/>
                <w:szCs w:val="21"/>
                <w:highlight w:val="none"/>
                <w:lang w:val="en-US" w:eastAsia="zh-CN"/>
              </w:rPr>
              <w:t>98.75</w:t>
            </w:r>
          </w:p>
        </w:tc>
      </w:tr>
      <w:tr w14:paraId="2CD3C599">
        <w:tblPrEx>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14:paraId="6CFD12A3">
            <w:pPr>
              <w:jc w:val="center"/>
              <w:rPr>
                <w:rFonts w:hint="default" w:ascii="Times New Roman" w:hAnsi="Times New Roman" w:eastAsia="仿宋_GB2312" w:cs="Times New Roman"/>
                <w:color w:val="auto"/>
                <w:sz w:val="21"/>
                <w:szCs w:val="21"/>
                <w:highlight w:val="none"/>
              </w:rPr>
            </w:pPr>
            <w:r>
              <w:rPr>
                <w:rFonts w:hint="default" w:ascii="Times New Roman" w:hAnsi="Times New Roman" w:eastAsia="仿宋_GB2312" w:cs="Times New Roman"/>
                <w:color w:val="auto"/>
                <w:sz w:val="21"/>
                <w:szCs w:val="21"/>
                <w:highlight w:val="none"/>
              </w:rPr>
              <w:t>项目效益</w:t>
            </w:r>
          </w:p>
        </w:tc>
        <w:tc>
          <w:tcPr>
            <w:tcW w:w="1927" w:type="dxa"/>
            <w:tcBorders>
              <w:top w:val="nil"/>
              <w:left w:val="nil"/>
              <w:bottom w:val="single" w:color="auto" w:sz="4" w:space="0"/>
              <w:right w:val="single" w:color="auto" w:sz="4" w:space="0"/>
            </w:tcBorders>
            <w:shd w:val="clear" w:color="auto" w:fill="auto"/>
            <w:vAlign w:val="center"/>
          </w:tcPr>
          <w:p w14:paraId="2CA7779E">
            <w:pPr>
              <w:jc w:val="center"/>
              <w:rPr>
                <w:rFonts w:hint="default" w:ascii="Times New Roman" w:hAnsi="Times New Roman" w:eastAsia="仿宋_GB2312" w:cs="Times New Roman"/>
                <w:color w:val="auto"/>
                <w:sz w:val="21"/>
                <w:szCs w:val="21"/>
                <w:highlight w:val="none"/>
                <w:lang w:val="en-US" w:eastAsia="zh-CN"/>
              </w:rPr>
            </w:pPr>
            <w:r>
              <w:rPr>
                <w:rFonts w:hint="default" w:ascii="Times New Roman" w:hAnsi="Times New Roman" w:eastAsia="仿宋_GB2312" w:cs="Times New Roman"/>
                <w:color w:val="auto"/>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25053B5D">
            <w:pPr>
              <w:jc w:val="center"/>
              <w:rPr>
                <w:rFonts w:hint="default" w:ascii="Times New Roman" w:hAnsi="Times New Roman" w:eastAsia="仿宋_GB2312" w:cs="Times New Roman"/>
                <w:color w:val="auto"/>
                <w:sz w:val="21"/>
                <w:szCs w:val="21"/>
                <w:highlight w:val="none"/>
                <w:lang w:val="en-US" w:eastAsia="zh-CN"/>
              </w:rPr>
            </w:pPr>
            <w:r>
              <w:rPr>
                <w:rFonts w:hint="eastAsia" w:eastAsia="仿宋_GB2312" w:cs="Times New Roman"/>
                <w:color w:val="auto"/>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74F12BB5">
            <w:pPr>
              <w:jc w:val="center"/>
              <w:rPr>
                <w:rFonts w:hint="default" w:ascii="Times New Roman" w:hAnsi="Times New Roman" w:eastAsia="仿宋_GB2312" w:cs="Times New Roman"/>
                <w:color w:val="auto"/>
                <w:sz w:val="21"/>
                <w:szCs w:val="21"/>
                <w:highlight w:val="none"/>
                <w:lang w:val="en-US" w:eastAsia="zh-CN"/>
              </w:rPr>
            </w:pPr>
            <w:r>
              <w:rPr>
                <w:rFonts w:hint="eastAsia" w:eastAsia="仿宋_GB2312" w:cs="Times New Roman"/>
                <w:color w:val="auto"/>
                <w:sz w:val="21"/>
                <w:szCs w:val="21"/>
                <w:highlight w:val="none"/>
                <w:lang w:val="en-US" w:eastAsia="zh-CN"/>
              </w:rPr>
              <w:t>100</w:t>
            </w:r>
          </w:p>
        </w:tc>
      </w:tr>
      <w:tr w14:paraId="1905A553">
        <w:tblPrEx>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14:paraId="57BF9647">
            <w:pPr>
              <w:jc w:val="center"/>
              <w:rPr>
                <w:rFonts w:hint="default" w:ascii="Times New Roman" w:hAnsi="Times New Roman" w:eastAsia="仿宋_GB2312" w:cs="Times New Roman"/>
                <w:b/>
                <w:bCs/>
                <w:color w:val="auto"/>
                <w:sz w:val="21"/>
                <w:szCs w:val="21"/>
                <w:highlight w:val="none"/>
              </w:rPr>
            </w:pPr>
            <w:r>
              <w:rPr>
                <w:rFonts w:hint="default" w:ascii="Times New Roman" w:hAnsi="Times New Roman" w:eastAsia="仿宋_GB2312" w:cs="Times New Roman"/>
                <w:b/>
                <w:bCs/>
                <w:color w:val="auto"/>
                <w:sz w:val="21"/>
                <w:szCs w:val="21"/>
                <w:highlight w:val="none"/>
              </w:rPr>
              <w:t>合计</w:t>
            </w:r>
          </w:p>
        </w:tc>
        <w:tc>
          <w:tcPr>
            <w:tcW w:w="1927" w:type="dxa"/>
            <w:tcBorders>
              <w:top w:val="nil"/>
              <w:left w:val="nil"/>
              <w:bottom w:val="single" w:color="auto" w:sz="4" w:space="0"/>
              <w:right w:val="single" w:color="auto" w:sz="4" w:space="0"/>
            </w:tcBorders>
            <w:shd w:val="clear" w:color="auto" w:fill="auto"/>
            <w:vAlign w:val="center"/>
          </w:tcPr>
          <w:p w14:paraId="49AF4EFD">
            <w:pPr>
              <w:jc w:val="center"/>
              <w:rPr>
                <w:rFonts w:hint="default" w:ascii="Times New Roman" w:hAnsi="Times New Roman" w:eastAsia="仿宋_GB2312" w:cs="Times New Roman"/>
                <w:b/>
                <w:bCs/>
                <w:color w:val="auto"/>
                <w:sz w:val="21"/>
                <w:szCs w:val="21"/>
                <w:highlight w:val="none"/>
                <w:lang w:val="en-US" w:eastAsia="zh-CN"/>
              </w:rPr>
            </w:pPr>
            <w:r>
              <w:rPr>
                <w:rFonts w:hint="default" w:ascii="Times New Roman" w:hAnsi="Times New Roman" w:eastAsia="仿宋_GB2312" w:cs="Times New Roman"/>
                <w:b/>
                <w:bCs/>
                <w:color w:val="auto"/>
                <w:sz w:val="21"/>
                <w:szCs w:val="21"/>
                <w:highlight w:val="none"/>
                <w:lang w:val="en-US" w:eastAsia="zh-CN"/>
              </w:rPr>
              <w:t>100</w:t>
            </w:r>
          </w:p>
        </w:tc>
        <w:tc>
          <w:tcPr>
            <w:tcW w:w="2023" w:type="dxa"/>
            <w:tcBorders>
              <w:top w:val="nil"/>
              <w:left w:val="nil"/>
              <w:bottom w:val="single" w:color="auto" w:sz="4" w:space="0"/>
              <w:right w:val="single" w:color="auto" w:sz="4" w:space="0"/>
            </w:tcBorders>
            <w:shd w:val="clear" w:color="auto" w:fill="auto"/>
            <w:vAlign w:val="center"/>
          </w:tcPr>
          <w:p w14:paraId="1F85D641">
            <w:pPr>
              <w:jc w:val="center"/>
              <w:rPr>
                <w:rFonts w:hint="default" w:ascii="Times New Roman" w:hAnsi="Times New Roman" w:eastAsia="仿宋_GB2312" w:cs="Times New Roman"/>
                <w:b/>
                <w:bCs/>
                <w:color w:val="auto"/>
                <w:sz w:val="21"/>
                <w:szCs w:val="21"/>
                <w:highlight w:val="none"/>
                <w:lang w:val="en-US" w:eastAsia="zh-CN"/>
              </w:rPr>
            </w:pPr>
            <w:r>
              <w:rPr>
                <w:rFonts w:hint="eastAsia" w:eastAsia="仿宋_GB2312" w:cs="Times New Roman"/>
                <w:b/>
                <w:bCs/>
                <w:color w:val="auto"/>
                <w:sz w:val="21"/>
                <w:szCs w:val="21"/>
                <w:highlight w:val="none"/>
                <w:lang w:val="en-US" w:eastAsia="zh-CN"/>
              </w:rPr>
              <w:t>99.5</w:t>
            </w:r>
          </w:p>
        </w:tc>
        <w:tc>
          <w:tcPr>
            <w:tcW w:w="2023" w:type="dxa"/>
            <w:tcBorders>
              <w:top w:val="nil"/>
              <w:left w:val="nil"/>
              <w:bottom w:val="single" w:color="auto" w:sz="4" w:space="0"/>
              <w:right w:val="single" w:color="auto" w:sz="4" w:space="0"/>
            </w:tcBorders>
            <w:shd w:val="clear" w:color="auto" w:fill="auto"/>
            <w:vAlign w:val="center"/>
          </w:tcPr>
          <w:p w14:paraId="7FD50FDC">
            <w:pPr>
              <w:jc w:val="center"/>
              <w:rPr>
                <w:rFonts w:hint="default" w:ascii="Times New Roman" w:hAnsi="Times New Roman" w:eastAsia="仿宋_GB2312" w:cs="Times New Roman"/>
                <w:b/>
                <w:bCs/>
                <w:color w:val="auto"/>
                <w:sz w:val="21"/>
                <w:szCs w:val="21"/>
                <w:highlight w:val="none"/>
                <w:lang w:val="en-US" w:eastAsia="zh-CN"/>
              </w:rPr>
            </w:pPr>
            <w:r>
              <w:rPr>
                <w:rFonts w:hint="eastAsia" w:eastAsia="仿宋_GB2312" w:cs="Times New Roman"/>
                <w:b/>
                <w:bCs/>
                <w:color w:val="auto"/>
                <w:sz w:val="21"/>
                <w:szCs w:val="21"/>
                <w:highlight w:val="none"/>
                <w:lang w:val="en-US" w:eastAsia="zh-CN"/>
              </w:rPr>
              <w:t>99.5</w:t>
            </w:r>
          </w:p>
        </w:tc>
      </w:tr>
    </w:tbl>
    <w:p w14:paraId="77C0551D">
      <w:pPr>
        <w:spacing w:line="560" w:lineRule="exact"/>
        <w:ind w:firstLine="640" w:firstLineChars="200"/>
        <w:rPr>
          <w:rFonts w:hint="default" w:ascii="Times New Roman" w:hAnsi="Times New Roman" w:eastAsia="黑体" w:cs="Times New Roman"/>
          <w:color w:val="auto"/>
          <w:sz w:val="32"/>
          <w:szCs w:val="32"/>
          <w:highlight w:val="none"/>
        </w:rPr>
      </w:pPr>
      <w:r>
        <w:rPr>
          <w:rFonts w:hint="default" w:ascii="Times New Roman" w:hAnsi="Times New Roman" w:eastAsia="黑体" w:cs="Times New Roman"/>
          <w:color w:val="auto"/>
          <w:sz w:val="32"/>
          <w:szCs w:val="32"/>
          <w:highlight w:val="none"/>
        </w:rPr>
        <w:t>四、绩效评价指标分析</w:t>
      </w:r>
    </w:p>
    <w:p w14:paraId="6D24A04C">
      <w:pPr>
        <w:pStyle w:val="9"/>
        <w:spacing w:before="0" w:after="0" w:line="560" w:lineRule="exact"/>
        <w:ind w:firstLine="643" w:firstLineChars="200"/>
        <w:jc w:val="both"/>
        <w:rPr>
          <w:rFonts w:hint="default" w:ascii="Times New Roman" w:hAnsi="Times New Roman" w:eastAsia="楷体_GB2312" w:cs="Times New Roman"/>
          <w:color w:val="auto"/>
          <w:highlight w:val="none"/>
        </w:rPr>
      </w:pPr>
      <w:r>
        <w:rPr>
          <w:rFonts w:hint="default" w:ascii="Times New Roman" w:hAnsi="Times New Roman" w:eastAsia="楷体_GB2312" w:cs="Times New Roman"/>
          <w:color w:val="auto"/>
          <w:highlight w:val="none"/>
        </w:rPr>
        <w:t>（一）项目决策情况</w:t>
      </w:r>
    </w:p>
    <w:p w14:paraId="4C86BC7C">
      <w:pPr>
        <w:shd w:val="clear" w:color="auto" w:fill="auto"/>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项目决策类指标包括项目立项、绩效目标和资金投入三方面的内容，由6个三级指标构成，权重分值为20分，实际得分</w:t>
      </w:r>
      <w:r>
        <w:rPr>
          <w:rFonts w:hint="eastAsia" w:eastAsia="仿宋_GB2312" w:cs="Times New Roman"/>
          <w:color w:val="auto"/>
          <w:sz w:val="32"/>
          <w:szCs w:val="32"/>
          <w:highlight w:val="none"/>
          <w:lang w:val="en-US" w:eastAsia="zh-CN"/>
        </w:rPr>
        <w:t>20</w:t>
      </w:r>
      <w:r>
        <w:rPr>
          <w:rFonts w:hint="default" w:ascii="Times New Roman" w:hAnsi="Times New Roman" w:eastAsia="仿宋_GB2312" w:cs="Times New Roman"/>
          <w:color w:val="auto"/>
          <w:sz w:val="32"/>
          <w:szCs w:val="32"/>
          <w:highlight w:val="none"/>
          <w:lang w:val="en-US" w:eastAsia="zh-CN"/>
        </w:rPr>
        <w:t>分，得分率为</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lang w:val="en-US" w:eastAsia="zh-CN"/>
        </w:rPr>
        <w:t>%。</w:t>
      </w:r>
    </w:p>
    <w:p w14:paraId="10959253">
      <w:pPr>
        <w:pStyle w:val="20"/>
        <w:keepNext w:val="0"/>
        <w:keepLines w:val="0"/>
        <w:pageBreakBefore w:val="0"/>
        <w:widowControl w:val="0"/>
        <w:shd w:val="clear" w:color="auto" w:fill="auto"/>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1.项目立项</w:t>
      </w:r>
    </w:p>
    <w:p w14:paraId="560F97D3">
      <w:pPr>
        <w:shd w:val="clear" w:color="auto" w:fill="auto"/>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（1）立项依据充分性</w:t>
      </w:r>
    </w:p>
    <w:p w14:paraId="3791A66D">
      <w:pPr>
        <w:shd w:val="clear" w:color="auto" w:fill="auto"/>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该项目立项符合国家相关法律法规及发展政策</w:t>
      </w:r>
      <w:r>
        <w:rPr>
          <w:rFonts w:hint="eastAsia" w:eastAsia="仿宋_GB2312" w:cs="Times New Roman"/>
          <w:sz w:val="32"/>
          <w:szCs w:val="32"/>
          <w:lang w:val="en-US" w:eastAsia="zh-CN"/>
        </w:rPr>
        <w:t>，根据《国家中长期教育改革和发展规划纲要（2010-2020年）》明确提出要基本普及学前教育，强调学前教育对幼儿身心健康、习惯养成、智力发展的重要意义</w:t>
      </w:r>
      <w:r>
        <w:rPr>
          <w:rFonts w:hint="default" w:ascii="Times New Roman" w:hAnsi="Times New Roman" w:eastAsia="仿宋_GB2312" w:cs="Times New Roman"/>
          <w:sz w:val="32"/>
          <w:szCs w:val="32"/>
          <w:lang w:val="en-US" w:eastAsia="zh-CN"/>
        </w:rPr>
        <w:t>，符合行业规划要求，围绕本年度工作重点和工作计划制定经费预算，属于公共财政支持范围。本项目与部门内部其他相关项目不重复。部门发展规划及职能文件等归档完整。</w:t>
      </w:r>
    </w:p>
    <w:p w14:paraId="5FC47872">
      <w:pPr>
        <w:shd w:val="clear" w:color="auto" w:fill="auto"/>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（2）立项程序规范性</w:t>
      </w:r>
    </w:p>
    <w:p w14:paraId="697D90C9">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项目申请、设立过程符合相关要求，严格按照审批流程准备符合要求的文件、材料；</w:t>
      </w:r>
      <w:r>
        <w:rPr>
          <w:rFonts w:hint="default" w:ascii="Times New Roman" w:hAnsi="Times New Roman" w:eastAsia="仿宋_GB2312" w:cs="Times New Roman"/>
          <w:sz w:val="32"/>
          <w:szCs w:val="32"/>
          <w:highlight w:val="none"/>
          <w:lang w:val="en-US" w:eastAsia="zh-CN"/>
        </w:rPr>
        <w:t>根据决算依据编制工作计划和经费预算，经过与部门项目分管领导沟通、筛选确定经费预算计划，确定最终预算方案。项目的审批文件、材料符合相关要求，项目事前经过必要的可行性研究、风险评估、绩效评估、集体决策，保障了程序的规范性。</w:t>
      </w:r>
    </w:p>
    <w:p w14:paraId="1ADA51E0">
      <w:pPr>
        <w:pStyle w:val="20"/>
        <w:keepNext w:val="0"/>
        <w:keepLines w:val="0"/>
        <w:pageBreakBefore w:val="0"/>
        <w:widowControl w:val="0"/>
        <w:shd w:val="clear" w:color="auto" w:fill="auto"/>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2.绩效目标</w:t>
      </w:r>
    </w:p>
    <w:p w14:paraId="14806CD3">
      <w:pPr>
        <w:shd w:val="clear" w:color="auto" w:fill="auto"/>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（1）绩效目标合理性</w:t>
      </w:r>
    </w:p>
    <w:p w14:paraId="2035D253">
      <w:pPr>
        <w:shd w:val="clear" w:color="auto" w:fill="auto"/>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rPr>
        <w:t>年初结合实际工作内容</w:t>
      </w:r>
      <w:r>
        <w:rPr>
          <w:rFonts w:hint="default" w:ascii="Times New Roman" w:hAnsi="Times New Roman" w:eastAsia="仿宋_GB2312" w:cs="Times New Roman"/>
          <w:sz w:val="32"/>
          <w:szCs w:val="32"/>
          <w:lang w:val="en-US" w:eastAsia="zh-CN"/>
        </w:rPr>
        <w:t>设定绩效目标</w:t>
      </w:r>
      <w:r>
        <w:rPr>
          <w:rFonts w:hint="default" w:ascii="Times New Roman" w:hAnsi="Times New Roman" w:eastAsia="仿宋_GB2312" w:cs="Times New Roman"/>
          <w:sz w:val="32"/>
          <w:szCs w:val="32"/>
          <w:lang w:val="en-US"/>
        </w:rPr>
        <w:t>，绩效目标</w:t>
      </w:r>
      <w:r>
        <w:rPr>
          <w:rFonts w:hint="default" w:ascii="Times New Roman" w:hAnsi="Times New Roman" w:eastAsia="仿宋_GB2312" w:cs="Times New Roman"/>
          <w:sz w:val="32"/>
          <w:szCs w:val="32"/>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14:paraId="1EEC06CF">
      <w:pPr>
        <w:shd w:val="clear" w:color="auto" w:fill="auto"/>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（2）绩效指标明确性</w:t>
      </w:r>
    </w:p>
    <w:p w14:paraId="5DC31D74">
      <w:pPr>
        <w:shd w:val="clear" w:color="auto" w:fill="auto"/>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项目设置了明确的预期产出效益和效果，将绩效目标细化分解为具体的绩效指标，绩效目标与项目目标任务数相对应，绩效目标设定的绩效指标清晰、细化、可衡量。</w:t>
      </w:r>
    </w:p>
    <w:p w14:paraId="636AFE62">
      <w:pPr>
        <w:pStyle w:val="20"/>
        <w:keepNext w:val="0"/>
        <w:keepLines w:val="0"/>
        <w:pageBreakBefore w:val="0"/>
        <w:widowControl w:val="0"/>
        <w:shd w:val="clear" w:color="auto" w:fill="auto"/>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3.资金投入</w:t>
      </w:r>
    </w:p>
    <w:p w14:paraId="3308C855">
      <w:pPr>
        <w:shd w:val="clear" w:color="auto" w:fill="auto"/>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（1）预算编制科学性</w:t>
      </w:r>
    </w:p>
    <w:p w14:paraId="4D4049D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p>
    <w:p w14:paraId="3CB6846C">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在预算编制过程中，</w:t>
      </w:r>
      <w:r>
        <w:rPr>
          <w:rFonts w:hint="default" w:ascii="Times New Roman" w:hAnsi="Times New Roman" w:eastAsia="仿宋_GB2312" w:cs="Times New Roman"/>
          <w:sz w:val="32"/>
          <w:szCs w:val="32"/>
          <w:highlight w:val="none"/>
          <w:lang w:val="en-US" w:eastAsia="zh-CN"/>
        </w:rPr>
        <w:t>还</w:t>
      </w:r>
      <w:r>
        <w:rPr>
          <w:rFonts w:hint="default" w:ascii="Times New Roman" w:hAnsi="Times New Roman" w:eastAsia="仿宋_GB2312" w:cs="Times New Roman"/>
          <w:sz w:val="32"/>
          <w:szCs w:val="32"/>
          <w:highlight w:val="none"/>
          <w:lang w:eastAsia="zh-CN"/>
        </w:rPr>
        <w:t>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p>
    <w:p w14:paraId="6607A923">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（2）资金分配合理性</w:t>
      </w:r>
    </w:p>
    <w:p w14:paraId="62CF1E5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本项目的资金分配遵循了公平、公正、透明的原则，确保了项目资源的合理配置与高效利用。在资金分配过程中，我们充分考虑了项目的实际需求与目标，对不同阶段、不同任务的资金进行了科学的规划与安排。</w:t>
      </w:r>
    </w:p>
    <w:p w14:paraId="6A6F610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p>
    <w:p w14:paraId="3092CD7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综上所述，本项目的资金分配是合理的、科学的，既符合项目的实际情况，又满足了资金使用的效益最大化要求。资金分配的合理性为项目的成功实施提供了有力的保障，也为项目的绩效评价奠定了坚实的基础。</w:t>
      </w:r>
    </w:p>
    <w:p w14:paraId="0F1335E4">
      <w:pPr>
        <w:pStyle w:val="9"/>
        <w:numPr>
          <w:ilvl w:val="0"/>
          <w:numId w:val="4"/>
        </w:numPr>
        <w:spacing w:before="0" w:after="0" w:line="560" w:lineRule="exact"/>
        <w:ind w:firstLine="643" w:firstLineChars="200"/>
        <w:jc w:val="both"/>
        <w:rPr>
          <w:rFonts w:hint="default" w:ascii="Times New Roman" w:hAnsi="Times New Roman" w:eastAsia="楷体" w:cs="Times New Roman"/>
          <w:color w:val="auto"/>
          <w:highlight w:val="none"/>
        </w:rPr>
      </w:pPr>
      <w:r>
        <w:rPr>
          <w:rFonts w:hint="default" w:ascii="Times New Roman" w:hAnsi="Times New Roman" w:eastAsia="楷体" w:cs="Times New Roman"/>
          <w:color w:val="auto"/>
          <w:highlight w:val="none"/>
        </w:rPr>
        <w:t>项目过程情况</w:t>
      </w:r>
    </w:p>
    <w:p w14:paraId="09D77BCB">
      <w:pPr>
        <w:shd w:val="clear" w:color="auto" w:fill="auto"/>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项目过程类指标包括资金管理和组织实施两方面的内容，由5个三级指标构成，权重分值为20分，实际得分</w:t>
      </w:r>
      <w:r>
        <w:rPr>
          <w:rFonts w:hint="eastAsia" w:eastAsia="仿宋_GB2312" w:cs="Times New Roman"/>
          <w:color w:val="auto"/>
          <w:sz w:val="32"/>
          <w:szCs w:val="32"/>
          <w:highlight w:val="none"/>
          <w:lang w:val="en-US" w:eastAsia="zh-CN"/>
        </w:rPr>
        <w:t>20</w:t>
      </w:r>
      <w:r>
        <w:rPr>
          <w:rFonts w:hint="default" w:ascii="Times New Roman" w:hAnsi="Times New Roman" w:eastAsia="仿宋_GB2312" w:cs="Times New Roman"/>
          <w:color w:val="auto"/>
          <w:sz w:val="32"/>
          <w:szCs w:val="32"/>
          <w:highlight w:val="none"/>
          <w:lang w:val="en-US" w:eastAsia="zh-CN"/>
        </w:rPr>
        <w:t>分，得分率为</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lang w:val="en-US" w:eastAsia="zh-CN"/>
        </w:rPr>
        <w:t>%。</w:t>
      </w:r>
    </w:p>
    <w:p w14:paraId="23FE2021">
      <w:pPr>
        <w:pStyle w:val="20"/>
        <w:keepNext w:val="0"/>
        <w:keepLines w:val="0"/>
        <w:pageBreakBefore w:val="0"/>
        <w:widowControl w:val="0"/>
        <w:shd w:val="clear" w:color="auto" w:fill="auto"/>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1.资金管理</w:t>
      </w:r>
    </w:p>
    <w:p w14:paraId="0D611F19">
      <w:pPr>
        <w:shd w:val="clear" w:color="auto" w:fill="auto"/>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（1）资金到位率</w:t>
      </w:r>
    </w:p>
    <w:p w14:paraId="1910DBBB">
      <w:pPr>
        <w:shd w:val="clear" w:color="auto" w:fill="auto"/>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本项目总投资</w:t>
      </w:r>
      <w:r>
        <w:rPr>
          <w:rFonts w:hint="eastAsia" w:eastAsia="仿宋_GB2312" w:cs="Times New Roman"/>
          <w:color w:val="auto"/>
          <w:sz w:val="32"/>
          <w:szCs w:val="32"/>
          <w:highlight w:val="none"/>
          <w:lang w:val="en-US" w:eastAsia="zh-CN"/>
        </w:rPr>
        <w:t>302.46</w:t>
      </w:r>
      <w:r>
        <w:rPr>
          <w:rFonts w:hint="default" w:ascii="Times New Roman" w:hAnsi="Times New Roman" w:eastAsia="仿宋_GB2312" w:cs="Times New Roman"/>
          <w:color w:val="auto"/>
          <w:sz w:val="32"/>
          <w:szCs w:val="32"/>
          <w:highlight w:val="none"/>
          <w:lang w:val="en-US" w:eastAsia="zh-CN"/>
        </w:rPr>
        <w:t>万元，财政资金及时足额到位，到位率</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lang w:val="en-US" w:eastAsia="zh-CN"/>
        </w:rPr>
        <w:t>%，预算资金按计划进度执行。</w:t>
      </w:r>
    </w:p>
    <w:p w14:paraId="137754FF">
      <w:pPr>
        <w:shd w:val="clear" w:color="auto" w:fill="auto"/>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（2）预算执行率</w:t>
      </w:r>
    </w:p>
    <w:p w14:paraId="42646170">
      <w:pPr>
        <w:shd w:val="clear" w:color="auto" w:fill="auto"/>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预算编制较为详细，项目资金支出总体能够按照预算执行，预算资金支出</w:t>
      </w:r>
      <w:r>
        <w:rPr>
          <w:rFonts w:hint="eastAsia" w:eastAsia="仿宋_GB2312" w:cs="Times New Roman"/>
          <w:color w:val="auto"/>
          <w:sz w:val="32"/>
          <w:szCs w:val="32"/>
          <w:highlight w:val="none"/>
          <w:lang w:val="en-US" w:eastAsia="zh-CN"/>
        </w:rPr>
        <w:t>292.11</w:t>
      </w:r>
      <w:r>
        <w:rPr>
          <w:rFonts w:hint="default" w:ascii="Times New Roman" w:hAnsi="Times New Roman" w:eastAsia="仿宋_GB2312" w:cs="Times New Roman"/>
          <w:color w:val="auto"/>
          <w:sz w:val="32"/>
          <w:szCs w:val="32"/>
          <w:highlight w:val="none"/>
          <w:lang w:val="en-US" w:eastAsia="zh-CN"/>
        </w:rPr>
        <w:t>万元，预算执行率为</w:t>
      </w:r>
      <w:r>
        <w:rPr>
          <w:rFonts w:hint="eastAsia" w:eastAsia="仿宋_GB2312" w:cs="Times New Roman"/>
          <w:color w:val="auto"/>
          <w:sz w:val="32"/>
          <w:szCs w:val="32"/>
          <w:highlight w:val="none"/>
          <w:lang w:val="en-US" w:eastAsia="zh-CN"/>
        </w:rPr>
        <w:t>96.58</w:t>
      </w:r>
      <w:r>
        <w:rPr>
          <w:rFonts w:hint="default" w:ascii="Times New Roman" w:hAnsi="Times New Roman" w:eastAsia="仿宋_GB2312" w:cs="Times New Roman"/>
          <w:color w:val="auto"/>
          <w:sz w:val="32"/>
          <w:szCs w:val="32"/>
          <w:highlight w:val="none"/>
          <w:lang w:val="en-US" w:eastAsia="zh-CN"/>
        </w:rPr>
        <w:t>%。</w:t>
      </w:r>
    </w:p>
    <w:p w14:paraId="322990E9">
      <w:pPr>
        <w:shd w:val="clear" w:color="auto" w:fill="auto"/>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（3）资金使用合规性</w:t>
      </w:r>
    </w:p>
    <w:p w14:paraId="6BC9A1A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本项目的资金使用严格遵循了国家相关法律法规与财务制度，确保了资金的合规性与安全性。在资金使用过程中，我们建立了完善的财务管理体系，对资金的流动进行了全程监控与记录。</w:t>
      </w:r>
    </w:p>
    <w:p w14:paraId="23B286B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p>
    <w:p w14:paraId="1CC69F4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p>
    <w:p w14:paraId="17F018D3">
      <w:pPr>
        <w:pStyle w:val="20"/>
        <w:keepNext w:val="0"/>
        <w:keepLines w:val="0"/>
        <w:pageBreakBefore w:val="0"/>
        <w:widowControl w:val="0"/>
        <w:shd w:val="clear" w:color="auto" w:fill="auto"/>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2.组织实施</w:t>
      </w:r>
    </w:p>
    <w:p w14:paraId="01B19DC0">
      <w:pPr>
        <w:shd w:val="clear" w:color="auto" w:fill="auto"/>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（1）管理制度健全性</w:t>
      </w:r>
    </w:p>
    <w:p w14:paraId="6A8C409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本项目拥有一套完善、健全的管理制度体系，</w:t>
      </w:r>
      <w:r>
        <w:rPr>
          <w:rFonts w:hint="eastAsia" w:eastAsia="仿宋_GB2312" w:cs="Times New Roman"/>
          <w:sz w:val="32"/>
          <w:szCs w:val="32"/>
          <w:highlight w:val="none"/>
          <w:lang w:eastAsia="zh-CN"/>
        </w:rPr>
        <w:t>一是资金申报：项目办向财政局报送学前教育发展资金材料，申请资金</w:t>
      </w:r>
      <w:r>
        <w:rPr>
          <w:rFonts w:hint="eastAsia" w:eastAsia="仿宋_GB2312" w:cs="Times New Roman"/>
          <w:sz w:val="32"/>
          <w:szCs w:val="32"/>
          <w:highlight w:val="none"/>
          <w:lang w:val="en-US" w:eastAsia="zh-CN"/>
        </w:rPr>
        <w:t>；二是我单位制定项目详细计划，成立项目小组，小组成员按照计划执行任务，完成项目工作同时定期对项目进度进行监控，确保项目按目标进行，若存在偏差，及时分析原因，出具解决措施；三是对项目成本进行管理，制定项目成本预算，定期对项目成本进行监控，对比实际成本与预算成本，及时发现成本偏差，分析原因，采取措施控制成本；四是完成项目验收后，进行项目总结，总结经验教训，编写项目总结报告等。</w:t>
      </w:r>
      <w:r>
        <w:rPr>
          <w:rFonts w:hint="default" w:ascii="Times New Roman" w:hAnsi="Times New Roman" w:eastAsia="仿宋_GB2312" w:cs="Times New Roman"/>
          <w:sz w:val="32"/>
          <w:szCs w:val="32"/>
          <w:highlight w:val="none"/>
          <w:lang w:eastAsia="zh-CN"/>
        </w:rPr>
        <w:t>为项目的成功实施提供了坚实的制度保障。项目管理制度的制定紧密结合了项目的特点与实际情况，涵盖了项目的策划、组织、实施、监控与收尾等各个环节。</w:t>
      </w:r>
    </w:p>
    <w:p w14:paraId="2429DD6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在制度设计上，我们注重了制度的科学性与可操作性，确保制度能够切实指导项目的执行与管理。</w:t>
      </w:r>
    </w:p>
    <w:p w14:paraId="37CC318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p>
    <w:p w14:paraId="602918A6">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综上所述，本项目的管理制度是健全的、有效的，既符合项目的实际情况，又满足了项目管理的需要。管理制度的健全性为项目的成功实施提供了有力的保障，也为项目的绩效评价奠定了坚实的基础。</w:t>
      </w:r>
    </w:p>
    <w:p w14:paraId="44304A09">
      <w:pPr>
        <w:shd w:val="clear" w:color="auto" w:fill="auto"/>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（2）制度执行有效性</w:t>
      </w:r>
    </w:p>
    <w:p w14:paraId="246DD7E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本项目在执行过程中，管理制度得到了全面、有效的落实，为确保项目的顺利实施与目标实现提供了坚实的保障。项目</w:t>
      </w:r>
      <w:r>
        <w:rPr>
          <w:rFonts w:hint="default" w:ascii="Times New Roman" w:hAnsi="Times New Roman" w:eastAsia="仿宋_GB2312" w:cs="Times New Roman"/>
          <w:sz w:val="32"/>
          <w:szCs w:val="32"/>
          <w:lang w:val="en-US" w:eastAsia="zh-CN"/>
        </w:rPr>
        <w:t>单位</w:t>
      </w:r>
      <w:r>
        <w:rPr>
          <w:rFonts w:hint="default" w:ascii="Times New Roman" w:hAnsi="Times New Roman" w:eastAsia="仿宋_GB2312" w:cs="Times New Roman"/>
          <w:sz w:val="32"/>
          <w:szCs w:val="32"/>
          <w:lang w:eastAsia="zh-CN"/>
        </w:rPr>
        <w:t>重视制度执行的重要性，通过明确责任分工、制定详细执行计划、加强监督考核等措施，确保了各项管理制度能够得到有效执行。</w:t>
      </w:r>
    </w:p>
    <w:p w14:paraId="52D5B11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在具体执行过程中，项目团队成员严格按照制度要求进行操作。同时，我们还建立了有效的沟通机制与反馈机制，确保项目信息的及时传递与问题的及时解决，进一步提高了制度执行的效率与效果。</w:t>
      </w:r>
    </w:p>
    <w:p w14:paraId="3DB0C0E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eastAsia="zh-CN"/>
        </w:rPr>
        <w:t>综上所述，本项目的管理制度在执行过程中表现出了高度的有效性，既确保了项目的顺利进行，又实现了项目目标的有效达成。</w:t>
      </w:r>
    </w:p>
    <w:p w14:paraId="472A4D56">
      <w:pPr>
        <w:pStyle w:val="10"/>
        <w:numPr>
          <w:ilvl w:val="0"/>
          <w:numId w:val="4"/>
        </w:numPr>
        <w:spacing w:line="560" w:lineRule="exact"/>
        <w:ind w:firstLine="643"/>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项目产出</w:t>
      </w:r>
      <w:r>
        <w:rPr>
          <w:rFonts w:hint="default" w:ascii="Times New Roman" w:hAnsi="Times New Roman" w:eastAsia="楷体_GB2312" w:cs="Times New Roman"/>
          <w:b/>
          <w:bCs/>
          <w:sz w:val="32"/>
          <w:szCs w:val="32"/>
          <w:lang w:val="en-US" w:eastAsia="zh-CN"/>
        </w:rPr>
        <w:t>情况</w:t>
      </w:r>
    </w:p>
    <w:p w14:paraId="4C53B2B8">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项目产出类指标包括产出数量、产出质量、产出时效、产出成本四方面的内容，由</w:t>
      </w:r>
      <w:r>
        <w:rPr>
          <w:rFonts w:hint="eastAsia" w:eastAsia="仿宋_GB2312" w:cs="Times New Roman"/>
          <w:sz w:val="32"/>
          <w:szCs w:val="32"/>
          <w:highlight w:val="none"/>
          <w:lang w:val="en-US" w:eastAsia="zh-CN"/>
        </w:rPr>
        <w:t>15</w:t>
      </w:r>
      <w:r>
        <w:rPr>
          <w:rFonts w:hint="default" w:ascii="Times New Roman" w:hAnsi="Times New Roman" w:eastAsia="仿宋_GB2312" w:cs="Times New Roman"/>
          <w:sz w:val="32"/>
          <w:szCs w:val="32"/>
          <w:highlight w:val="none"/>
          <w:lang w:val="en-US" w:eastAsia="zh-CN"/>
        </w:rPr>
        <w:t>个三级指标构成，权重分为40分，实际得分</w:t>
      </w:r>
      <w:r>
        <w:rPr>
          <w:rFonts w:hint="eastAsia" w:eastAsia="仿宋_GB2312" w:cs="Times New Roman"/>
          <w:sz w:val="32"/>
          <w:szCs w:val="32"/>
          <w:highlight w:val="none"/>
          <w:lang w:val="en-US" w:eastAsia="zh-CN"/>
        </w:rPr>
        <w:t>40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%。具体产出指标完成情况如下：</w:t>
      </w:r>
    </w:p>
    <w:p w14:paraId="661D5D1B">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1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①</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数量指标：</w:t>
      </w:r>
    </w:p>
    <w:p w14:paraId="50234143">
      <w:pPr>
        <w:shd w:val="clear" w:color="auto" w:fill="auto"/>
        <w:spacing w:line="600" w:lineRule="exact"/>
        <w:ind w:firstLine="640" w:firstLineChars="200"/>
        <w:outlineLvl w:val="0"/>
        <w:rPr>
          <w:rFonts w:hint="eastAsia"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指标1：室外硬化面积 ，指标值：=5000平方米，实际完成值：</w:t>
      </w:r>
      <w:r>
        <w:rPr>
          <w:rFonts w:hint="eastAsia" w:eastAsia="仿宋_GB2312" w:cs="Times New Roman"/>
          <w:sz w:val="32"/>
          <w:szCs w:val="32"/>
          <w:highlight w:val="none"/>
          <w:lang w:val="en-US" w:eastAsia="zh-CN"/>
        </w:rPr>
        <w:t>5000平方米</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 xml:space="preserve"> %</w:t>
      </w:r>
      <w:r>
        <w:rPr>
          <w:rFonts w:hint="eastAsia" w:eastAsia="仿宋_GB2312" w:cs="Times New Roman"/>
          <w:sz w:val="32"/>
          <w:szCs w:val="32"/>
          <w:highlight w:val="none"/>
          <w:lang w:eastAsia="zh-CN"/>
        </w:rPr>
        <w:t>。</w:t>
      </w:r>
    </w:p>
    <w:p w14:paraId="35EFC677">
      <w:pPr>
        <w:shd w:val="clear" w:color="auto" w:fill="auto"/>
        <w:spacing w:line="600" w:lineRule="exact"/>
        <w:ind w:firstLine="640" w:firstLineChars="200"/>
        <w:outlineLvl w:val="0"/>
        <w:rPr>
          <w:rFonts w:hint="eastAsia"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：室外塑胶运动场建设面积 ，指标值：=2500平方米平方米，实际完成值：</w:t>
      </w:r>
      <w:r>
        <w:rPr>
          <w:rFonts w:hint="eastAsia" w:eastAsia="仿宋_GB2312" w:cs="Times New Roman"/>
          <w:sz w:val="32"/>
          <w:szCs w:val="32"/>
          <w:highlight w:val="none"/>
          <w:lang w:val="en-US" w:eastAsia="zh-CN"/>
        </w:rPr>
        <w:t>2500平方米</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 xml:space="preserve"> %</w:t>
      </w:r>
      <w:r>
        <w:rPr>
          <w:rFonts w:hint="eastAsia" w:eastAsia="仿宋_GB2312" w:cs="Times New Roman"/>
          <w:sz w:val="32"/>
          <w:szCs w:val="32"/>
          <w:highlight w:val="none"/>
          <w:lang w:eastAsia="zh-CN"/>
        </w:rPr>
        <w:t>。</w:t>
      </w:r>
    </w:p>
    <w:p w14:paraId="33EA2BA0">
      <w:pPr>
        <w:shd w:val="clear" w:color="auto" w:fill="auto"/>
        <w:spacing w:line="600" w:lineRule="exact"/>
        <w:ind w:firstLine="640" w:firstLineChars="200"/>
        <w:outlineLvl w:val="0"/>
        <w:rPr>
          <w:rFonts w:hint="eastAsia"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rPr>
        <w:t>：收纳柜购置数量，指标值：=</w:t>
      </w:r>
      <w:r>
        <w:rPr>
          <w:rFonts w:hint="eastAsia" w:eastAsia="仿宋_GB2312" w:cs="Times New Roman"/>
          <w:sz w:val="32"/>
          <w:szCs w:val="32"/>
          <w:highlight w:val="none"/>
          <w:lang w:val="en-US" w:eastAsia="zh-CN"/>
        </w:rPr>
        <w:t>10个</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10个</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 xml:space="preserve"> %</w:t>
      </w:r>
      <w:r>
        <w:rPr>
          <w:rFonts w:hint="eastAsia" w:eastAsia="仿宋_GB2312" w:cs="Times New Roman"/>
          <w:sz w:val="32"/>
          <w:szCs w:val="32"/>
          <w:highlight w:val="none"/>
          <w:lang w:eastAsia="zh-CN"/>
        </w:rPr>
        <w:t>。</w:t>
      </w:r>
    </w:p>
    <w:p w14:paraId="7A4E4C38">
      <w:pPr>
        <w:shd w:val="clear" w:color="auto" w:fill="auto"/>
        <w:spacing w:line="600" w:lineRule="exact"/>
        <w:ind w:firstLine="640" w:firstLineChars="200"/>
        <w:outlineLvl w:val="0"/>
        <w:rPr>
          <w:rFonts w:hint="eastAsia"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rPr>
        <w:t>：幼儿床购置数量，指标值：=</w:t>
      </w:r>
      <w:r>
        <w:rPr>
          <w:rFonts w:hint="eastAsia" w:eastAsia="仿宋_GB2312" w:cs="Times New Roman"/>
          <w:sz w:val="32"/>
          <w:szCs w:val="32"/>
          <w:highlight w:val="none"/>
          <w:lang w:val="en-US" w:eastAsia="zh-CN"/>
        </w:rPr>
        <w:t>180张</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180张</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 xml:space="preserve"> %</w:t>
      </w:r>
      <w:r>
        <w:rPr>
          <w:rFonts w:hint="eastAsia" w:eastAsia="仿宋_GB2312" w:cs="Times New Roman"/>
          <w:sz w:val="32"/>
          <w:szCs w:val="32"/>
          <w:highlight w:val="none"/>
          <w:lang w:eastAsia="zh-CN"/>
        </w:rPr>
        <w:t>。</w:t>
      </w:r>
    </w:p>
    <w:p w14:paraId="502E067E">
      <w:pPr>
        <w:shd w:val="clear" w:color="auto" w:fill="auto"/>
        <w:spacing w:line="600" w:lineRule="exact"/>
        <w:ind w:firstLine="640" w:firstLineChars="200"/>
        <w:outlineLvl w:val="0"/>
        <w:rPr>
          <w:rFonts w:hint="eastAsia"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5</w:t>
      </w:r>
      <w:r>
        <w:rPr>
          <w:rFonts w:hint="default" w:ascii="Times New Roman" w:hAnsi="Times New Roman" w:eastAsia="仿宋_GB2312" w:cs="Times New Roman"/>
          <w:sz w:val="32"/>
          <w:szCs w:val="32"/>
          <w:highlight w:val="none"/>
        </w:rPr>
        <w:t>：幼儿桌购置数量 ，指标值：=</w:t>
      </w:r>
      <w:r>
        <w:rPr>
          <w:rFonts w:hint="eastAsia" w:eastAsia="仿宋_GB2312" w:cs="Times New Roman"/>
          <w:sz w:val="32"/>
          <w:szCs w:val="32"/>
          <w:highlight w:val="none"/>
          <w:lang w:val="en-US" w:eastAsia="zh-CN"/>
        </w:rPr>
        <w:t>84张</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84张</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 xml:space="preserve"> %</w:t>
      </w:r>
      <w:r>
        <w:rPr>
          <w:rFonts w:hint="eastAsia" w:eastAsia="仿宋_GB2312" w:cs="Times New Roman"/>
          <w:sz w:val="32"/>
          <w:szCs w:val="32"/>
          <w:highlight w:val="none"/>
          <w:lang w:eastAsia="zh-CN"/>
        </w:rPr>
        <w:t>。</w:t>
      </w:r>
    </w:p>
    <w:p w14:paraId="04C8A4DC">
      <w:pPr>
        <w:shd w:val="clear" w:color="auto" w:fill="auto"/>
        <w:spacing w:line="600" w:lineRule="exact"/>
        <w:ind w:firstLine="640" w:firstLineChars="200"/>
        <w:outlineLvl w:val="0"/>
        <w:rPr>
          <w:rFonts w:hint="eastAsia"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6</w:t>
      </w:r>
      <w:r>
        <w:rPr>
          <w:rFonts w:hint="default" w:ascii="Times New Roman" w:hAnsi="Times New Roman" w:eastAsia="仿宋_GB2312" w:cs="Times New Roman"/>
          <w:sz w:val="32"/>
          <w:szCs w:val="32"/>
          <w:highlight w:val="none"/>
        </w:rPr>
        <w:t>：教玩具购置 ，指标值：=1批，实际完成值</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1批，指标完成率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 xml:space="preserve"> %</w:t>
      </w:r>
      <w:r>
        <w:rPr>
          <w:rFonts w:hint="eastAsia" w:eastAsia="仿宋_GB2312" w:cs="Times New Roman"/>
          <w:sz w:val="32"/>
          <w:szCs w:val="32"/>
          <w:highlight w:val="none"/>
          <w:lang w:eastAsia="zh-CN"/>
        </w:rPr>
        <w:t>。</w:t>
      </w:r>
    </w:p>
    <w:p w14:paraId="6D5CF25D">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2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②</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质量指标：</w:t>
      </w:r>
    </w:p>
    <w:p w14:paraId="7ED31B29">
      <w:pPr>
        <w:shd w:val="clear" w:color="auto" w:fill="auto"/>
        <w:spacing w:line="600" w:lineRule="exact"/>
        <w:ind w:firstLine="640" w:firstLineChars="200"/>
        <w:outlineLvl w:val="0"/>
        <w:rPr>
          <w:rFonts w:hint="eastAsia"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指标1：建设项目合格率 ，指标值：</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 xml:space="preserve"> ，实际完成值：</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p>
    <w:p w14:paraId="61853142">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3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③</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时效指标：</w:t>
      </w:r>
    </w:p>
    <w:p w14:paraId="40B18D01">
      <w:pPr>
        <w:shd w:val="clear" w:color="auto" w:fill="auto"/>
        <w:spacing w:line="600" w:lineRule="exact"/>
        <w:ind w:firstLine="640" w:firstLineChars="200"/>
        <w:outlineLvl w:val="0"/>
        <w:rPr>
          <w:rFonts w:hint="eastAsia"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指标1：资金支付及时率 ，指标值：</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 xml:space="preserve"> ，实际完成值：</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 xml:space="preserve"> %</w:t>
      </w:r>
      <w:r>
        <w:rPr>
          <w:rFonts w:hint="eastAsia" w:eastAsia="仿宋_GB2312" w:cs="Times New Roman"/>
          <w:sz w:val="32"/>
          <w:szCs w:val="32"/>
          <w:highlight w:val="none"/>
          <w:lang w:eastAsia="zh-CN"/>
        </w:rPr>
        <w:t>。</w:t>
      </w:r>
    </w:p>
    <w:p w14:paraId="2222A007">
      <w:pPr>
        <w:shd w:val="clear" w:color="auto" w:fill="auto"/>
        <w:spacing w:line="600" w:lineRule="exact"/>
        <w:ind w:firstLine="640" w:firstLineChars="200"/>
        <w:outlineLvl w:val="0"/>
        <w:rPr>
          <w:rFonts w:hint="eastAsia"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：项目完工及时率 ，指标值：</w:t>
      </w:r>
      <w:r>
        <w:rPr>
          <w:rFonts w:hint="eastAsia" w:eastAsia="仿宋_GB2312" w:cs="Times New Roman"/>
          <w:sz w:val="32"/>
          <w:szCs w:val="32"/>
          <w:highlight w:val="none"/>
          <w:lang w:val="en-US" w:eastAsia="zh-CN"/>
        </w:rPr>
        <w:t>=100%前</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 xml:space="preserve"> %</w:t>
      </w:r>
      <w:r>
        <w:rPr>
          <w:rFonts w:hint="eastAsia" w:eastAsia="仿宋_GB2312" w:cs="Times New Roman"/>
          <w:sz w:val="32"/>
          <w:szCs w:val="32"/>
          <w:highlight w:val="none"/>
          <w:lang w:eastAsia="zh-CN"/>
        </w:rPr>
        <w:t>。</w:t>
      </w:r>
    </w:p>
    <w:p w14:paraId="5CB03510">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4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④</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成本指标：</w:t>
      </w:r>
    </w:p>
    <w:p w14:paraId="00F9702B">
      <w:pPr>
        <w:shd w:val="clear" w:color="auto" w:fill="auto"/>
        <w:spacing w:line="600" w:lineRule="exact"/>
        <w:ind w:firstLine="640" w:firstLineChars="200"/>
        <w:outlineLvl w:val="0"/>
        <w:rPr>
          <w:rFonts w:hint="eastAsia"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指标1：室外硬化成本 ，指标值：&lt;=75万元 ，实际完成值：</w:t>
      </w:r>
      <w:r>
        <w:rPr>
          <w:rFonts w:hint="eastAsia" w:eastAsia="仿宋_GB2312" w:cs="Times New Roman"/>
          <w:sz w:val="32"/>
          <w:szCs w:val="32"/>
          <w:highlight w:val="none"/>
          <w:lang w:val="en-US" w:eastAsia="zh-CN"/>
        </w:rPr>
        <w:t>64.65万元</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86.2</w:t>
      </w:r>
      <w:r>
        <w:rPr>
          <w:rFonts w:hint="default" w:ascii="Times New Roman" w:hAnsi="Times New Roman" w:eastAsia="仿宋_GB2312" w:cs="Times New Roman"/>
          <w:sz w:val="32"/>
          <w:szCs w:val="32"/>
          <w:highlight w:val="none"/>
        </w:rPr>
        <w:t xml:space="preserve"> %</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eastAsia="zh-CN"/>
        </w:rPr>
        <w:t>偏差原因：</w:t>
      </w:r>
      <w:r>
        <w:rPr>
          <w:rFonts w:hint="default" w:ascii="Times New Roman" w:hAnsi="Times New Roman" w:eastAsia="仿宋_GB2312" w:cs="Times New Roman"/>
          <w:sz w:val="32"/>
          <w:szCs w:val="32"/>
          <w:highlight w:val="none"/>
        </w:rPr>
        <w:t>中央财政支持学前教育发展项目2024年结算审计中结算金额比预算金额小，导致2024年预</w:t>
      </w:r>
      <w:r>
        <w:rPr>
          <w:rFonts w:hint="eastAsia" w:eastAsia="仿宋_GB2312" w:cs="Times New Roman"/>
          <w:sz w:val="32"/>
          <w:szCs w:val="32"/>
          <w:highlight w:val="none"/>
          <w:lang w:eastAsia="zh-CN"/>
        </w:rPr>
        <w:t>算资金未完全使用完成；</w:t>
      </w:r>
      <w:r>
        <w:rPr>
          <w:rFonts w:hint="eastAsia" w:eastAsia="仿宋_GB2312" w:cs="Times New Roman"/>
          <w:sz w:val="32"/>
          <w:szCs w:val="32"/>
          <w:highlight w:val="none"/>
          <w:lang w:val="en-US" w:eastAsia="zh-CN"/>
        </w:rPr>
        <w:t>改进措施：以后充分考虑各方面因素，合理设置指标值</w:t>
      </w:r>
      <w:r>
        <w:rPr>
          <w:rFonts w:hint="default" w:ascii="Times New Roman" w:hAnsi="Times New Roman" w:eastAsia="仿宋_GB2312" w:cs="Times New Roman"/>
          <w:sz w:val="32"/>
          <w:szCs w:val="32"/>
          <w:highlight w:val="none"/>
          <w:lang w:eastAsia="zh-CN"/>
        </w:rPr>
        <w:t>。</w:t>
      </w:r>
    </w:p>
    <w:p w14:paraId="53FEB97A">
      <w:pPr>
        <w:shd w:val="clear" w:color="auto" w:fill="auto"/>
        <w:spacing w:line="600" w:lineRule="exact"/>
        <w:ind w:firstLine="640" w:firstLineChars="200"/>
        <w:outlineLvl w:val="0"/>
        <w:rPr>
          <w:rFonts w:hint="eastAsia"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：室外塑胶运动场建设成本 ，指标值：&lt;=90万元万元 ，实际完成值：</w:t>
      </w:r>
      <w:r>
        <w:rPr>
          <w:rFonts w:hint="eastAsia" w:eastAsia="仿宋_GB2312" w:cs="Times New Roman"/>
          <w:sz w:val="32"/>
          <w:szCs w:val="32"/>
          <w:highlight w:val="none"/>
          <w:lang w:val="en-US" w:eastAsia="zh-CN"/>
        </w:rPr>
        <w:t>90万元</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 xml:space="preserve"> %</w:t>
      </w:r>
      <w:r>
        <w:rPr>
          <w:rFonts w:hint="eastAsia" w:eastAsia="仿宋_GB2312" w:cs="Times New Roman"/>
          <w:sz w:val="32"/>
          <w:szCs w:val="32"/>
          <w:highlight w:val="none"/>
          <w:lang w:eastAsia="zh-CN"/>
        </w:rPr>
        <w:t>。</w:t>
      </w:r>
    </w:p>
    <w:p w14:paraId="6A494DEC">
      <w:pPr>
        <w:shd w:val="clear" w:color="auto" w:fill="auto"/>
        <w:spacing w:line="600" w:lineRule="exact"/>
        <w:ind w:firstLine="640" w:firstLineChars="200"/>
        <w:outlineLvl w:val="0"/>
        <w:rPr>
          <w:rFonts w:hint="eastAsia"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rPr>
        <w:t>：收纳柜购置成本 ，指标值：&lt;=20万元 ，实际完成值：</w:t>
      </w:r>
      <w:r>
        <w:rPr>
          <w:rFonts w:hint="eastAsia" w:eastAsia="仿宋_GB2312" w:cs="Times New Roman"/>
          <w:sz w:val="32"/>
          <w:szCs w:val="32"/>
          <w:highlight w:val="none"/>
          <w:lang w:val="en-US" w:eastAsia="zh-CN"/>
        </w:rPr>
        <w:t>20万元</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 xml:space="preserve"> %</w:t>
      </w:r>
      <w:r>
        <w:rPr>
          <w:rFonts w:hint="eastAsia" w:eastAsia="仿宋_GB2312" w:cs="Times New Roman"/>
          <w:sz w:val="32"/>
          <w:szCs w:val="32"/>
          <w:highlight w:val="none"/>
          <w:lang w:eastAsia="zh-CN"/>
        </w:rPr>
        <w:t>。</w:t>
      </w:r>
    </w:p>
    <w:p w14:paraId="77F64534">
      <w:pPr>
        <w:shd w:val="clear" w:color="auto" w:fill="auto"/>
        <w:spacing w:line="600" w:lineRule="exact"/>
        <w:ind w:firstLine="640" w:firstLineChars="200"/>
        <w:outlineLvl w:val="0"/>
        <w:rPr>
          <w:rFonts w:hint="eastAsia"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rPr>
        <w:t>：幼儿床购置成本 ，指标值：&lt;=20万元万元 ，实际完成值：</w:t>
      </w:r>
      <w:r>
        <w:rPr>
          <w:rFonts w:hint="eastAsia" w:eastAsia="仿宋_GB2312" w:cs="Times New Roman"/>
          <w:sz w:val="32"/>
          <w:szCs w:val="32"/>
          <w:highlight w:val="none"/>
          <w:lang w:val="en-US" w:eastAsia="zh-CN"/>
        </w:rPr>
        <w:t>20万元</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 xml:space="preserve"> %</w:t>
      </w:r>
      <w:r>
        <w:rPr>
          <w:rFonts w:hint="eastAsia" w:eastAsia="仿宋_GB2312" w:cs="Times New Roman"/>
          <w:sz w:val="32"/>
          <w:szCs w:val="32"/>
          <w:highlight w:val="none"/>
          <w:lang w:eastAsia="zh-CN"/>
        </w:rPr>
        <w:t>。</w:t>
      </w:r>
    </w:p>
    <w:p w14:paraId="7F8AB538">
      <w:pPr>
        <w:shd w:val="clear" w:color="auto" w:fill="auto"/>
        <w:spacing w:line="600" w:lineRule="exact"/>
        <w:ind w:firstLine="640" w:firstLineChars="200"/>
        <w:outlineLvl w:val="0"/>
        <w:rPr>
          <w:rFonts w:hint="eastAsia"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5</w:t>
      </w:r>
      <w:r>
        <w:rPr>
          <w:rFonts w:hint="default" w:ascii="Times New Roman" w:hAnsi="Times New Roman" w:eastAsia="仿宋_GB2312" w:cs="Times New Roman"/>
          <w:sz w:val="32"/>
          <w:szCs w:val="32"/>
          <w:highlight w:val="none"/>
        </w:rPr>
        <w:t>：幼儿桌购置成本 ，指标值：&lt;=14.94万元 ，实际完成值：</w:t>
      </w:r>
      <w:r>
        <w:rPr>
          <w:rFonts w:hint="eastAsia" w:eastAsia="仿宋_GB2312" w:cs="Times New Roman"/>
          <w:sz w:val="32"/>
          <w:szCs w:val="32"/>
          <w:highlight w:val="none"/>
          <w:lang w:val="en-US" w:eastAsia="zh-CN"/>
        </w:rPr>
        <w:t>14.94万元</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 xml:space="preserve"> %</w:t>
      </w:r>
      <w:r>
        <w:rPr>
          <w:rFonts w:hint="eastAsia" w:eastAsia="仿宋_GB2312" w:cs="Times New Roman"/>
          <w:sz w:val="32"/>
          <w:szCs w:val="32"/>
          <w:highlight w:val="none"/>
          <w:lang w:eastAsia="zh-CN"/>
        </w:rPr>
        <w:t>。</w:t>
      </w:r>
    </w:p>
    <w:p w14:paraId="29A3C3E3">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6</w:t>
      </w:r>
      <w:r>
        <w:rPr>
          <w:rFonts w:hint="default" w:ascii="Times New Roman" w:hAnsi="Times New Roman" w:eastAsia="仿宋_GB2312" w:cs="Times New Roman"/>
          <w:sz w:val="32"/>
          <w:szCs w:val="32"/>
          <w:highlight w:val="none"/>
        </w:rPr>
        <w:t>：教玩具购置成本 ，指标值：&lt;=82.52万元，实际完成值：</w:t>
      </w:r>
      <w:r>
        <w:rPr>
          <w:rFonts w:hint="eastAsia" w:eastAsia="仿宋_GB2312" w:cs="Times New Roman"/>
          <w:sz w:val="32"/>
          <w:szCs w:val="32"/>
          <w:highlight w:val="none"/>
          <w:lang w:val="en-US" w:eastAsia="zh-CN"/>
        </w:rPr>
        <w:t>82.52万元</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 xml:space="preserve"> %</w:t>
      </w:r>
      <w:r>
        <w:rPr>
          <w:rFonts w:hint="eastAsia" w:eastAsia="仿宋_GB2312" w:cs="Times New Roman"/>
          <w:sz w:val="32"/>
          <w:szCs w:val="32"/>
          <w:highlight w:val="none"/>
          <w:lang w:eastAsia="zh-CN"/>
        </w:rPr>
        <w:t>。</w:t>
      </w:r>
    </w:p>
    <w:p w14:paraId="2D28B3FA">
      <w:pPr>
        <w:pStyle w:val="10"/>
        <w:numPr>
          <w:ilvl w:val="0"/>
          <w:numId w:val="4"/>
        </w:numPr>
        <w:spacing w:line="560" w:lineRule="exact"/>
        <w:ind w:firstLine="643"/>
        <w:rPr>
          <w:rFonts w:hint="default" w:ascii="Times New Roman" w:hAnsi="Times New Roman" w:eastAsia="楷体_GB2312" w:cs="Times New Roman"/>
          <w:b/>
          <w:bCs/>
          <w:sz w:val="32"/>
          <w:szCs w:val="32"/>
          <w:lang w:val="en-US" w:eastAsia="zh-CN"/>
        </w:rPr>
      </w:pPr>
      <w:r>
        <w:rPr>
          <w:rFonts w:hint="default" w:ascii="Times New Roman" w:hAnsi="Times New Roman" w:eastAsia="楷体_GB2312" w:cs="Times New Roman"/>
          <w:b/>
          <w:bCs/>
          <w:sz w:val="32"/>
          <w:szCs w:val="32"/>
          <w:lang w:val="en-US" w:eastAsia="zh-CN"/>
        </w:rPr>
        <w:t>项目效益情况</w:t>
      </w:r>
    </w:p>
    <w:p w14:paraId="2E7F5752">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lang w:val="en-US" w:eastAsia="zh-CN"/>
        </w:rPr>
        <w:t>项目效益类指标包括项目</w:t>
      </w:r>
      <w:r>
        <w:rPr>
          <w:rFonts w:hint="default" w:ascii="Times New Roman" w:hAnsi="Times New Roman" w:eastAsia="仿宋_GB2312" w:cs="Times New Roman"/>
          <w:sz w:val="32"/>
          <w:szCs w:val="32"/>
          <w:highlight w:val="none"/>
          <w:lang w:val="en-US" w:eastAsia="zh-CN"/>
        </w:rPr>
        <w:t>实施效益和满意度两方面的内容，由</w:t>
      </w: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lang w:val="en-US" w:eastAsia="zh-CN"/>
        </w:rPr>
        <w:t>个三级指标构成，权重分为20分，实际得分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%。具体效益指标及满意度指标完成情况如下：</w:t>
      </w:r>
    </w:p>
    <w:p w14:paraId="0F8749AD">
      <w:pPr>
        <w:numPr>
          <w:ilvl w:val="0"/>
          <w:numId w:val="5"/>
        </w:num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实施效益</w:t>
      </w:r>
    </w:p>
    <w:p w14:paraId="34340F74">
      <w:pPr>
        <w:numPr>
          <w:ilvl w:val="0"/>
          <w:numId w:val="0"/>
        </w:num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社会效益指标：</w:t>
      </w:r>
    </w:p>
    <w:p w14:paraId="069D56B7">
      <w:pPr>
        <w:numPr>
          <w:ilvl w:val="0"/>
          <w:numId w:val="0"/>
        </w:numPr>
        <w:shd w:val="clear" w:color="auto" w:fill="auto"/>
        <w:spacing w:line="600" w:lineRule="exact"/>
        <w:ind w:firstLine="640" w:firstLineChars="200"/>
        <w:outlineLvl w:val="0"/>
        <w:rPr>
          <w:rFonts w:hint="eastAsia"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指标1：有效改善办学条件，指标值：有效改善，实际完成值</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有效改善，指标完成率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 xml:space="preserve"> %</w:t>
      </w:r>
      <w:r>
        <w:rPr>
          <w:rFonts w:hint="eastAsia" w:eastAsia="仿宋_GB2312" w:cs="Times New Roman"/>
          <w:sz w:val="32"/>
          <w:szCs w:val="32"/>
          <w:highlight w:val="none"/>
          <w:lang w:eastAsia="zh-CN"/>
        </w:rPr>
        <w:t>。</w:t>
      </w:r>
    </w:p>
    <w:p w14:paraId="239D4666">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2.满意度</w:t>
      </w:r>
    </w:p>
    <w:p w14:paraId="729D8CD2">
      <w:pPr>
        <w:shd w:val="clear" w:color="auto" w:fill="auto"/>
        <w:spacing w:line="600" w:lineRule="exact"/>
        <w:ind w:firstLine="640" w:firstLineChars="200"/>
        <w:outlineLvl w:val="0"/>
        <w:rPr>
          <w:rFonts w:hint="eastAsia"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指标1：学生家长满意度 ，指标值：&gt;=95%，实际完成值</w:t>
      </w: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98.63</w:t>
      </w:r>
      <w:r>
        <w:rPr>
          <w:rFonts w:hint="default" w:ascii="Times New Roman" w:hAnsi="Times New Roman" w:eastAsia="仿宋_GB2312" w:cs="Times New Roman"/>
          <w:sz w:val="32"/>
          <w:szCs w:val="32"/>
          <w:highlight w:val="none"/>
        </w:rPr>
        <w:t>%，指标完成率</w:t>
      </w:r>
      <w:r>
        <w:rPr>
          <w:rFonts w:hint="eastAsia" w:ascii="Times New Roman" w:hAnsi="Times New Roman" w:eastAsia="仿宋_GB2312" w:cs="Times New Roman"/>
          <w:sz w:val="32"/>
          <w:szCs w:val="32"/>
          <w:highlight w:val="none"/>
          <w:lang w:val="en-US" w:eastAsia="zh-CN"/>
        </w:rPr>
        <w:t>103.8</w:t>
      </w:r>
      <w:r>
        <w:rPr>
          <w:rFonts w:hint="default" w:ascii="Times New Roman" w:hAnsi="Times New Roman" w:eastAsia="仿宋_GB2312" w:cs="Times New Roman"/>
          <w:sz w:val="32"/>
          <w:szCs w:val="32"/>
          <w:highlight w:val="none"/>
        </w:rPr>
        <w:t>%</w:t>
      </w:r>
      <w:r>
        <w:rPr>
          <w:rFonts w:hint="eastAsia" w:ascii="Times New Roman" w:hAnsi="Times New Roman" w:eastAsia="仿宋_GB2312" w:cs="Times New Roman"/>
          <w:sz w:val="32"/>
          <w:szCs w:val="32"/>
          <w:highlight w:val="none"/>
          <w:lang w:eastAsia="zh-CN"/>
        </w:rPr>
        <w:t>，20%以内属于正常偏差，可视为无偏差。</w:t>
      </w:r>
    </w:p>
    <w:p w14:paraId="74347F3C">
      <w:pPr>
        <w:shd w:val="clear" w:color="auto" w:fill="auto"/>
        <w:spacing w:line="600" w:lineRule="exact"/>
        <w:ind w:firstLine="640" w:firstLineChars="200"/>
        <w:outlineLvl w:val="0"/>
        <w:rPr>
          <w:rFonts w:hint="eastAsia" w:ascii="Times New Roman" w:hAnsi="Times New Roman" w:eastAsia="仿宋_GB2312" w:cs="Times New Roman"/>
          <w:color w:val="FF0000"/>
          <w:sz w:val="32"/>
          <w:szCs w:val="32"/>
          <w:highlight w:val="none"/>
          <w:lang w:eastAsia="zh-CN"/>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：教师满意度 ，指标值：&gt;=95%，实际完成值</w:t>
      </w: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98.63</w:t>
      </w:r>
      <w:r>
        <w:rPr>
          <w:rFonts w:hint="default" w:ascii="Times New Roman" w:hAnsi="Times New Roman" w:eastAsia="仿宋_GB2312" w:cs="Times New Roman"/>
          <w:sz w:val="32"/>
          <w:szCs w:val="32"/>
          <w:highlight w:val="none"/>
        </w:rPr>
        <w:t>%，指标完成率</w:t>
      </w:r>
      <w:r>
        <w:rPr>
          <w:rFonts w:hint="eastAsia" w:ascii="Times New Roman" w:hAnsi="Times New Roman" w:eastAsia="仿宋_GB2312" w:cs="Times New Roman"/>
          <w:sz w:val="32"/>
          <w:szCs w:val="32"/>
          <w:highlight w:val="none"/>
          <w:lang w:val="en-US" w:eastAsia="zh-CN"/>
        </w:rPr>
        <w:t>103.8</w:t>
      </w:r>
      <w:r>
        <w:rPr>
          <w:rFonts w:hint="default" w:ascii="Times New Roman" w:hAnsi="Times New Roman" w:eastAsia="仿宋_GB2312" w:cs="Times New Roman"/>
          <w:sz w:val="32"/>
          <w:szCs w:val="32"/>
          <w:highlight w:val="none"/>
        </w:rPr>
        <w:t>%</w:t>
      </w:r>
      <w:r>
        <w:rPr>
          <w:rFonts w:hint="eastAsia" w:ascii="Times New Roman" w:hAnsi="Times New Roman" w:eastAsia="仿宋_GB2312" w:cs="Times New Roman"/>
          <w:sz w:val="32"/>
          <w:szCs w:val="32"/>
          <w:highlight w:val="none"/>
          <w:lang w:eastAsia="zh-CN"/>
        </w:rPr>
        <w:t>，20%以内属于正常偏差，可视为无偏差。</w:t>
      </w:r>
    </w:p>
    <w:p w14:paraId="21ECE686">
      <w:pPr>
        <w:spacing w:line="560" w:lineRule="exact"/>
        <w:ind w:firstLine="643" w:firstLineChars="200"/>
        <w:rPr>
          <w:rFonts w:hint="default" w:ascii="Times New Roman" w:hAnsi="Times New Roman" w:eastAsia="楷体_GB2312" w:cs="Times New Roman"/>
          <w:b/>
          <w:bCs/>
          <w:sz w:val="32"/>
          <w:szCs w:val="32"/>
          <w:lang w:val="en-US"/>
        </w:rPr>
      </w:pPr>
      <w:r>
        <w:rPr>
          <w:rFonts w:hint="default" w:ascii="Times New Roman" w:hAnsi="Times New Roman" w:eastAsia="楷体_GB2312" w:cs="Times New Roman"/>
          <w:b/>
          <w:bCs/>
          <w:sz w:val="32"/>
          <w:szCs w:val="32"/>
          <w:lang w:val="en-US" w:eastAsia="zh-CN"/>
        </w:rPr>
        <w:t>（五）</w:t>
      </w:r>
      <w:r>
        <w:rPr>
          <w:rFonts w:hint="default" w:ascii="Times New Roman" w:hAnsi="Times New Roman" w:eastAsia="楷体_GB2312" w:cs="Times New Roman"/>
          <w:b/>
          <w:bCs/>
          <w:sz w:val="32"/>
          <w:szCs w:val="32"/>
          <w:lang w:val="en-US"/>
        </w:rPr>
        <w:t>预算执行进度与绩效指标总体完成率偏差</w:t>
      </w:r>
    </w:p>
    <w:p w14:paraId="6C257488">
      <w:pPr>
        <w:pStyle w:val="20"/>
        <w:spacing w:line="560" w:lineRule="exact"/>
        <w:ind w:firstLine="640"/>
        <w:rPr>
          <w:rFonts w:hint="default" w:ascii="Times New Roman" w:hAnsi="Times New Roman" w:eastAsia="方正仿宋_GBK" w:cs="Times New Roman"/>
          <w:sz w:val="32"/>
          <w:szCs w:val="32"/>
          <w:highlight w:val="yellow"/>
        </w:rPr>
      </w:pPr>
      <w:r>
        <w:rPr>
          <w:rFonts w:hint="default" w:eastAsia="仿宋_GB2312" w:cs="Times New Roman"/>
          <w:sz w:val="32"/>
          <w:szCs w:val="32"/>
          <w:highlight w:val="none"/>
          <w:lang w:val="en-US" w:eastAsia="zh-CN"/>
        </w:rPr>
        <w:t>2024年中央财政支持学前教育发展项目项目年初预算</w:t>
      </w:r>
      <w:r>
        <w:rPr>
          <w:rFonts w:hint="eastAsia" w:eastAsia="仿宋_GB2312" w:cs="Times New Roman"/>
          <w:sz w:val="32"/>
          <w:szCs w:val="32"/>
          <w:highlight w:val="none"/>
          <w:lang w:val="en-US" w:eastAsia="zh-CN"/>
        </w:rPr>
        <w:t>302.46</w:t>
      </w:r>
      <w:r>
        <w:rPr>
          <w:rFonts w:hint="default" w:eastAsia="仿宋_GB2312" w:cs="Times New Roman"/>
          <w:sz w:val="32"/>
          <w:szCs w:val="32"/>
          <w:highlight w:val="none"/>
          <w:lang w:val="en-US" w:eastAsia="zh-CN"/>
        </w:rPr>
        <w:t>万元，全年预算</w:t>
      </w:r>
      <w:r>
        <w:rPr>
          <w:rFonts w:hint="eastAsia" w:eastAsia="仿宋_GB2312" w:cs="Times New Roman"/>
          <w:sz w:val="32"/>
          <w:szCs w:val="32"/>
          <w:highlight w:val="none"/>
          <w:lang w:val="en-US" w:eastAsia="zh-CN"/>
        </w:rPr>
        <w:t>302.46</w:t>
      </w:r>
      <w:r>
        <w:rPr>
          <w:rFonts w:hint="default" w:eastAsia="仿宋_GB2312" w:cs="Times New Roman"/>
          <w:sz w:val="32"/>
          <w:szCs w:val="32"/>
          <w:highlight w:val="none"/>
          <w:lang w:val="en-US" w:eastAsia="zh-CN"/>
        </w:rPr>
        <w:t>万元，实际支出</w:t>
      </w:r>
      <w:r>
        <w:rPr>
          <w:rFonts w:hint="eastAsia" w:eastAsia="仿宋_GB2312" w:cs="Times New Roman"/>
          <w:sz w:val="32"/>
          <w:szCs w:val="32"/>
          <w:highlight w:val="none"/>
          <w:lang w:val="en-US" w:eastAsia="zh-CN"/>
        </w:rPr>
        <w:t>292.11</w:t>
      </w:r>
      <w:r>
        <w:rPr>
          <w:rFonts w:hint="default" w:eastAsia="仿宋_GB2312" w:cs="Times New Roman"/>
          <w:sz w:val="32"/>
          <w:szCs w:val="32"/>
          <w:highlight w:val="none"/>
          <w:lang w:val="en-US" w:eastAsia="zh-CN"/>
        </w:rPr>
        <w:t>万元，预算执行率为</w:t>
      </w:r>
      <w:r>
        <w:rPr>
          <w:rFonts w:hint="eastAsia" w:eastAsia="仿宋_GB2312" w:cs="Times New Roman"/>
          <w:sz w:val="32"/>
          <w:szCs w:val="32"/>
          <w:highlight w:val="none"/>
          <w:lang w:val="en-US" w:eastAsia="zh-CN"/>
        </w:rPr>
        <w:t>96.58</w:t>
      </w:r>
      <w:r>
        <w:rPr>
          <w:rFonts w:hint="default" w:eastAsia="仿宋_GB2312" w:cs="Times New Roman"/>
          <w:sz w:val="32"/>
          <w:szCs w:val="32"/>
          <w:highlight w:val="none"/>
          <w:lang w:val="en-US" w:eastAsia="zh-CN"/>
        </w:rPr>
        <w:t>%，项目绩效指标总体完成率为</w:t>
      </w:r>
      <w:r>
        <w:rPr>
          <w:rFonts w:hint="eastAsia" w:eastAsia="仿宋_GB2312" w:cs="Times New Roman"/>
          <w:sz w:val="32"/>
          <w:szCs w:val="32"/>
          <w:highlight w:val="none"/>
          <w:lang w:val="en-US" w:eastAsia="zh-CN"/>
        </w:rPr>
        <w:t>99.65</w:t>
      </w:r>
      <w:r>
        <w:rPr>
          <w:rFonts w:hint="default" w:eastAsia="仿宋_GB2312" w:cs="Times New Roman"/>
          <w:sz w:val="32"/>
          <w:szCs w:val="32"/>
          <w:highlight w:val="none"/>
          <w:lang w:val="en-US" w:eastAsia="zh-CN"/>
        </w:rPr>
        <w:t>%，</w:t>
      </w:r>
      <w:r>
        <w:rPr>
          <w:rFonts w:hint="default" w:eastAsia="仿宋_GB2312" w:cs="Times New Roman"/>
          <w:sz w:val="32"/>
          <w:szCs w:val="32"/>
          <w:highlight w:val="none"/>
          <w:lang w:val="en-US"/>
        </w:rPr>
        <w:t>总体</w:t>
      </w:r>
      <w:r>
        <w:rPr>
          <w:rFonts w:hint="default" w:eastAsia="仿宋_GB2312" w:cs="Times New Roman"/>
          <w:sz w:val="32"/>
          <w:szCs w:val="32"/>
          <w:highlight w:val="none"/>
          <w:lang w:val="en-US" w:eastAsia="zh-CN"/>
        </w:rPr>
        <w:t>偏差率为</w:t>
      </w:r>
      <w:r>
        <w:rPr>
          <w:rFonts w:hint="eastAsia" w:eastAsia="仿宋_GB2312" w:cs="Times New Roman"/>
          <w:sz w:val="32"/>
          <w:szCs w:val="32"/>
          <w:highlight w:val="none"/>
          <w:lang w:val="en-US" w:eastAsia="zh-CN"/>
        </w:rPr>
        <w:t>0.35</w:t>
      </w:r>
      <w:r>
        <w:rPr>
          <w:rFonts w:hint="default" w:eastAsia="仿宋_GB2312" w:cs="Times New Roman"/>
          <w:sz w:val="32"/>
          <w:szCs w:val="32"/>
          <w:highlight w:val="none"/>
          <w:lang w:val="en-US" w:eastAsia="zh-CN"/>
        </w:rPr>
        <w:t>%</w:t>
      </w:r>
      <w:r>
        <w:rPr>
          <w:rFonts w:hint="eastAsia" w:eastAsia="仿宋_GB2312" w:cs="Times New Roman"/>
          <w:sz w:val="32"/>
          <w:szCs w:val="32"/>
          <w:highlight w:val="none"/>
          <w:lang w:val="en-US" w:eastAsia="zh-CN"/>
        </w:rPr>
        <w:t>，</w:t>
      </w:r>
      <w:r>
        <w:rPr>
          <w:rFonts w:hint="default" w:eastAsia="仿宋_GB2312" w:cs="Times New Roman"/>
          <w:sz w:val="32"/>
          <w:szCs w:val="32"/>
          <w:highlight w:val="none"/>
          <w:lang w:val="en-US"/>
        </w:rPr>
        <w:t>偏差</w:t>
      </w:r>
      <w:r>
        <w:rPr>
          <w:rFonts w:hint="default" w:eastAsia="仿宋_GB2312" w:cs="Times New Roman"/>
          <w:sz w:val="32"/>
          <w:szCs w:val="32"/>
          <w:highlight w:val="none"/>
          <w:lang w:val="en-US" w:eastAsia="zh-CN"/>
        </w:rPr>
        <w:t>原因</w:t>
      </w:r>
      <w:r>
        <w:rPr>
          <w:rFonts w:hint="eastAsia" w:eastAsia="仿宋_GB2312" w:cs="Times New Roman"/>
          <w:sz w:val="32"/>
          <w:szCs w:val="32"/>
          <w:highlight w:val="none"/>
          <w:lang w:val="en-US" w:eastAsia="zh-CN"/>
        </w:rPr>
        <w:t>2024年中央财政支持学前教育发展项目审计金额小于年初预算金额。</w:t>
      </w:r>
    </w:p>
    <w:p w14:paraId="35EE3C7D">
      <w:pPr>
        <w:spacing w:line="560" w:lineRule="exact"/>
        <w:ind w:firstLine="640" w:firstLineChars="200"/>
        <w:rPr>
          <w:rStyle w:val="19"/>
          <w:rFonts w:hint="default" w:ascii="Times New Roman" w:hAnsi="Times New Roman" w:cs="Times New Roman"/>
          <w:color w:val="auto"/>
        </w:rPr>
      </w:pPr>
      <w:r>
        <w:rPr>
          <w:rFonts w:hint="eastAsia" w:eastAsia="黑体" w:cs="Times New Roman"/>
          <w:sz w:val="32"/>
          <w:szCs w:val="32"/>
          <w:lang w:val="en-US" w:eastAsia="zh-CN"/>
        </w:rPr>
        <w:t>五、</w:t>
      </w:r>
      <w:r>
        <w:rPr>
          <w:rFonts w:hint="default" w:ascii="Times New Roman" w:hAnsi="Times New Roman" w:eastAsia="黑体" w:cs="Times New Roman"/>
          <w:sz w:val="32"/>
          <w:szCs w:val="32"/>
        </w:rPr>
        <w:t>主要经验及做法、存在的问题及原因分析</w:t>
      </w:r>
    </w:p>
    <w:p w14:paraId="041268F4">
      <w:pPr>
        <w:spacing w:line="560" w:lineRule="exact"/>
        <w:ind w:firstLine="627" w:firstLineChars="200"/>
        <w:rPr>
          <w:rFonts w:hint="default" w:ascii="Times New Roman" w:hAnsi="Times New Roman" w:eastAsia="仿宋_GB2312" w:cs="Times New Roman"/>
          <w:sz w:val="32"/>
          <w:szCs w:val="32"/>
        </w:rPr>
      </w:pPr>
      <w:r>
        <w:rPr>
          <w:rFonts w:hint="default" w:ascii="Times New Roman" w:hAnsi="Times New Roman" w:eastAsia="楷体" w:cs="Times New Roman"/>
          <w:b/>
          <w:spacing w:val="-4"/>
          <w:sz w:val="32"/>
          <w:szCs w:val="32"/>
        </w:rPr>
        <w:t>（一）主要经验及做法</w:t>
      </w:r>
    </w:p>
    <w:p w14:paraId="241E2022">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r>
        <w:rPr>
          <w:rFonts w:hint="default" w:ascii="Times New Roman" w:hAnsi="Times New Roman" w:eastAsia="仿宋_GB2312" w:cs="Times New Roman"/>
          <w:sz w:val="32"/>
          <w:szCs w:val="32"/>
          <w:lang w:eastAsia="zh-CN"/>
        </w:rPr>
        <w:t>准化需求导向：前期调研针对理、化、生学科特点设计差异化配置方案。例如化学实验室配备通风橱、洗眼器装置等安全设备，数字化探究实验室部署传感器数据采集系统，实现传统实验与现代技术深度融合。标准化采购流程：建立 "技术参数论证-厂家实地考察 -专家评审" 三级筛选机制，确保实验设备符合当前最佳需求</w:t>
      </w:r>
      <w:r>
        <w:rPr>
          <w:rFonts w:hint="eastAsia" w:eastAsia="仿宋_GB2312" w:cs="Times New Roman"/>
          <w:sz w:val="32"/>
          <w:szCs w:val="32"/>
          <w:lang w:eastAsia="zh-CN"/>
        </w:rPr>
        <w:t>。</w:t>
      </w:r>
    </w:p>
    <w:p w14:paraId="17A8E715">
      <w:pPr>
        <w:pStyle w:val="9"/>
        <w:spacing w:before="0" w:after="0" w:line="560" w:lineRule="exact"/>
        <w:ind w:firstLine="640" w:firstLineChars="200"/>
        <w:jc w:val="left"/>
        <w:rPr>
          <w:rFonts w:hint="default" w:ascii="Times New Roman" w:hAnsi="Times New Roman" w:eastAsia="仿宋_GB2312" w:cs="Times New Roman"/>
          <w:b w:val="0"/>
          <w:bCs w:val="0"/>
          <w:kern w:val="2"/>
        </w:rPr>
      </w:pPr>
      <w:r>
        <w:rPr>
          <w:rFonts w:hint="default" w:ascii="Times New Roman" w:hAnsi="Times New Roman" w:eastAsia="仿宋_GB2312" w:cs="Times New Roman"/>
          <w:b w:val="0"/>
          <w:bCs w:val="0"/>
          <w:kern w:val="2"/>
        </w:rPr>
        <w:t>严格坚持先做事、后验收、再拨付的原则，</w:t>
      </w:r>
      <w:r>
        <w:rPr>
          <w:rFonts w:hint="eastAsia" w:ascii="Times New Roman" w:hAnsi="Times New Roman" w:eastAsia="仿宋_GB2312" w:cs="Times New Roman"/>
          <w:b w:val="0"/>
          <w:bCs w:val="0"/>
          <w:kern w:val="2"/>
          <w:lang w:eastAsia="zh-CN"/>
        </w:rPr>
        <w:t>杜绝</w:t>
      </w:r>
      <w:r>
        <w:rPr>
          <w:rFonts w:hint="default" w:ascii="Times New Roman" w:hAnsi="Times New Roman" w:eastAsia="仿宋_GB2312" w:cs="Times New Roman"/>
          <w:b w:val="0"/>
          <w:bCs w:val="0"/>
          <w:kern w:val="2"/>
        </w:rPr>
        <w:t>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14:paraId="0CCCCDE4">
      <w:pPr>
        <w:rPr>
          <w:rFonts w:hint="default"/>
        </w:rPr>
      </w:pPr>
      <w:r>
        <w:rPr>
          <w:rFonts w:hint="default" w:ascii="Times New Roman" w:hAnsi="Times New Roman" w:eastAsia="仿宋_GB2312" w:cs="Times New Roman"/>
          <w:sz w:val="32"/>
          <w:szCs w:val="32"/>
          <w:lang w:eastAsia="zh-CN"/>
        </w:rPr>
        <w:t xml:space="preserve"> </w:t>
      </w:r>
    </w:p>
    <w:p w14:paraId="4B9ADC8F">
      <w:pPr>
        <w:keepNext/>
        <w:keepLines/>
        <w:numPr>
          <w:ilvl w:val="0"/>
          <w:numId w:val="6"/>
        </w:num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存在的问题及原因分析</w:t>
      </w:r>
    </w:p>
    <w:p w14:paraId="027F79E0">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相关绩效管理方面专业知识的系统性学习有待加强。各项指标的设置要进一步优化、完善，主要在细化、量化上改进。在绩效自评过程中，由干部分人员缺乏相关绩效管理专业知识，自评价工作还存在自我审定的局限性，影响评价质量。</w:t>
      </w:r>
    </w:p>
    <w:p w14:paraId="27A115D2">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2.因轮岗、调动</w:t>
      </w:r>
      <w:r>
        <w:rPr>
          <w:rFonts w:hint="eastAsia" w:ascii="Times New Roman" w:hAnsi="Times New Roman" w:eastAsia="仿宋_GB2312" w:cs="Times New Roman"/>
          <w:sz w:val="32"/>
          <w:szCs w:val="32"/>
          <w:highlight w:val="none"/>
          <w:lang w:val="en-US" w:eastAsia="zh-CN"/>
        </w:rPr>
        <w:t>等</w:t>
      </w:r>
      <w:r>
        <w:rPr>
          <w:rFonts w:hint="default" w:ascii="Times New Roman" w:hAnsi="Times New Roman" w:eastAsia="仿宋_GB2312" w:cs="Times New Roman"/>
          <w:sz w:val="32"/>
          <w:szCs w:val="32"/>
          <w:highlight w:val="none"/>
          <w:lang w:val="en-US" w:eastAsia="zh-CN"/>
        </w:rPr>
        <w:t>因素使我单位绩效工作人员流动频繁，</w:t>
      </w:r>
      <w:r>
        <w:rPr>
          <w:rFonts w:hint="eastAsia" w:ascii="Times New Roman" w:hAnsi="Times New Roman" w:eastAsia="仿宋_GB2312" w:cs="Times New Roman"/>
          <w:sz w:val="32"/>
          <w:szCs w:val="32"/>
          <w:highlight w:val="none"/>
          <w:lang w:val="en-US" w:eastAsia="zh-CN"/>
        </w:rPr>
        <w:t>造成</w:t>
      </w:r>
      <w:r>
        <w:rPr>
          <w:rFonts w:hint="default" w:ascii="Times New Roman" w:hAnsi="Times New Roman" w:eastAsia="仿宋_GB2312" w:cs="Times New Roman"/>
          <w:sz w:val="32"/>
          <w:szCs w:val="32"/>
          <w:highlight w:val="none"/>
          <w:lang w:val="en-US" w:eastAsia="zh-CN"/>
        </w:rPr>
        <w:t>工作衔接不到位的情况。</w:t>
      </w:r>
    </w:p>
    <w:p w14:paraId="6A443A61">
      <w:pPr>
        <w:spacing w:line="560" w:lineRule="exact"/>
        <w:ind w:firstLine="640" w:firstLineChars="200"/>
        <w:rPr>
          <w:rFonts w:hint="default" w:ascii="Times New Roman" w:hAnsi="Times New Roman" w:eastAsia="黑体" w:cs="Times New Roman"/>
          <w:sz w:val="32"/>
          <w:szCs w:val="32"/>
        </w:rPr>
      </w:pPr>
      <w:r>
        <w:rPr>
          <w:rFonts w:hint="eastAsia" w:eastAsia="黑体" w:cs="Times New Roman"/>
          <w:sz w:val="32"/>
          <w:szCs w:val="32"/>
          <w:lang w:val="en-US" w:eastAsia="zh-CN"/>
        </w:rPr>
        <w:t>六、</w:t>
      </w:r>
      <w:r>
        <w:rPr>
          <w:rFonts w:hint="default" w:ascii="Times New Roman" w:hAnsi="Times New Roman" w:eastAsia="黑体" w:cs="Times New Roman"/>
          <w:sz w:val="32"/>
          <w:szCs w:val="32"/>
        </w:rPr>
        <w:t>有关建议</w:t>
      </w:r>
    </w:p>
    <w:p w14:paraId="31ABA0FF">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1.多进行有关绩效管理工作方面的</w:t>
      </w:r>
      <w:r>
        <w:rPr>
          <w:rFonts w:hint="eastAsia" w:eastAsia="仿宋_GB2312" w:cs="Times New Roman"/>
          <w:sz w:val="32"/>
          <w:szCs w:val="32"/>
          <w:highlight w:val="none"/>
          <w:lang w:val="en-US" w:eastAsia="zh-CN"/>
        </w:rPr>
        <w:t>视频学习</w:t>
      </w:r>
      <w:r>
        <w:rPr>
          <w:rFonts w:hint="default" w:ascii="Times New Roman" w:hAnsi="Times New Roman" w:eastAsia="仿宋_GB2312" w:cs="Times New Roman"/>
          <w:sz w:val="32"/>
          <w:szCs w:val="32"/>
          <w:highlight w:val="none"/>
          <w:lang w:val="en-US" w:eastAsia="zh-CN"/>
        </w:rPr>
        <w:t>。</w:t>
      </w:r>
      <w:r>
        <w:rPr>
          <w:rFonts w:hint="eastAsia" w:eastAsia="仿宋_GB2312" w:cs="Times New Roman"/>
          <w:sz w:val="32"/>
          <w:szCs w:val="32"/>
          <w:highlight w:val="none"/>
          <w:lang w:val="en-US" w:eastAsia="zh-CN"/>
        </w:rPr>
        <w:t>积极观看绩效管理工作的视频学习以及多向第三方请教</w:t>
      </w:r>
      <w:r>
        <w:rPr>
          <w:rFonts w:hint="default" w:ascii="Times New Roman" w:hAnsi="Times New Roman" w:eastAsia="仿宋_GB2312" w:cs="Times New Roman"/>
          <w:sz w:val="32"/>
          <w:szCs w:val="32"/>
          <w:highlight w:val="none"/>
          <w:lang w:val="en-US" w:eastAsia="zh-CN"/>
        </w:rPr>
        <w:t>，进一步夯实业务基础，提高我单位绩效人员水平。</w:t>
      </w:r>
    </w:p>
    <w:p w14:paraId="4591AEFA">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2.专门设定对绩效工作人员定职、定岗、定责等相关制度措施，进一步提升我单位绩效管理工作业务水平，扎实做好绩效管理工作。</w:t>
      </w:r>
    </w:p>
    <w:p w14:paraId="08B6B1E1">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p>
    <w:p w14:paraId="5341A405">
      <w:pPr>
        <w:shd w:val="clear" w:color="auto" w:fill="auto"/>
        <w:spacing w:line="600" w:lineRule="exact"/>
        <w:ind w:firstLine="640" w:firstLineChars="200"/>
        <w:outlineLvl w:val="0"/>
        <w:rPr>
          <w:rFonts w:hint="default" w:ascii="Times New Roman" w:hAnsi="Times New Roman" w:cs="Times New Roman"/>
          <w:sz w:val="22"/>
          <w:szCs w:val="28"/>
        </w:rPr>
      </w:pPr>
      <w:r>
        <w:rPr>
          <w:rFonts w:hint="default" w:ascii="Times New Roman" w:hAnsi="Times New Roman" w:eastAsia="仿宋_GB2312" w:cs="Times New Roman"/>
          <w:sz w:val="32"/>
          <w:szCs w:val="32"/>
          <w:highlight w:val="none"/>
          <w:lang w:val="en-US" w:eastAsia="zh-CN"/>
        </w:rPr>
        <w:t>4.进一步完善项目评价过程中有关数据和资料的收集、整理、审核及分析。项目启动时同步做好档案的归纳与整理，及时整理、收集、汇总，健全档案资料。项目后续管理有待进一步加强和跟踪</w:t>
      </w:r>
      <w:r>
        <w:rPr>
          <w:rFonts w:hint="default" w:ascii="Times New Roman" w:hAnsi="Times New Roman" w:eastAsia="仿宋_GB2312" w:cs="Times New Roman"/>
          <w:sz w:val="36"/>
          <w:szCs w:val="32"/>
        </w:rPr>
        <w:t>。</w:t>
      </w:r>
    </w:p>
    <w:p w14:paraId="7C28BD91">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14:paraId="671C98BD">
      <w:pPr>
        <w:spacing w:line="560" w:lineRule="exact"/>
        <w:ind w:firstLine="640" w:firstLineChars="200"/>
        <w:rPr>
          <w:rFonts w:hint="default" w:ascii="Times New Roman" w:hAnsi="Times New Roman" w:eastAsia="黑体" w:cs="Times New Roman"/>
          <w:sz w:val="32"/>
          <w:szCs w:val="32"/>
        </w:rPr>
      </w:pPr>
      <w:r>
        <w:rPr>
          <w:rFonts w:hint="eastAsia" w:eastAsia="黑体" w:cs="Times New Roman"/>
          <w:sz w:val="32"/>
          <w:szCs w:val="32"/>
          <w:lang w:val="en-US" w:eastAsia="zh-CN"/>
        </w:rPr>
        <w:t>七、</w:t>
      </w:r>
      <w:r>
        <w:rPr>
          <w:rFonts w:hint="default" w:ascii="Times New Roman" w:hAnsi="Times New Roman" w:eastAsia="黑体" w:cs="Times New Roman"/>
          <w:sz w:val="32"/>
          <w:szCs w:val="32"/>
        </w:rPr>
        <w:t>其他需要说</w:t>
      </w:r>
      <w:bookmarkStart w:id="0" w:name="page8"/>
      <w:bookmarkEnd w:id="0"/>
      <w:r>
        <w:rPr>
          <w:rFonts w:hint="default" w:ascii="Times New Roman" w:hAnsi="Times New Roman" w:eastAsia="黑体" w:cs="Times New Roman"/>
          <w:sz w:val="32"/>
          <w:szCs w:val="32"/>
        </w:rPr>
        <w:t>明的问题</w:t>
      </w:r>
    </w:p>
    <w:p w14:paraId="2BA062A8">
      <w:pPr>
        <w:pStyle w:val="11"/>
        <w:spacing w:after="0" w:line="560" w:lineRule="exact"/>
        <w:ind w:left="0" w:leftChars="0" w:firstLine="64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本项目无其他需说明的问题。</w:t>
      </w:r>
    </w:p>
    <w:p w14:paraId="15D2F87D">
      <w:pPr>
        <w:pStyle w:val="11"/>
        <w:spacing w:after="0" w:line="560" w:lineRule="exact"/>
        <w:ind w:left="0" w:leftChars="0" w:firstLine="0" w:firstLineChars="0"/>
        <w:rPr>
          <w:rFonts w:hint="eastAsia" w:ascii="Times New Roman" w:hAnsi="Times New Roman" w:eastAsia="仿宋_GB2312" w:cs="Times New Roman"/>
          <w:sz w:val="32"/>
          <w:szCs w:val="32"/>
          <w:lang w:eastAsia="zh-CN"/>
        </w:rPr>
      </w:pPr>
    </w:p>
    <w:p w14:paraId="2FFD00A3">
      <w:pPr>
        <w:pStyle w:val="11"/>
        <w:spacing w:after="0" w:line="560" w:lineRule="exact"/>
        <w:ind w:left="0" w:leftChars="0" w:firstLine="640"/>
        <w:rPr>
          <w:rFonts w:hint="default" w:ascii="Times New Roman" w:hAnsi="Times New Roman" w:eastAsia="仿宋_GB2312" w:cs="Times New Roman"/>
          <w:sz w:val="32"/>
          <w:szCs w:val="32"/>
        </w:rPr>
      </w:pPr>
    </w:p>
    <w:p w14:paraId="67D5C11D">
      <w:pPr>
        <w:keepNext w:val="0"/>
        <w:keepLines w:val="0"/>
        <w:pageBreakBefore w:val="0"/>
        <w:widowControl w:val="0"/>
        <w:kinsoku/>
        <w:wordWrap/>
        <w:overflowPunct/>
        <w:topLinePunct w:val="0"/>
        <w:autoSpaceDE/>
        <w:autoSpaceDN/>
        <w:bidi w:val="0"/>
        <w:adjustRightInd/>
        <w:snapToGrid/>
        <w:spacing w:line="240" w:lineRule="atLeast"/>
        <w:jc w:val="both"/>
        <w:textAlignment w:val="auto"/>
        <w:rPr>
          <w:rFonts w:hint="default" w:ascii="Times New Roman" w:hAnsi="Times New Roman" w:eastAsia="仿宋_GB2312" w:cs="Times New Roman"/>
          <w:b/>
          <w:bCs/>
          <w:i w:val="0"/>
          <w:iCs w:val="0"/>
          <w:color w:val="000000"/>
          <w:kern w:val="0"/>
          <w:sz w:val="22"/>
          <w:szCs w:val="22"/>
          <w:u w:val="none"/>
          <w:lang w:val="en-US" w:eastAsia="zh-CN"/>
        </w:rPr>
      </w:pPr>
      <w:bookmarkStart w:id="1" w:name="_GoBack"/>
      <w:bookmarkEnd w:id="1"/>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楷体_GB2312">
    <w:altName w:val="楷体"/>
    <w:panose1 w:val="02010609030101010101"/>
    <w:charset w:val="86"/>
    <w:family w:val="auto"/>
    <w:pitch w:val="default"/>
    <w:sig w:usb0="00000000" w:usb1="00000000" w:usb2="00000000" w:usb3="00000000" w:csb0="00040000" w:csb1="00000000"/>
  </w:font>
  <w:font w:name="方正仿宋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68962"/>
    </w:sdtPr>
    <w:sdtContent>
      <w:p w14:paraId="061F19FB">
        <w:pPr>
          <w:pStyle w:val="6"/>
          <w:jc w:val="center"/>
        </w:pPr>
        <w:r>
          <w:fldChar w:fldCharType="begin"/>
        </w:r>
        <w:r>
          <w:instrText xml:space="preserve">PAGE   \* MERGEFORMAT</w:instrText>
        </w:r>
        <w:r>
          <w:fldChar w:fldCharType="separate"/>
        </w:r>
        <w:r>
          <w:rPr>
            <w:lang w:val="zh-CN"/>
          </w:rPr>
          <w:t>13</w:t>
        </w:r>
        <w:r>
          <w:fldChar w:fldCharType="end"/>
        </w:r>
      </w:p>
    </w:sdtContent>
  </w:sdt>
  <w:p w14:paraId="064C9B61">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E306ED"/>
    <w:multiLevelType w:val="singleLevel"/>
    <w:tmpl w:val="B5E306ED"/>
    <w:lvl w:ilvl="0" w:tentative="0">
      <w:start w:val="1"/>
      <w:numFmt w:val="decimal"/>
      <w:lvlText w:val="%1."/>
      <w:lvlJc w:val="left"/>
      <w:pPr>
        <w:tabs>
          <w:tab w:val="left" w:pos="312"/>
        </w:tabs>
      </w:pPr>
    </w:lvl>
  </w:abstractNum>
  <w:abstractNum w:abstractNumId="1">
    <w:nsid w:val="BF205925"/>
    <w:multiLevelType w:val="singleLevel"/>
    <w:tmpl w:val="BF205925"/>
    <w:lvl w:ilvl="0" w:tentative="0">
      <w:start w:val="2"/>
      <w:numFmt w:val="chineseCounting"/>
      <w:suff w:val="nothing"/>
      <w:lvlText w:val="（%1）"/>
      <w:lvlJc w:val="left"/>
      <w:rPr>
        <w:rFonts w:hint="eastAsia"/>
      </w:rPr>
    </w:lvl>
  </w:abstractNum>
  <w:abstractNum w:abstractNumId="2">
    <w:nsid w:val="CF092B84"/>
    <w:multiLevelType w:val="singleLevel"/>
    <w:tmpl w:val="CF092B84"/>
    <w:lvl w:ilvl="0" w:tentative="0">
      <w:start w:val="3"/>
      <w:numFmt w:val="chineseCounting"/>
      <w:suff w:val="nothing"/>
      <w:lvlText w:val="（%1）"/>
      <w:lvlJc w:val="left"/>
      <w:rPr>
        <w:rFonts w:hint="eastAsia"/>
      </w:rPr>
    </w:lvl>
  </w:abstractNum>
  <w:abstractNum w:abstractNumId="3">
    <w:nsid w:val="0053208E"/>
    <w:multiLevelType w:val="singleLevel"/>
    <w:tmpl w:val="0053208E"/>
    <w:lvl w:ilvl="0" w:tentative="0">
      <w:start w:val="1"/>
      <w:numFmt w:val="decimal"/>
      <w:suff w:val="nothing"/>
      <w:lvlText w:val="（%1）"/>
      <w:lvlJc w:val="left"/>
    </w:lvl>
  </w:abstractNum>
  <w:abstractNum w:abstractNumId="4">
    <w:nsid w:val="03D62ECE"/>
    <w:multiLevelType w:val="singleLevel"/>
    <w:tmpl w:val="03D62ECE"/>
    <w:lvl w:ilvl="0" w:tentative="0">
      <w:start w:val="2"/>
      <w:numFmt w:val="chineseCounting"/>
      <w:suff w:val="nothing"/>
      <w:lvlText w:val="（%1）"/>
      <w:lvlJc w:val="left"/>
      <w:rPr>
        <w:rFonts w:hint="eastAsia"/>
      </w:rPr>
    </w:lvl>
  </w:abstractNum>
  <w:abstractNum w:abstractNumId="5">
    <w:nsid w:val="59ADCABA"/>
    <w:multiLevelType w:val="singleLevel"/>
    <w:tmpl w:val="59ADCABA"/>
    <w:lvl w:ilvl="0" w:tentative="0">
      <w:start w:val="3"/>
      <w:numFmt w:val="chineseCounting"/>
      <w:suff w:val="nothing"/>
      <w:lvlText w:val="%1、"/>
      <w:lvlJc w:val="left"/>
      <w:rPr>
        <w:rFonts w:hint="eastAsia"/>
      </w:rPr>
    </w:lvl>
  </w:abstractNum>
  <w:num w:numId="1">
    <w:abstractNumId w:val="3"/>
  </w:num>
  <w:num w:numId="2">
    <w:abstractNumId w:val="2"/>
  </w:num>
  <w:num w:numId="3">
    <w:abstractNumId w:val="5"/>
  </w:num>
  <w:num w:numId="4">
    <w:abstractNumId w:val="1"/>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NotTrackMove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RkY2RlOTAzMDVhOTgwYWVlNGQyMGNkMTJjMzM4MzMifQ=="/>
  </w:docVars>
  <w:rsids>
    <w:rsidRoot w:val="00000000"/>
    <w:rsid w:val="24A10BF5"/>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3">
    <w:name w:val="Body Text"/>
    <w:basedOn w:val="1"/>
    <w:qFormat/>
    <w:uiPriority w:val="0"/>
    <w:pPr>
      <w:spacing w:after="120"/>
    </w:pPr>
  </w:style>
  <w:style w:type="paragraph" w:styleId="4">
    <w:name w:val="Body Text Indent"/>
    <w:basedOn w:val="1"/>
    <w:qFormat/>
    <w:uiPriority w:val="0"/>
    <w:pPr>
      <w:spacing w:after="120"/>
      <w:ind w:left="420" w:leftChars="200"/>
    </w:pPr>
    <w:rPr>
      <w:rFonts w:ascii="Calibri" w:hAnsi="Calibri"/>
    </w:rPr>
  </w:style>
  <w:style w:type="paragraph" w:styleId="5">
    <w:name w:val="Balloon Text"/>
    <w:basedOn w:val="1"/>
    <w:link w:val="21"/>
    <w:qFormat/>
    <w:uiPriority w:val="0"/>
    <w:rPr>
      <w:sz w:val="18"/>
      <w:szCs w:val="18"/>
    </w:rPr>
  </w:style>
  <w:style w:type="paragraph" w:styleId="6">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7">
    <w:name w:val="header"/>
    <w:basedOn w:val="1"/>
    <w:link w:val="22"/>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spacing w:before="0" w:beforeAutospacing="1" w:after="0" w:afterAutospacing="1"/>
      <w:ind w:left="0" w:right="0"/>
      <w:jc w:val="left"/>
    </w:pPr>
    <w:rPr>
      <w:kern w:val="0"/>
      <w:sz w:val="24"/>
      <w:lang w:val="en-US" w:eastAsia="zh-CN"/>
    </w:rPr>
  </w:style>
  <w:style w:type="paragraph" w:styleId="9">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0">
    <w:name w:val="Body Text First Indent"/>
    <w:basedOn w:val="3"/>
    <w:qFormat/>
    <w:uiPriority w:val="0"/>
    <w:pPr>
      <w:spacing w:after="0"/>
      <w:ind w:firstLine="200" w:firstLineChars="200"/>
    </w:pPr>
  </w:style>
  <w:style w:type="paragraph" w:styleId="11">
    <w:name w:val="Body Text First Indent 2"/>
    <w:basedOn w:val="4"/>
    <w:qFormat/>
    <w:uiPriority w:val="0"/>
    <w:pPr>
      <w:ind w:firstLine="420" w:firstLineChars="200"/>
    </w:pPr>
  </w:style>
  <w:style w:type="table" w:styleId="13">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5">
    <w:name w:val="Strong"/>
    <w:basedOn w:val="14"/>
    <w:qFormat/>
    <w:uiPriority w:val="0"/>
    <w:rPr>
      <w:b/>
      <w:bCs/>
    </w:rPr>
  </w:style>
  <w:style w:type="paragraph" w:customStyle="1" w:styleId="16">
    <w:name w:val="Comment Text"/>
    <w:basedOn w:val="1"/>
    <w:link w:val="23"/>
    <w:qFormat/>
    <w:uiPriority w:val="0"/>
    <w:pPr>
      <w:jc w:val="left"/>
    </w:pPr>
  </w:style>
  <w:style w:type="paragraph" w:customStyle="1" w:styleId="17">
    <w:name w:val="Comment Subject"/>
    <w:basedOn w:val="16"/>
    <w:next w:val="16"/>
    <w:link w:val="24"/>
    <w:qFormat/>
    <w:uiPriority w:val="0"/>
    <w:rPr>
      <w:b/>
      <w:bCs/>
    </w:rPr>
  </w:style>
  <w:style w:type="character" w:customStyle="1" w:styleId="18">
    <w:name w:val="Comment Reference"/>
    <w:basedOn w:val="14"/>
    <w:qFormat/>
    <w:uiPriority w:val="0"/>
    <w:rPr>
      <w:sz w:val="21"/>
      <w:szCs w:val="21"/>
    </w:rPr>
  </w:style>
  <w:style w:type="character" w:customStyle="1" w:styleId="19">
    <w:name w:val="fontstyle01"/>
    <w:qFormat/>
    <w:uiPriority w:val="0"/>
    <w:rPr>
      <w:rFonts w:ascii="仿宋_GB2312" w:hAnsi="仿宋_GB2312" w:eastAsia="仿宋_GB2312" w:cs="仿宋_GB2312"/>
      <w:color w:val="000000"/>
      <w:sz w:val="32"/>
      <w:szCs w:val="32"/>
    </w:rPr>
  </w:style>
  <w:style w:type="paragraph" w:customStyle="1" w:styleId="20">
    <w:name w:val="闻政-正文段落文字"/>
    <w:basedOn w:val="1"/>
    <w:qFormat/>
    <w:uiPriority w:val="3"/>
    <w:pPr>
      <w:spacing w:line="500" w:lineRule="exact"/>
      <w:ind w:firstLine="200"/>
    </w:pPr>
    <w:rPr>
      <w:kern w:val="0"/>
      <w:szCs w:val="28"/>
    </w:rPr>
  </w:style>
  <w:style w:type="character" w:customStyle="1" w:styleId="21">
    <w:name w:val="批注框文本 字符"/>
    <w:basedOn w:val="14"/>
    <w:link w:val="5"/>
    <w:qFormat/>
    <w:uiPriority w:val="0"/>
    <w:rPr>
      <w:rFonts w:ascii="Times New Roman" w:hAnsi="Times New Roman" w:eastAsia="宋体" w:cs="Times New Roman"/>
      <w:kern w:val="2"/>
      <w:sz w:val="18"/>
      <w:szCs w:val="18"/>
    </w:rPr>
  </w:style>
  <w:style w:type="character" w:customStyle="1" w:styleId="22">
    <w:name w:val="页眉 字符"/>
    <w:basedOn w:val="14"/>
    <w:link w:val="7"/>
    <w:qFormat/>
    <w:uiPriority w:val="0"/>
    <w:rPr>
      <w:rFonts w:ascii="Times New Roman" w:hAnsi="Times New Roman" w:eastAsia="宋体" w:cs="Times New Roman"/>
      <w:kern w:val="2"/>
      <w:sz w:val="18"/>
      <w:szCs w:val="18"/>
    </w:rPr>
  </w:style>
  <w:style w:type="character" w:customStyle="1" w:styleId="23">
    <w:name w:val="批注文字 字符"/>
    <w:basedOn w:val="14"/>
    <w:link w:val="16"/>
    <w:qFormat/>
    <w:uiPriority w:val="0"/>
    <w:rPr>
      <w:rFonts w:ascii="Times New Roman" w:hAnsi="Times New Roman" w:eastAsia="宋体" w:cs="Times New Roman"/>
      <w:kern w:val="2"/>
      <w:sz w:val="21"/>
      <w:szCs w:val="24"/>
    </w:rPr>
  </w:style>
  <w:style w:type="character" w:customStyle="1" w:styleId="24">
    <w:name w:val="批注主题 字符"/>
    <w:basedOn w:val="23"/>
    <w:link w:val="17"/>
    <w:qFormat/>
    <w:uiPriority w:val="0"/>
    <w:rPr>
      <w:rFonts w:ascii="Times New Roman" w:hAnsi="Times New Roman" w:eastAsia="宋体" w:cs="Times New Roman"/>
      <w:b/>
      <w:bCs/>
      <w:kern w:val="2"/>
      <w:sz w:val="21"/>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7FC2F6888F6640F98B81BE9B2D04638D_13</vt:lpwstr>
  </property>
  <property fmtid="{D5CDD505-2E9C-101B-9397-08002B2CF9AE}" pid="4" name="KSOTemplateDocerSaveRecord">
    <vt:lpwstr>eyJoZGlkIjoiN2E3N2ExYzQ4Y2ZkM2M3YzkyYWJlNmM3ZmI1MTU5NzYiLCJ1c2VySWQiOiIxMTI0OTc0MjY4In0=</vt:lpwstr>
  </property>
</Properties>
</file>

<file path=customXml/itemProps1.xml><?xml version="1.0" encoding="utf-8"?>
<ds:datastoreItem xmlns:ds="http://schemas.openxmlformats.org/officeDocument/2006/customXml" ds:itemID="{d56c3547-ce1f-414f-abd7-6f0388dea65d}">
  <ds:schemaRefs/>
</ds:datastoreItem>
</file>

<file path=docProps/app.xml><?xml version="1.0" encoding="utf-8"?>
<Properties xmlns="http://schemas.openxmlformats.org/officeDocument/2006/extended-properties" xmlns:vt="http://schemas.openxmlformats.org/officeDocument/2006/docPropsVTypes">
  <Template>Normal</Template>
  <Pages>23</Pages>
  <Words>10963</Words>
  <Characters>11442</Characters>
  <Lines>58</Lines>
  <Paragraphs>16</Paragraphs>
  <TotalTime>30</TotalTime>
  <ScaleCrop>false</ScaleCrop>
  <LinksUpToDate>false</LinksUpToDate>
  <CharactersWithSpaces>11487</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2023-03-08T13:13:00Z</dcterms:created>
  <dc:creator>审核人</dc:creator>
  <cp:lastModifiedBy>忆</cp:lastModifiedBy>
  <dcterms:modified xsi:type="dcterms:W3CDTF">2025-11-07T07:51:01Z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7FC2F6888F6640F98B81BE9B2D04638D_13</vt:lpwstr>
  </property>
  <property fmtid="{D5CDD505-2E9C-101B-9397-08002B2CF9AE}" pid="4" name="KSOTemplateDocerSaveRecord">
    <vt:lpwstr>eyJoZGlkIjoiMzEwNjkzMWMxZWMzNzU0NmUyNzQ2NGY3YzlmZjBhZDUiLCJ1c2VySWQiOiI0OTMxMTE3MjUifQ==</vt:lpwstr>
  </property>
</Properties>
</file>