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F07E2D"/>
    <w:p w14:paraId="5DB86669">
      <w:pPr>
        <w:spacing w:line="540" w:lineRule="exact"/>
        <w:jc w:val="center"/>
        <w:rPr>
          <w:rFonts w:hint="default" w:ascii="Times New Roman" w:hAnsi="Times New Roman" w:eastAsia="华文中宋" w:cs="Times New Roman"/>
          <w:b/>
          <w:kern w:val="0"/>
          <w:sz w:val="52"/>
          <w:szCs w:val="52"/>
        </w:rPr>
      </w:pPr>
    </w:p>
    <w:p w14:paraId="57848CCF">
      <w:pPr>
        <w:spacing w:line="540" w:lineRule="exact"/>
        <w:rPr>
          <w:rFonts w:hint="default" w:ascii="Times New Roman" w:hAnsi="Times New Roman" w:eastAsia="华文中宋" w:cs="Times New Roman"/>
          <w:b/>
          <w:kern w:val="0"/>
          <w:sz w:val="52"/>
          <w:szCs w:val="52"/>
        </w:rPr>
      </w:pPr>
    </w:p>
    <w:p w14:paraId="4F91638D">
      <w:pPr>
        <w:spacing w:line="540" w:lineRule="exact"/>
        <w:jc w:val="center"/>
        <w:rPr>
          <w:rFonts w:hint="default" w:ascii="Times New Roman" w:hAnsi="Times New Roman" w:eastAsia="华文中宋" w:cs="Times New Roman"/>
          <w:b/>
          <w:kern w:val="0"/>
          <w:sz w:val="52"/>
          <w:szCs w:val="52"/>
        </w:rPr>
      </w:pPr>
    </w:p>
    <w:p w14:paraId="439AF4A2">
      <w:pPr>
        <w:spacing w:line="540" w:lineRule="exact"/>
        <w:jc w:val="center"/>
        <w:rPr>
          <w:rFonts w:hint="default" w:ascii="Times New Roman" w:hAnsi="Times New Roman" w:eastAsia="华文中宋" w:cs="Times New Roman"/>
          <w:b/>
          <w:kern w:val="0"/>
          <w:sz w:val="52"/>
          <w:szCs w:val="52"/>
        </w:rPr>
      </w:pPr>
    </w:p>
    <w:p w14:paraId="77C9ADB2">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2024年改善普通高中学校办学条件补助资金项目支出绩效评价报告</w:t>
      </w:r>
    </w:p>
    <w:p w14:paraId="23C88CDD">
      <w:pPr>
        <w:spacing w:line="540" w:lineRule="exact"/>
        <w:jc w:val="center"/>
        <w:rPr>
          <w:rFonts w:hint="default" w:ascii="Times New Roman" w:hAnsi="Times New Roman" w:eastAsia="华文中宋" w:cs="Times New Roman"/>
          <w:b/>
          <w:kern w:val="0"/>
          <w:sz w:val="52"/>
          <w:szCs w:val="52"/>
        </w:rPr>
      </w:pPr>
    </w:p>
    <w:p w14:paraId="1621324D">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045AC24B">
      <w:pPr>
        <w:spacing w:line="540" w:lineRule="exact"/>
        <w:jc w:val="center"/>
        <w:rPr>
          <w:rFonts w:hint="default" w:ascii="Times New Roman" w:hAnsi="Times New Roman" w:eastAsia="仿宋_GB2312" w:cs="Times New Roman"/>
          <w:kern w:val="0"/>
          <w:sz w:val="30"/>
          <w:szCs w:val="30"/>
        </w:rPr>
      </w:pPr>
    </w:p>
    <w:p w14:paraId="6A0A8B08">
      <w:pPr>
        <w:spacing w:line="540" w:lineRule="exact"/>
        <w:jc w:val="center"/>
        <w:rPr>
          <w:rFonts w:hint="default" w:ascii="Times New Roman" w:hAnsi="Times New Roman" w:eastAsia="仿宋_GB2312" w:cs="Times New Roman"/>
          <w:kern w:val="0"/>
          <w:sz w:val="30"/>
          <w:szCs w:val="30"/>
        </w:rPr>
      </w:pPr>
    </w:p>
    <w:p w14:paraId="417F1AA4">
      <w:pPr>
        <w:spacing w:line="540" w:lineRule="exact"/>
        <w:jc w:val="center"/>
        <w:rPr>
          <w:rFonts w:hint="default" w:ascii="Times New Roman" w:hAnsi="Times New Roman" w:eastAsia="仿宋_GB2312" w:cs="Times New Roman"/>
          <w:kern w:val="0"/>
          <w:sz w:val="30"/>
          <w:szCs w:val="30"/>
        </w:rPr>
      </w:pPr>
    </w:p>
    <w:p w14:paraId="35BEF713">
      <w:pPr>
        <w:pStyle w:val="9"/>
        <w:rPr>
          <w:rFonts w:hint="default" w:ascii="Times New Roman" w:hAnsi="Times New Roman" w:cs="Times New Roman"/>
        </w:rPr>
      </w:pPr>
    </w:p>
    <w:p w14:paraId="46FB83D2">
      <w:pPr>
        <w:spacing w:line="540" w:lineRule="exact"/>
        <w:jc w:val="center"/>
        <w:rPr>
          <w:rFonts w:hint="default" w:ascii="Times New Roman" w:hAnsi="Times New Roman" w:eastAsia="仿宋_GB2312" w:cs="Times New Roman"/>
          <w:kern w:val="0"/>
          <w:sz w:val="30"/>
          <w:szCs w:val="30"/>
        </w:rPr>
      </w:pPr>
    </w:p>
    <w:p w14:paraId="5216C4ED">
      <w:pPr>
        <w:spacing w:line="540" w:lineRule="exact"/>
        <w:rPr>
          <w:rFonts w:hint="default" w:ascii="Times New Roman" w:hAnsi="Times New Roman" w:eastAsia="仿宋_GB2312" w:cs="Times New Roman"/>
          <w:kern w:val="0"/>
          <w:sz w:val="30"/>
          <w:szCs w:val="30"/>
        </w:rPr>
      </w:pPr>
    </w:p>
    <w:p w14:paraId="4B9754F5">
      <w:pPr>
        <w:spacing w:line="700" w:lineRule="exact"/>
        <w:ind w:left="3236" w:leftChars="684" w:hanging="1800" w:hangingChars="5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drawing>
          <wp:anchor distT="0" distB="0" distL="114300" distR="114300" simplePos="0" relativeHeight="251659264" behindDoc="1" locked="0" layoutInCell="1" allowOverlap="1">
            <wp:simplePos x="0" y="0"/>
            <wp:positionH relativeFrom="page">
              <wp:posOffset>4368800</wp:posOffset>
            </wp:positionH>
            <wp:positionV relativeFrom="page">
              <wp:posOffset>6597650</wp:posOffset>
            </wp:positionV>
            <wp:extent cx="1635760" cy="1572895"/>
            <wp:effectExtent l="0" t="0" r="2540" b="8255"/>
            <wp:wrapNone/>
            <wp:docPr id="2" name="STA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TAMP"/>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1635760" cy="1572895"/>
                    </a:xfrm>
                    <a:prstGeom prst="rect">
                      <a:avLst/>
                    </a:prstGeom>
                  </pic:spPr>
                </pic:pic>
              </a:graphicData>
            </a:graphic>
          </wp:anchor>
        </w:drawing>
      </w:r>
      <w:r>
        <w:rPr>
          <w:rFonts w:hint="default" w:ascii="Times New Roman" w:hAnsi="Times New Roman" w:eastAsia="仿宋_GB2312" w:cs="Times New Roman"/>
          <w:kern w:val="0"/>
          <w:sz w:val="36"/>
          <w:szCs w:val="36"/>
        </w:rPr>
        <w:t>项目名称：2024年改善普通高中学校办学条</w:t>
      </w:r>
      <w:r>
        <w:rPr>
          <w:rFonts w:hint="eastAsia" w:ascii="Times New Roman" w:hAnsi="Times New Roman" w:eastAsia="仿宋_GB2312" w:cs="Times New Roman"/>
          <w:kern w:val="0"/>
          <w:sz w:val="36"/>
          <w:szCs w:val="36"/>
          <w:lang w:val="en-US" w:eastAsia="zh-CN"/>
        </w:rPr>
        <w:t xml:space="preserve"> </w:t>
      </w:r>
      <w:r>
        <w:rPr>
          <w:rFonts w:hint="default" w:ascii="Times New Roman" w:hAnsi="Times New Roman" w:eastAsia="仿宋_GB2312" w:cs="Times New Roman"/>
          <w:kern w:val="0"/>
          <w:sz w:val="36"/>
          <w:szCs w:val="36"/>
        </w:rPr>
        <w:t>件补助资金</w:t>
      </w:r>
    </w:p>
    <w:p w14:paraId="0185FE31">
      <w:pPr>
        <w:spacing w:line="700" w:lineRule="exact"/>
        <w:ind w:firstLine="1440" w:firstLineChars="400"/>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实施单位（公章）：</w:t>
      </w:r>
      <w:r>
        <w:rPr>
          <w:rFonts w:hint="eastAsia" w:ascii="Times New Roman" w:hAnsi="Times New Roman" w:eastAsia="仿宋_GB2312" w:cs="Times New Roman"/>
          <w:kern w:val="0"/>
          <w:sz w:val="36"/>
          <w:szCs w:val="36"/>
          <w:lang w:val="en-US" w:eastAsia="zh-CN"/>
        </w:rPr>
        <w:t>裕民县教育和体育局</w:t>
      </w:r>
    </w:p>
    <w:p w14:paraId="398DEAD8">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主管部门（公章）：</w:t>
      </w:r>
      <w:r>
        <w:rPr>
          <w:rFonts w:hint="eastAsia" w:ascii="Times New Roman" w:hAnsi="Times New Roman" w:eastAsia="仿宋_GB2312" w:cs="Times New Roman"/>
          <w:kern w:val="0"/>
          <w:sz w:val="36"/>
          <w:szCs w:val="36"/>
          <w:lang w:val="en-US" w:eastAsia="zh-CN"/>
        </w:rPr>
        <w:t>裕民县教育和体育局</w:t>
      </w:r>
    </w:p>
    <w:p w14:paraId="231F45C9">
      <w:pPr>
        <w:spacing w:line="700" w:lineRule="exact"/>
        <w:ind w:firstLine="1440" w:firstLineChars="400"/>
        <w:jc w:val="left"/>
        <w:rPr>
          <w:rFonts w:hint="eastAsia"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项目负责人（签章）：</w:t>
      </w:r>
      <w:r>
        <w:rPr>
          <w:rFonts w:hint="eastAsia" w:ascii="Times New Roman" w:hAnsi="Times New Roman" w:eastAsia="仿宋_GB2312" w:cs="Times New Roman"/>
          <w:kern w:val="0"/>
          <w:sz w:val="36"/>
          <w:szCs w:val="36"/>
          <w:lang w:val="en-US" w:eastAsia="zh-CN"/>
        </w:rPr>
        <w:t>郭文言</w:t>
      </w:r>
    </w:p>
    <w:p w14:paraId="5A4BA0E9">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ascii="Times New Roman" w:hAnsi="Times New Roman" w:eastAsia="仿宋_GB2312" w:cs="Times New Roman"/>
          <w:kern w:val="0"/>
          <w:sz w:val="36"/>
          <w:szCs w:val="36"/>
          <w:lang w:val="en-US" w:eastAsia="zh-CN"/>
        </w:rPr>
        <w:t>2024</w:t>
      </w:r>
      <w:r>
        <w:rPr>
          <w:rFonts w:hint="default" w:ascii="Times New Roman" w:hAnsi="Times New Roman" w:eastAsia="仿宋_GB2312" w:cs="Times New Roman"/>
          <w:kern w:val="0"/>
          <w:sz w:val="36"/>
          <w:szCs w:val="36"/>
        </w:rPr>
        <w:t>年</w:t>
      </w:r>
      <w:r>
        <w:rPr>
          <w:rFonts w:hint="eastAsia"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ascii="Times New Roman" w:hAnsi="Times New Roman" w:eastAsia="仿宋_GB2312" w:cs="Times New Roman"/>
          <w:kern w:val="0"/>
          <w:sz w:val="36"/>
          <w:szCs w:val="36"/>
          <w:lang w:val="en-US" w:eastAsia="zh-CN"/>
        </w:rPr>
        <w:t>21</w:t>
      </w:r>
      <w:r>
        <w:rPr>
          <w:rFonts w:hint="default" w:ascii="Times New Roman" w:hAnsi="Times New Roman" w:eastAsia="仿宋_GB2312" w:cs="Times New Roman"/>
          <w:kern w:val="0"/>
          <w:sz w:val="36"/>
          <w:szCs w:val="36"/>
        </w:rPr>
        <w:t>日</w:t>
      </w:r>
    </w:p>
    <w:p w14:paraId="01FAD384">
      <w:pPr>
        <w:spacing w:line="540" w:lineRule="exact"/>
        <w:jc w:val="center"/>
        <w:rPr>
          <w:rFonts w:hint="default" w:ascii="Times New Roman" w:hAnsi="Times New Roman" w:eastAsia="仿宋_GB2312" w:cs="Times New Roman"/>
          <w:kern w:val="0"/>
          <w:sz w:val="30"/>
          <w:szCs w:val="30"/>
        </w:rPr>
      </w:pPr>
    </w:p>
    <w:p w14:paraId="39B7A76F">
      <w:pPr>
        <w:spacing w:line="540" w:lineRule="exact"/>
        <w:rPr>
          <w:rStyle w:val="15"/>
          <w:rFonts w:hint="default" w:ascii="Times New Roman" w:hAnsi="Times New Roman" w:eastAsia="黑体" w:cs="Times New Roman"/>
          <w:b w:val="0"/>
          <w:spacing w:val="-4"/>
          <w:sz w:val="32"/>
          <w:szCs w:val="32"/>
        </w:rPr>
      </w:pPr>
    </w:p>
    <w:p w14:paraId="7C125D87">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14:paraId="18CD67A7">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4314A701">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23AF3873">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14:paraId="625B6499">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国家中长期教育改革和发展规划纲要（2010～2020年）》提出要加快普及高中阶段教育，提高普通高中教育质量，为补助资金项目提供了政策依据和方向。此后，《高中阶段教育普及攻坚计划（2017 - 2020年）》等政策进一步强调了改善普通高中办学条件的重要性，以推动高中阶段教育普及攻坚。</w:t>
      </w:r>
      <w:r>
        <w:rPr>
          <w:rFonts w:hint="eastAsia" w:ascii="Times New Roman" w:hAnsi="Times New Roman" w:eastAsia="仿宋_GB2312" w:cs="Times New Roman"/>
          <w:sz w:val="32"/>
          <w:szCs w:val="32"/>
          <w:highlight w:val="none"/>
          <w:lang w:val="en-US" w:eastAsia="zh-CN"/>
        </w:rPr>
        <w:t>新疆裕民县第一高级中学</w:t>
      </w:r>
      <w:r>
        <w:rPr>
          <w:rFonts w:hint="default" w:ascii="Times New Roman" w:hAnsi="Times New Roman" w:eastAsia="仿宋_GB2312" w:cs="Times New Roman"/>
          <w:sz w:val="32"/>
          <w:szCs w:val="32"/>
          <w:highlight w:val="none"/>
          <w:lang w:val="en-US" w:eastAsia="zh-CN"/>
        </w:rPr>
        <w:t>在教学设施、设备等方面相对落后，与发达地区存在较大差距，影响教育公平和质量提升。随着高中阶段学龄人口的变化，学位紧</w:t>
      </w:r>
      <w:bookmarkStart w:id="1" w:name="_GoBack"/>
      <w:bookmarkEnd w:id="1"/>
      <w:r>
        <w:rPr>
          <w:rFonts w:hint="default" w:ascii="Times New Roman" w:hAnsi="Times New Roman" w:eastAsia="仿宋_GB2312" w:cs="Times New Roman"/>
          <w:sz w:val="32"/>
          <w:szCs w:val="32"/>
          <w:highlight w:val="none"/>
          <w:lang w:val="en-US" w:eastAsia="zh-CN"/>
        </w:rPr>
        <w:t>张，“大班额”问题突出，同时教学仪器设备、图书等资源不足，无法满足教育教学需要。</w:t>
      </w:r>
      <w:r>
        <w:rPr>
          <w:rFonts w:hint="eastAsia" w:ascii="Times New Roman" w:hAnsi="Times New Roman" w:eastAsia="仿宋_GB2312" w:cs="Times New Roman"/>
          <w:sz w:val="32"/>
          <w:szCs w:val="32"/>
          <w:highlight w:val="none"/>
          <w:lang w:val="en-US" w:eastAsia="zh-CN"/>
        </w:rPr>
        <w:t>裕民县第一高级中学</w:t>
      </w:r>
      <w:r>
        <w:rPr>
          <w:rFonts w:hint="default" w:ascii="Times New Roman" w:hAnsi="Times New Roman" w:eastAsia="仿宋_GB2312" w:cs="Times New Roman"/>
          <w:sz w:val="32"/>
          <w:szCs w:val="32"/>
          <w:highlight w:val="none"/>
          <w:lang w:val="en-US" w:eastAsia="zh-CN"/>
        </w:rPr>
        <w:t>学校校舍老旧，需要改扩建或新建，以改善师生的学习和生活条件。</w:t>
      </w:r>
    </w:p>
    <w:p w14:paraId="46B68017">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lang w:val="en-US" w:eastAsia="zh-CN"/>
        </w:rPr>
        <w:t>2.</w:t>
      </w:r>
      <w:r>
        <w:rPr>
          <w:rFonts w:hint="default" w:ascii="Times New Roman" w:hAnsi="Times New Roman" w:eastAsia="仿宋_GB2312" w:cs="Times New Roman"/>
          <w:b/>
          <w:bCs/>
          <w:sz w:val="32"/>
          <w:szCs w:val="32"/>
        </w:rPr>
        <w:t>项目主要内容：</w:t>
      </w:r>
    </w:p>
    <w:p w14:paraId="3673634B">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项目主要内容：2024年改善普通高中学校办学条件补助资金项目</w:t>
      </w:r>
      <w:r>
        <w:rPr>
          <w:rFonts w:hint="eastAsia" w:ascii="Times New Roman" w:hAnsi="Times New Roman" w:eastAsia="仿宋_GB2312" w:cs="Times New Roman"/>
          <w:sz w:val="32"/>
          <w:szCs w:val="32"/>
          <w:highlight w:val="none"/>
          <w:lang w:val="en-US" w:eastAsia="zh-CN"/>
        </w:rPr>
        <w:t>计划</w:t>
      </w:r>
      <w:r>
        <w:rPr>
          <w:rFonts w:hint="default" w:ascii="Times New Roman" w:hAnsi="Times New Roman" w:eastAsia="仿宋_GB2312" w:cs="Times New Roman"/>
          <w:sz w:val="32"/>
          <w:szCs w:val="32"/>
          <w:highlight w:val="none"/>
          <w:lang w:val="en-US" w:eastAsia="zh-CN"/>
        </w:rPr>
        <w:t>支出456.6万元未裕民县第一中学购买生物化实验设备</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 xml:space="preserve">该项目的实施改善高中办学条件，购置教学设备，能够提升教育教学功能，维护校园基础设施服务功能，提升基础设施安全水平。 </w:t>
      </w:r>
    </w:p>
    <w:p w14:paraId="1EB6DE6A">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 xml:space="preserve">项目实施情况：2024年改善普通高中学校办学条件补助资金项目截止2024年12月31日，已支出456.6万元未裕民县第一中学购买生物化实验设备，项目完成率100%。该项目的实施改善高中办学条件，购置教学设备，能够提升教育教学功能，维护校园基础设施服务功能，提升基础设施安全水平。 </w:t>
      </w:r>
    </w:p>
    <w:p w14:paraId="56450179">
      <w:pPr>
        <w:spacing w:line="560" w:lineRule="exact"/>
        <w:ind w:firstLine="643" w:firstLineChars="200"/>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3.资金投入和使用情况</w:t>
      </w:r>
    </w:p>
    <w:p w14:paraId="3E0C178F">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5C9B4132">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456.6</w:t>
      </w:r>
      <w:r>
        <w:rPr>
          <w:rFonts w:hint="default" w:ascii="Times New Roman" w:hAnsi="Times New Roman" w:eastAsia="仿宋_GB2312" w:cs="Times New Roman"/>
          <w:sz w:val="32"/>
          <w:szCs w:val="32"/>
          <w:highlight w:val="none"/>
          <w:lang w:val="en-US" w:eastAsia="zh-CN"/>
        </w:rPr>
        <w:t>万元，全年预算数</w:t>
      </w:r>
      <w:r>
        <w:rPr>
          <w:rFonts w:hint="eastAsia" w:ascii="Times New Roman" w:hAnsi="Times New Roman" w:eastAsia="仿宋_GB2312" w:cs="Times New Roman"/>
          <w:sz w:val="32"/>
          <w:szCs w:val="32"/>
          <w:highlight w:val="none"/>
          <w:lang w:val="en-US" w:eastAsia="zh-CN"/>
        </w:rPr>
        <w:t>456.6</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ascii="Times New Roman" w:hAnsi="Times New Roman" w:eastAsia="仿宋_GB2312" w:cs="Times New Roman"/>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14:paraId="5BA26480">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016E6CFB">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456.6</w:t>
      </w:r>
      <w:r>
        <w:rPr>
          <w:rFonts w:hint="default" w:ascii="Times New Roman" w:hAnsi="Times New Roman" w:eastAsia="仿宋_GB2312" w:cs="Times New Roman"/>
          <w:sz w:val="32"/>
          <w:szCs w:val="32"/>
          <w:highlight w:val="none"/>
          <w:lang w:val="en-US" w:eastAsia="zh-CN"/>
        </w:rPr>
        <w:t>万元，全年预算数</w:t>
      </w:r>
      <w:r>
        <w:rPr>
          <w:rFonts w:hint="eastAsia" w:ascii="Times New Roman" w:hAnsi="Times New Roman" w:eastAsia="仿宋_GB2312" w:cs="Times New Roman"/>
          <w:sz w:val="32"/>
          <w:szCs w:val="32"/>
          <w:highlight w:val="none"/>
          <w:lang w:val="en-US" w:eastAsia="zh-CN"/>
        </w:rPr>
        <w:t>456.6</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，全年执行数</w:t>
      </w:r>
      <w:r>
        <w:rPr>
          <w:rFonts w:hint="eastAsia" w:ascii="Times New Roman" w:hAnsi="Times New Roman" w:eastAsia="仿宋_GB2312" w:cs="Times New Roman"/>
          <w:sz w:val="32"/>
          <w:szCs w:val="32"/>
          <w:highlight w:val="none"/>
          <w:lang w:val="en-US" w:eastAsia="zh-CN"/>
        </w:rPr>
        <w:t>456.6</w:t>
      </w:r>
      <w:r>
        <w:rPr>
          <w:rFonts w:hint="default" w:ascii="Times New Roman" w:hAnsi="Times New Roman" w:eastAsia="仿宋_GB2312" w:cs="Times New Roman"/>
          <w:sz w:val="32"/>
          <w:szCs w:val="32"/>
          <w:highlight w:val="none"/>
          <w:lang w:val="en-US" w:eastAsia="zh-CN"/>
        </w:rPr>
        <w:t>万元，预算执行率为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eastAsia" w:ascii="Times New Roman" w:hAnsi="Times New Roman" w:eastAsia="仿宋_GB2312" w:cs="Times New Roman"/>
          <w:sz w:val="32"/>
          <w:szCs w:val="32"/>
          <w:highlight w:val="none"/>
          <w:lang w:val="en-US" w:eastAsia="zh-CN"/>
        </w:rPr>
        <w:t>为</w:t>
      </w:r>
      <w:r>
        <w:rPr>
          <w:rFonts w:hint="default" w:ascii="Times New Roman" w:hAnsi="Times New Roman" w:eastAsia="仿宋_GB2312" w:cs="Times New Roman"/>
          <w:sz w:val="32"/>
          <w:szCs w:val="32"/>
          <w:highlight w:val="none"/>
          <w:lang w:val="en-US" w:eastAsia="zh-CN"/>
        </w:rPr>
        <w:t>裕民县第一中学购买生物化实验设备</w:t>
      </w:r>
      <w:r>
        <w:rPr>
          <w:rFonts w:hint="eastAsia" w:ascii="Times New Roman" w:hAnsi="Times New Roman" w:eastAsia="仿宋_GB2312" w:cs="Times New Roman"/>
          <w:sz w:val="32"/>
          <w:szCs w:val="32"/>
          <w:highlight w:val="none"/>
          <w:lang w:val="en-US" w:eastAsia="zh-CN"/>
        </w:rPr>
        <w:t>一套</w:t>
      </w:r>
      <w:r>
        <w:rPr>
          <w:rFonts w:hint="default" w:ascii="Times New Roman" w:hAnsi="Times New Roman" w:eastAsia="仿宋_GB2312" w:cs="Times New Roman"/>
          <w:sz w:val="32"/>
          <w:szCs w:val="32"/>
          <w:highlight w:val="none"/>
          <w:lang w:val="en-US" w:eastAsia="zh-CN"/>
        </w:rPr>
        <w:t>。</w:t>
      </w:r>
    </w:p>
    <w:p w14:paraId="246C0A6F">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22A6FAD3">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14:paraId="196E82F4">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我单位2024年计划支出456.6万元，为</w:t>
      </w:r>
      <w:r>
        <w:rPr>
          <w:rFonts w:hint="eastAsia" w:ascii="Times New Roman" w:hAnsi="Times New Roman" w:eastAsia="仿宋_GB2312" w:cs="Times New Roman"/>
          <w:sz w:val="32"/>
          <w:szCs w:val="32"/>
          <w:highlight w:val="none"/>
          <w:lang w:val="en-US" w:eastAsia="zh-CN"/>
        </w:rPr>
        <w:t>裕民县第一中学购买</w:t>
      </w:r>
      <w:r>
        <w:rPr>
          <w:rFonts w:hint="default" w:ascii="Times New Roman" w:hAnsi="Times New Roman" w:eastAsia="仿宋_GB2312" w:cs="Times New Roman"/>
          <w:sz w:val="32"/>
          <w:szCs w:val="32"/>
          <w:highlight w:val="none"/>
          <w:lang w:val="en-US" w:eastAsia="zh-CN"/>
        </w:rPr>
        <w:t>生物化实验设备1批。该项目的实施改善高中办学条件，购置教学设备，能够提升教育教学功能，维护校园基础设施服务功能，提升基础设施安全水平。</w:t>
      </w:r>
    </w:p>
    <w:p w14:paraId="4B3D78C0">
      <w:pPr>
        <w:spacing w:line="560" w:lineRule="exact"/>
        <w:ind w:firstLine="640" w:firstLineChars="200"/>
        <w:rPr>
          <w:rFonts w:hint="eastAsia" w:ascii="Times New Roman" w:hAnsi="Times New Roman" w:eastAsia="仿宋_GB2312" w:cs="Times New Roman"/>
          <w:color w:val="FF0000"/>
          <w:sz w:val="30"/>
          <w:szCs w:val="30"/>
          <w:highlight w:val="none"/>
          <w:lang w:val="en-US" w:eastAsia="zh-C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w:t>
      </w:r>
      <w:r>
        <w:rPr>
          <w:rFonts w:hint="eastAsia" w:eastAsia="仿宋_GB2312" w:cs="Times New Roman"/>
          <w:sz w:val="32"/>
          <w:szCs w:val="32"/>
          <w:lang w:eastAsia="zh-CN"/>
        </w:rPr>
        <w:t>标</w:t>
      </w:r>
    </w:p>
    <w:p w14:paraId="30F79310">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1.资金分配与落实阶段（第一季度）：完成补助资金分配方案的制定，资金文下达后，明确资金使用方向和项目实施的计划；2.项目启动与前期准备阶段（第二季度）：迅速启动设备采购工作。按照政府采购相关法律法规，完成采购需求论证、招标公告发布、供应商选择等前期工作。组建项目工作小组，明确职责分工，制定项目进度计划和质量控制方案，为项目顺利实施提供组织保障和制度保障。3.项目建设与绩效评估阶段（第三季度至第四季度）：在项目建设过程中，严格按照项目采购安装方案。建立项目进度跟踪机制没及时解决采购安装过程中出现的问题和困难，确保项目按照预定计划顺利推进。加强项目资金管理，严格执行财务制度和资金使用审批流程，确保资金专款专用，提高资金使用效益。4.项目验收与绩效评估阶段（第四季度）：项目竣工后，及时组织相关部门和专家进行验收。设备采购项目按照采购合同和设备技术标准，对设备数量、质量、性能等进行验收。验收合格后，办理项目结算和固定资产入账手续。开展项目绩效评估工作，对照项目绩效目标，对项目实施效果进行全面评价，总结经验教训，为后续项目实施提供参考依据。</w:t>
      </w:r>
    </w:p>
    <w:p w14:paraId="528C73BF">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14:paraId="637D67C7">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47425B9C">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14:paraId="57032EEF">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6CABDD74">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14:paraId="0118FF1E">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0A7EBFBA">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042B5562">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13245863">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14:paraId="3B69830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（1）评估项目实施效果</w:t>
      </w:r>
    </w:p>
    <w:p w14:paraId="17E929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通过对项目预算执行情况及各项绩效目标达成程度的系统性分析，全面、客观地评估项目在预定周期内的实施效果，包括社会效益维度指标，为项目后续的改进与优化提供科学依据。</w:t>
      </w:r>
    </w:p>
    <w:p w14:paraId="381842B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3D2D604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025583E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472E52B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530FA5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631A013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2575EB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6DF23E7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3C0D22B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0B549D35">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val="en-US" w:eastAsia="zh-CN"/>
        </w:rPr>
        <w:t>3</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绩效评价的对象</w:t>
      </w:r>
    </w:p>
    <w:p w14:paraId="72D5E074">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本项目预算绩效评价报告的评价对象是</w:t>
      </w:r>
      <w:r>
        <w:rPr>
          <w:rFonts w:hint="default" w:ascii="Times New Roman" w:hAnsi="Times New Roman" w:eastAsia="仿宋_GB2312" w:cs="Times New Roman"/>
          <w:b w:val="0"/>
          <w:bCs w:val="0"/>
          <w:color w:val="auto"/>
          <w:highlight w:val="none"/>
          <w:lang w:val="en-US" w:eastAsia="zh-CN"/>
        </w:rPr>
        <w:t>2024年改善普通高中学校办学条件补助资金项目</w:t>
      </w:r>
      <w:r>
        <w:rPr>
          <w:rFonts w:hint="default" w:ascii="Times New Roman" w:hAnsi="Times New Roman" w:eastAsia="仿宋_GB2312" w:cs="Times New Roman"/>
          <w:b w:val="0"/>
          <w:bCs w:val="0"/>
          <w:color w:val="auto"/>
          <w:highlight w:val="none"/>
        </w:rPr>
        <w:t>及其预算执行情况。该项目由</w:t>
      </w:r>
      <w:r>
        <w:rPr>
          <w:rFonts w:hint="eastAsia" w:ascii="Times New Roman" w:hAnsi="Times New Roman" w:eastAsia="仿宋_GB2312" w:cs="Times New Roman"/>
          <w:b w:val="0"/>
          <w:bCs w:val="0"/>
          <w:color w:val="auto"/>
          <w:highlight w:val="none"/>
          <w:lang w:val="en-US" w:eastAsia="zh-CN"/>
        </w:rPr>
        <w:t>裕民县教育和体育局</w:t>
      </w:r>
      <w:r>
        <w:rPr>
          <w:rFonts w:hint="default" w:ascii="Times New Roman" w:hAnsi="Times New Roman" w:eastAsia="仿宋_GB2312" w:cs="Times New Roman"/>
          <w:b w:val="0"/>
          <w:bCs w:val="0"/>
          <w:color w:val="auto"/>
          <w:highlight w:val="none"/>
        </w:rPr>
        <w:t>负责实施，旨在为</w:t>
      </w:r>
      <w:r>
        <w:rPr>
          <w:rFonts w:hint="eastAsia" w:ascii="Times New Roman" w:hAnsi="Times New Roman" w:eastAsia="仿宋_GB2312" w:cs="Times New Roman"/>
          <w:b w:val="0"/>
          <w:bCs w:val="0"/>
          <w:color w:val="auto"/>
          <w:highlight w:val="none"/>
          <w:lang w:val="en-US" w:eastAsia="zh-CN"/>
        </w:rPr>
        <w:t>裕民县第一高级中学</w:t>
      </w:r>
      <w:r>
        <w:rPr>
          <w:rFonts w:hint="default" w:ascii="Times New Roman" w:hAnsi="Times New Roman" w:eastAsia="仿宋_GB2312" w:cs="Times New Roman"/>
          <w:b w:val="0"/>
          <w:bCs w:val="0"/>
          <w:color w:val="auto"/>
          <w:highlight w:val="none"/>
        </w:rPr>
        <w:t>升级改造</w:t>
      </w:r>
      <w:r>
        <w:rPr>
          <w:rFonts w:hint="eastAsia" w:ascii="Times New Roman" w:hAnsi="Times New Roman" w:eastAsia="仿宋_GB2312" w:cs="Times New Roman"/>
          <w:b w:val="0"/>
          <w:bCs w:val="0"/>
          <w:color w:val="auto"/>
          <w:highlight w:val="none"/>
          <w:lang w:val="en-US" w:eastAsia="zh-CN"/>
        </w:rPr>
        <w:t>购买</w:t>
      </w:r>
      <w:r>
        <w:rPr>
          <w:rFonts w:hint="default" w:ascii="Times New Roman" w:hAnsi="Times New Roman" w:eastAsia="仿宋_GB2312" w:cs="Times New Roman"/>
          <w:b w:val="0"/>
          <w:bCs w:val="0"/>
          <w:color w:val="auto"/>
          <w:highlight w:val="none"/>
        </w:rPr>
        <w:t>生物化实验设备1批。该项目的实施改善高中办学条件，购置教学设备，能够提升教育教学功能，维护校园基础设施服务功能，提升基础设施安全水平。。项目预算涵盖从</w:t>
      </w:r>
      <w:r>
        <w:rPr>
          <w:rFonts w:hint="eastAsia" w:ascii="Times New Roman" w:hAnsi="Times New Roman" w:eastAsia="仿宋_GB2312" w:cs="Times New Roman"/>
          <w:b w:val="0"/>
          <w:bCs w:val="0"/>
          <w:color w:val="auto"/>
          <w:highlight w:val="none"/>
          <w:lang w:val="en-US" w:eastAsia="zh-CN"/>
        </w:rPr>
        <w:t>2024年2月10日</w:t>
      </w:r>
      <w:r>
        <w:rPr>
          <w:rFonts w:hint="default" w:ascii="Times New Roman" w:hAnsi="Times New Roman" w:eastAsia="仿宋_GB2312" w:cs="Times New Roman"/>
          <w:b w:val="0"/>
          <w:bCs w:val="0"/>
          <w:color w:val="auto"/>
          <w:highlight w:val="none"/>
        </w:rPr>
        <w:t>至</w:t>
      </w:r>
      <w:r>
        <w:rPr>
          <w:rFonts w:hint="eastAsia" w:ascii="Times New Roman" w:hAnsi="Times New Roman" w:eastAsia="仿宋_GB2312" w:cs="Times New Roman"/>
          <w:b w:val="0"/>
          <w:bCs w:val="0"/>
          <w:color w:val="auto"/>
          <w:highlight w:val="none"/>
          <w:lang w:val="en-US" w:eastAsia="zh-CN"/>
        </w:rPr>
        <w:t>2024年12月25日</w:t>
      </w:r>
      <w:r>
        <w:rPr>
          <w:rFonts w:hint="default" w:ascii="Times New Roman" w:hAnsi="Times New Roman" w:eastAsia="仿宋_GB2312" w:cs="Times New Roman"/>
          <w:b w:val="0"/>
          <w:bCs w:val="0"/>
          <w:color w:val="auto"/>
          <w:highlight w:val="none"/>
        </w:rPr>
        <w:t>的全部资金投入与支出，涉及资金总额为</w:t>
      </w:r>
      <w:r>
        <w:rPr>
          <w:rFonts w:hint="eastAsia" w:ascii="Times New Roman" w:hAnsi="Times New Roman" w:eastAsia="仿宋_GB2312" w:cs="Times New Roman"/>
          <w:b w:val="0"/>
          <w:bCs w:val="0"/>
          <w:color w:val="auto"/>
          <w:highlight w:val="none"/>
          <w:lang w:val="en-US" w:eastAsia="zh-CN"/>
        </w:rPr>
        <w:t>456.6</w:t>
      </w:r>
      <w:r>
        <w:rPr>
          <w:rFonts w:hint="default" w:ascii="Times New Roman" w:hAnsi="Times New Roman" w:eastAsia="仿宋_GB2312" w:cs="Times New Roman"/>
          <w:b w:val="0"/>
          <w:bCs w:val="0"/>
          <w:color w:val="auto"/>
          <w:highlight w:val="none"/>
        </w:rPr>
        <w:t>]</w:t>
      </w:r>
      <w:r>
        <w:rPr>
          <w:rFonts w:hint="default" w:ascii="Times New Roman" w:hAnsi="Times New Roman" w:eastAsia="仿宋_GB2312" w:cs="Times New Roman"/>
          <w:b w:val="0"/>
          <w:bCs w:val="0"/>
          <w:color w:val="auto"/>
          <w:highlight w:val="none"/>
          <w:lang w:val="en-US" w:eastAsia="zh-CN"/>
        </w:rPr>
        <w:t>万</w:t>
      </w:r>
      <w:r>
        <w:rPr>
          <w:rFonts w:hint="default" w:ascii="Times New Roman" w:hAnsi="Times New Roman" w:eastAsia="仿宋_GB2312" w:cs="Times New Roman"/>
          <w:b w:val="0"/>
          <w:bCs w:val="0"/>
          <w:color w:val="auto"/>
          <w:highlight w:val="none"/>
        </w:rPr>
        <w:t>元。</w:t>
      </w:r>
    </w:p>
    <w:p w14:paraId="56C98B4E">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14:paraId="6D6DA28E">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105337B8">
      <w:pPr>
        <w:pStyle w:val="9"/>
        <w:widowControl w:val="0"/>
        <w:numPr>
          <w:ilvl w:val="0"/>
          <w:numId w:val="1"/>
        </w:numPr>
        <w:spacing w:before="0" w:after="0" w:line="560" w:lineRule="exact"/>
        <w:ind w:left="-220" w:leftChars="0" w:firstLine="640" w:firstLineChars="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1BE23C12">
      <w:pPr>
        <w:pStyle w:val="9"/>
        <w:widowControl w:val="0"/>
        <w:numPr>
          <w:ilvl w:val="0"/>
          <w:numId w:val="1"/>
        </w:numPr>
        <w:spacing w:before="0" w:after="0" w:line="560" w:lineRule="exact"/>
        <w:ind w:left="-220" w:leftChars="0" w:firstLine="640" w:firstLineChars="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3B0A1A5F">
      <w:pPr>
        <w:pStyle w:val="9"/>
        <w:widowControl w:val="0"/>
        <w:numPr>
          <w:ilvl w:val="0"/>
          <w:numId w:val="1"/>
        </w:numPr>
        <w:spacing w:before="0" w:after="0" w:line="560" w:lineRule="exact"/>
        <w:ind w:left="-220" w:leftChars="0" w:firstLine="640" w:firstLineChars="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14:paraId="107916A1">
      <w:pPr>
        <w:pStyle w:val="9"/>
        <w:widowControl w:val="0"/>
        <w:numPr>
          <w:ilvl w:val="0"/>
          <w:numId w:val="1"/>
        </w:numPr>
        <w:spacing w:before="0" w:after="0" w:line="560" w:lineRule="exact"/>
        <w:ind w:left="-220" w:leftChars="0" w:firstLine="640" w:firstLineChars="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影响：考察项目对社会方面的综合影响。</w:t>
      </w:r>
    </w:p>
    <w:p w14:paraId="3A78D777">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highlight w:val="none"/>
        </w:rPr>
        <w:t>（二）绩效评价原则、评价指标体系（详情见表1）、评</w:t>
      </w:r>
      <w:r>
        <w:rPr>
          <w:rFonts w:hint="default" w:ascii="Times New Roman" w:hAnsi="Times New Roman" w:eastAsia="楷体_GB2312" w:cs="Times New Roman"/>
          <w:b/>
          <w:bCs/>
          <w:sz w:val="32"/>
          <w:szCs w:val="32"/>
        </w:rPr>
        <w:t>价方法、评价标准。</w:t>
      </w:r>
    </w:p>
    <w:p w14:paraId="717544B2">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14:paraId="256D0C62">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209823BC">
      <w:pPr>
        <w:pStyle w:val="9"/>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14:paraId="4ED033E3">
      <w:pPr>
        <w:pStyle w:val="9"/>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14:paraId="7BA95489">
      <w:pPr>
        <w:pStyle w:val="9"/>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14:paraId="0B9F2E03">
      <w:pPr>
        <w:pStyle w:val="9"/>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14:paraId="364C0CF5">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14:paraId="5BE59708">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3A0B6B70">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14:paraId="6E3CB3EB">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217707BE">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14:paraId="27E8DB59">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0AB4E725">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14:paraId="5CA5F35B">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38946145">
      <w:pPr>
        <w:pStyle w:val="9"/>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3E5FB9D9">
      <w:pPr>
        <w:pStyle w:val="9"/>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36BF417F">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14:paraId="2DCC5304">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绩效评价从项目决策、项目过程、项目产出、项目效益四个维度进行评价。评价对象为项目目标实施情况，评价核心为资金的支出完成情况和项目的产出效益。</w:t>
      </w:r>
    </w:p>
    <w:p w14:paraId="6D4A304C">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2DA4A004">
      <w:pPr>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r>
        <w:rPr>
          <w:rFonts w:hint="default" w:ascii="Times New Roman" w:hAnsi="Times New Roman" w:eastAsia="仿宋_GB2312" w:cs="Times New Roman"/>
          <w:color w:val="000000"/>
          <w:spacing w:val="17"/>
          <w:sz w:val="32"/>
          <w:szCs w:val="32"/>
          <w:highlight w:val="none"/>
        </w:rPr>
        <w:t>（三）因素分析法。是指综合分析影响绩效目标实现、实施效果的内外部因素的方法。</w:t>
      </w:r>
      <w:r>
        <w:rPr>
          <w:rFonts w:hint="eastAsia" w:eastAsia="仿宋_GB2312" w:cs="Times New Roman"/>
          <w:color w:val="000000"/>
          <w:spacing w:val="17"/>
          <w:sz w:val="32"/>
          <w:szCs w:val="32"/>
          <w:highlight w:val="none"/>
          <w:lang w:val="en-US" w:eastAsia="zh-CN"/>
        </w:rPr>
        <w:t>项目在实施工程中除了内部的资金调控等问题还存在外部施工工程中的不定因素，因此我单位采用因素分析法可以更加全面的进行绩效评价。</w:t>
      </w:r>
    </w:p>
    <w:p w14:paraId="0BA19799">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评价标准</w:t>
      </w:r>
    </w:p>
    <w:p w14:paraId="471D84BC">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highlight w:val="none"/>
        </w:rPr>
        <w:t>标准。</w:t>
      </w:r>
    </w:p>
    <w:p w14:paraId="1D40CE9D">
      <w:pPr>
        <w:pStyle w:val="9"/>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14:paraId="60739B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14:paraId="7EB2202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0CFBDE9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14:paraId="738FE0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66E1CD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14:paraId="3D6E03F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2080CF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14:paraId="7133D1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1D1DEE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14:paraId="1FFCFBE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2F8029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14:paraId="27893F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FB28B28">
      <w:pPr>
        <w:numPr>
          <w:ilvl w:val="0"/>
          <w:numId w:val="3"/>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14:paraId="7ED70492">
      <w:pPr>
        <w:pStyle w:val="9"/>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14:paraId="794038C0">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2024年改善普通高中学校办学条件补助资金在时效指标、社会效益指标等方面表现出色，达到了预期的标准与要求。同时，项目也在</w:t>
      </w:r>
      <w:r>
        <w:rPr>
          <w:rFonts w:hint="eastAsia" w:eastAsia="仿宋_GB2312" w:cs="Times New Roman"/>
          <w:sz w:val="32"/>
          <w:szCs w:val="32"/>
          <w:highlight w:val="none"/>
          <w:lang w:val="en-US" w:eastAsia="zh-CN"/>
        </w:rPr>
        <w:t>提高学校办学条件等方面</w:t>
      </w:r>
      <w:r>
        <w:rPr>
          <w:rFonts w:hint="default" w:ascii="Times New Roman" w:hAnsi="Times New Roman" w:eastAsia="仿宋_GB2312" w:cs="Times New Roman"/>
          <w:sz w:val="32"/>
          <w:szCs w:val="32"/>
          <w:highlight w:val="none"/>
        </w:rPr>
        <w:t>取得了显著的成效，如</w:t>
      </w:r>
      <w:r>
        <w:rPr>
          <w:rFonts w:hint="eastAsia" w:eastAsia="仿宋_GB2312" w:cs="Times New Roman"/>
          <w:sz w:val="32"/>
          <w:szCs w:val="32"/>
          <w:highlight w:val="none"/>
          <w:lang w:val="en-US" w:eastAsia="zh-CN"/>
        </w:rPr>
        <w:t>提高了裕民县第一高级中学的化学实验课的实操能力。提高了办学条件</w:t>
      </w:r>
      <w:r>
        <w:rPr>
          <w:rFonts w:hint="default" w:ascii="Times New Roman" w:hAnsi="Times New Roman" w:eastAsia="仿宋_GB2312" w:cs="Times New Roman"/>
          <w:sz w:val="32"/>
          <w:szCs w:val="32"/>
          <w:highlight w:val="none"/>
        </w:rPr>
        <w:t>。</w:t>
      </w:r>
    </w:p>
    <w:p w14:paraId="4703A3B3">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val="en-US" w:eastAsia="zh-CN"/>
        </w:rPr>
        <w:t>裕民县教育和体育局</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3B1776DA">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从项目效益的角度来看，本项目不仅实现了预期的社会效益等方面产生了积极的影响。具体而言，</w:t>
      </w:r>
      <w:r>
        <w:rPr>
          <w:rFonts w:hint="eastAsia" w:eastAsia="仿宋_GB2312" w:cs="Times New Roman"/>
          <w:sz w:val="32"/>
          <w:szCs w:val="32"/>
          <w:highlight w:val="none"/>
          <w:lang w:val="en-US" w:eastAsia="zh-CN"/>
        </w:rPr>
        <w:t>办学条件</w:t>
      </w:r>
      <w:r>
        <w:rPr>
          <w:rFonts w:hint="default" w:ascii="Times New Roman" w:hAnsi="Times New Roman" w:eastAsia="仿宋_GB2312" w:cs="Times New Roman"/>
          <w:sz w:val="32"/>
          <w:szCs w:val="32"/>
          <w:highlight w:val="none"/>
        </w:rPr>
        <w:t>等方面的提升，为项目的利益相关者带来了实实在在的利益。</w:t>
      </w:r>
    </w:p>
    <w:p w14:paraId="6888D166">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综上所述2024年改善普通高中学校办学条件补助资金在绩效评价中表现出色，达到了项目的预期目标，并在多个方面取得了显著的成效。</w:t>
      </w:r>
    </w:p>
    <w:p w14:paraId="75212911">
      <w:pPr>
        <w:pStyle w:val="9"/>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14:paraId="5B4FE2DF">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highlight w:val="none"/>
        </w:rPr>
        <w:t xml:space="preserve">总得分为 </w:t>
      </w:r>
      <w:r>
        <w:rPr>
          <w:rFonts w:hint="eastAsia" w:ascii="Times New Roman" w:hAnsi="Times New Roman" w:eastAsia="仿宋_GB2312" w:cs="Times New Roman"/>
          <w:b w:val="0"/>
          <w:bCs w:val="0"/>
          <w:highlight w:val="none"/>
          <w:lang w:val="en-US" w:eastAsia="zh-CN"/>
        </w:rPr>
        <w:t>90</w:t>
      </w:r>
      <w:r>
        <w:rPr>
          <w:rFonts w:hint="default" w:ascii="Times New Roman" w:hAnsi="Times New Roman" w:eastAsia="仿宋_GB2312" w:cs="Times New Roman"/>
          <w:b w:val="0"/>
          <w:bCs w:val="0"/>
          <w:highlight w:val="none"/>
        </w:rPr>
        <w:t xml:space="preserve">分，属于“优”。其中，项目决策类指标权重为20分，得分为 </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分，得分为</w:t>
      </w:r>
      <w:r>
        <w:rPr>
          <w:rFonts w:hint="eastAsia" w:ascii="Times New Roman" w:hAnsi="Times New Roman" w:eastAsia="仿宋_GB2312" w:cs="Times New Roman"/>
          <w:b w:val="0"/>
          <w:bCs w:val="0"/>
          <w:highlight w:val="none"/>
          <w:lang w:val="en-US" w:eastAsia="zh-CN"/>
        </w:rPr>
        <w:t>30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75</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r>
        <w:rPr>
          <w:rFonts w:hint="default" w:ascii="Times New Roman" w:hAnsi="Times New Roman" w:eastAsia="仿宋_GB2312" w:cs="Times New Roman"/>
          <w:b w:val="0"/>
          <w:bCs w:val="0"/>
        </w:rPr>
        <w:t>具体打分情况详见：附件1综合评分表</w:t>
      </w:r>
      <w:r>
        <w:rPr>
          <w:rFonts w:hint="default" w:ascii="Times New Roman" w:hAnsi="Times New Roman" w:eastAsia="仿宋_GB2312" w:cs="Times New Roman"/>
          <w:b w:val="0"/>
          <w:bCs w:val="0"/>
          <w:lang w:eastAsia="zh-CN"/>
        </w:rPr>
        <w:t>。</w:t>
      </w:r>
    </w:p>
    <w:p w14:paraId="563C1DA0">
      <w:pPr>
        <w:pStyle w:val="9"/>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2"/>
        <w:tblW w:w="4998" w:type="pct"/>
        <w:jc w:val="center"/>
        <w:tblLayout w:type="autofit"/>
        <w:tblCellMar>
          <w:top w:w="0" w:type="dxa"/>
          <w:left w:w="108" w:type="dxa"/>
          <w:bottom w:w="0" w:type="dxa"/>
          <w:right w:w="108" w:type="dxa"/>
        </w:tblCellMar>
      </w:tblPr>
      <w:tblGrid>
        <w:gridCol w:w="2787"/>
        <w:gridCol w:w="1927"/>
        <w:gridCol w:w="2023"/>
        <w:gridCol w:w="2023"/>
      </w:tblGrid>
      <w:tr w14:paraId="15C5C40A">
        <w:tblPrEx>
          <w:tblCellMar>
            <w:top w:w="0" w:type="dxa"/>
            <w:left w:w="108" w:type="dxa"/>
            <w:bottom w:w="0" w:type="dxa"/>
            <w:right w:w="108" w:type="dxa"/>
          </w:tblCellMar>
        </w:tblPrEx>
        <w:trPr>
          <w:trHeight w:val="90" w:hRule="atLeast"/>
          <w:tblHeader/>
          <w:jc w:val="center"/>
        </w:trPr>
        <w:tc>
          <w:tcPr>
            <w:tcW w:w="1590" w:type="pct"/>
            <w:tcBorders>
              <w:top w:val="single" w:color="auto" w:sz="4" w:space="0"/>
              <w:left w:val="single" w:color="auto" w:sz="4" w:space="0"/>
              <w:bottom w:val="single" w:color="auto" w:sz="4" w:space="0"/>
              <w:right w:val="single" w:color="auto" w:sz="4" w:space="0"/>
            </w:tcBorders>
            <w:shd w:val="clear" w:color="000000" w:fill="BEBEBE"/>
            <w:vAlign w:val="center"/>
          </w:tcPr>
          <w:p w14:paraId="1033DEC9">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1099" w:type="pct"/>
            <w:tcBorders>
              <w:top w:val="single" w:color="auto" w:sz="4" w:space="0"/>
              <w:left w:val="nil"/>
              <w:bottom w:val="single" w:color="auto" w:sz="4" w:space="0"/>
              <w:right w:val="single" w:color="auto" w:sz="4" w:space="0"/>
            </w:tcBorders>
            <w:shd w:val="clear" w:color="000000" w:fill="BEBEBE"/>
            <w:vAlign w:val="center"/>
          </w:tcPr>
          <w:p w14:paraId="45599525">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1154" w:type="pct"/>
            <w:tcBorders>
              <w:top w:val="single" w:color="auto" w:sz="4" w:space="0"/>
              <w:left w:val="nil"/>
              <w:bottom w:val="single" w:color="auto" w:sz="4" w:space="0"/>
              <w:right w:val="single" w:color="auto" w:sz="4" w:space="0"/>
            </w:tcBorders>
            <w:shd w:val="clear" w:color="000000" w:fill="BEBEBE"/>
            <w:vAlign w:val="center"/>
          </w:tcPr>
          <w:p w14:paraId="0C31F8E1">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c>
          <w:tcPr>
            <w:tcW w:w="1154" w:type="pct"/>
            <w:tcBorders>
              <w:top w:val="single" w:color="auto" w:sz="4" w:space="0"/>
              <w:left w:val="nil"/>
              <w:bottom w:val="single" w:color="auto" w:sz="4" w:space="0"/>
              <w:right w:val="single" w:color="auto" w:sz="4" w:space="0"/>
            </w:tcBorders>
            <w:shd w:val="clear" w:color="000000" w:fill="BEBEBE"/>
            <w:vAlign w:val="center"/>
          </w:tcPr>
          <w:p w14:paraId="53B3DB46">
            <w:pPr>
              <w:jc w:val="center"/>
              <w:rPr>
                <w:rFonts w:hint="eastAsia"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得分率</w:t>
            </w:r>
          </w:p>
        </w:tc>
      </w:tr>
      <w:tr w14:paraId="367469EF">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3D82C43B">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1099" w:type="pct"/>
            <w:tcBorders>
              <w:top w:val="nil"/>
              <w:left w:val="nil"/>
              <w:bottom w:val="single" w:color="auto" w:sz="4" w:space="0"/>
              <w:right w:val="single" w:color="auto" w:sz="4" w:space="0"/>
            </w:tcBorders>
            <w:shd w:val="clear" w:color="auto" w:fill="auto"/>
            <w:vAlign w:val="center"/>
          </w:tcPr>
          <w:p w14:paraId="6437F436">
            <w:pPr>
              <w:jc w:val="center"/>
              <w:rPr>
                <w:rFonts w:hint="default" w:eastAsia="仿宋_GB2312" w:cs="Times New Roman"/>
                <w:color w:val="000000"/>
                <w:sz w:val="21"/>
                <w:szCs w:val="21"/>
                <w:lang w:val="en-US" w:eastAsia="zh-CN"/>
              </w:rPr>
            </w:pPr>
            <w:r>
              <w:rPr>
                <w:rFonts w:hint="default" w:eastAsia="仿宋_GB2312" w:cs="Times New Roman"/>
                <w:color w:val="000000"/>
                <w:sz w:val="21"/>
                <w:szCs w:val="21"/>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4DA6D788">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70D5883D">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100</w:t>
            </w:r>
          </w:p>
        </w:tc>
      </w:tr>
      <w:tr w14:paraId="70273227">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0ACBD86A">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1099" w:type="pct"/>
            <w:tcBorders>
              <w:top w:val="nil"/>
              <w:left w:val="nil"/>
              <w:bottom w:val="single" w:color="auto" w:sz="4" w:space="0"/>
              <w:right w:val="single" w:color="auto" w:sz="4" w:space="0"/>
            </w:tcBorders>
            <w:shd w:val="clear" w:color="auto" w:fill="auto"/>
            <w:vAlign w:val="center"/>
          </w:tcPr>
          <w:p w14:paraId="0FE27C56">
            <w:pPr>
              <w:jc w:val="center"/>
              <w:rPr>
                <w:rFonts w:hint="default" w:eastAsia="仿宋_GB2312" w:cs="Times New Roman"/>
                <w:color w:val="000000"/>
                <w:sz w:val="21"/>
                <w:szCs w:val="21"/>
                <w:lang w:val="en-US" w:eastAsia="zh-CN"/>
              </w:rPr>
            </w:pPr>
            <w:r>
              <w:rPr>
                <w:rFonts w:hint="default" w:eastAsia="仿宋_GB2312" w:cs="Times New Roman"/>
                <w:color w:val="000000"/>
                <w:sz w:val="21"/>
                <w:szCs w:val="21"/>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799658BA">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24CA7045">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100</w:t>
            </w:r>
          </w:p>
        </w:tc>
      </w:tr>
      <w:tr w14:paraId="3CBDC7D9">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5A1533BD">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1099" w:type="pct"/>
            <w:tcBorders>
              <w:top w:val="nil"/>
              <w:left w:val="nil"/>
              <w:bottom w:val="single" w:color="auto" w:sz="4" w:space="0"/>
              <w:right w:val="single" w:color="auto" w:sz="4" w:space="0"/>
            </w:tcBorders>
            <w:shd w:val="clear" w:color="auto" w:fill="auto"/>
            <w:vAlign w:val="center"/>
          </w:tcPr>
          <w:p w14:paraId="234528A8">
            <w:pPr>
              <w:jc w:val="center"/>
              <w:rPr>
                <w:rFonts w:hint="default" w:eastAsia="仿宋_GB2312" w:cs="Times New Roman"/>
                <w:color w:val="000000"/>
                <w:sz w:val="21"/>
                <w:szCs w:val="21"/>
                <w:lang w:val="en-US" w:eastAsia="zh-CN"/>
              </w:rPr>
            </w:pPr>
            <w:r>
              <w:rPr>
                <w:rFonts w:hint="default" w:eastAsia="仿宋_GB2312" w:cs="Times New Roman"/>
                <w:color w:val="000000"/>
                <w:sz w:val="21"/>
                <w:szCs w:val="21"/>
                <w:lang w:val="en-US" w:eastAsia="zh-CN"/>
              </w:rPr>
              <w:t>40</w:t>
            </w:r>
          </w:p>
        </w:tc>
        <w:tc>
          <w:tcPr>
            <w:tcW w:w="1154" w:type="pct"/>
            <w:tcBorders>
              <w:top w:val="nil"/>
              <w:left w:val="nil"/>
              <w:bottom w:val="single" w:color="auto" w:sz="4" w:space="0"/>
              <w:right w:val="single" w:color="auto" w:sz="4" w:space="0"/>
            </w:tcBorders>
            <w:shd w:val="clear" w:color="auto" w:fill="auto"/>
            <w:vAlign w:val="center"/>
          </w:tcPr>
          <w:p w14:paraId="4363F42D">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30</w:t>
            </w:r>
          </w:p>
        </w:tc>
        <w:tc>
          <w:tcPr>
            <w:tcW w:w="1154" w:type="pct"/>
            <w:tcBorders>
              <w:top w:val="nil"/>
              <w:left w:val="nil"/>
              <w:bottom w:val="single" w:color="auto" w:sz="4" w:space="0"/>
              <w:right w:val="single" w:color="auto" w:sz="4" w:space="0"/>
            </w:tcBorders>
            <w:shd w:val="clear" w:color="auto" w:fill="auto"/>
            <w:vAlign w:val="center"/>
          </w:tcPr>
          <w:p w14:paraId="2A98325B">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75</w:t>
            </w:r>
          </w:p>
        </w:tc>
      </w:tr>
      <w:tr w14:paraId="75AEF9B1">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5A09CCEC">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1099" w:type="pct"/>
            <w:tcBorders>
              <w:top w:val="nil"/>
              <w:left w:val="nil"/>
              <w:bottom w:val="single" w:color="auto" w:sz="4" w:space="0"/>
              <w:right w:val="single" w:color="auto" w:sz="4" w:space="0"/>
            </w:tcBorders>
            <w:shd w:val="clear" w:color="auto" w:fill="auto"/>
            <w:vAlign w:val="center"/>
          </w:tcPr>
          <w:p w14:paraId="251E088D">
            <w:pPr>
              <w:jc w:val="center"/>
              <w:rPr>
                <w:rFonts w:hint="default" w:eastAsia="仿宋_GB2312" w:cs="Times New Roman"/>
                <w:color w:val="000000"/>
                <w:sz w:val="21"/>
                <w:szCs w:val="21"/>
                <w:lang w:val="en-US" w:eastAsia="zh-CN"/>
              </w:rPr>
            </w:pPr>
            <w:r>
              <w:rPr>
                <w:rFonts w:hint="default" w:eastAsia="仿宋_GB2312" w:cs="Times New Roman"/>
                <w:color w:val="000000"/>
                <w:sz w:val="21"/>
                <w:szCs w:val="21"/>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529D30E0">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5EFE7712">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100</w:t>
            </w:r>
          </w:p>
        </w:tc>
      </w:tr>
      <w:tr w14:paraId="10685A19">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3E73B6BE">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1099" w:type="pct"/>
            <w:tcBorders>
              <w:top w:val="nil"/>
              <w:left w:val="nil"/>
              <w:bottom w:val="single" w:color="auto" w:sz="4" w:space="0"/>
              <w:right w:val="single" w:color="auto" w:sz="4" w:space="0"/>
            </w:tcBorders>
            <w:shd w:val="clear" w:color="auto" w:fill="auto"/>
            <w:vAlign w:val="center"/>
          </w:tcPr>
          <w:p w14:paraId="3C53F639">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1154" w:type="pct"/>
            <w:tcBorders>
              <w:top w:val="nil"/>
              <w:left w:val="nil"/>
              <w:bottom w:val="single" w:color="auto" w:sz="4" w:space="0"/>
              <w:right w:val="single" w:color="auto" w:sz="4" w:space="0"/>
            </w:tcBorders>
            <w:shd w:val="clear" w:color="auto" w:fill="auto"/>
            <w:vAlign w:val="center"/>
          </w:tcPr>
          <w:p w14:paraId="75B1DD5D">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90</w:t>
            </w:r>
          </w:p>
        </w:tc>
        <w:tc>
          <w:tcPr>
            <w:tcW w:w="1154" w:type="pct"/>
            <w:tcBorders>
              <w:top w:val="nil"/>
              <w:left w:val="nil"/>
              <w:bottom w:val="single" w:color="auto" w:sz="4" w:space="0"/>
              <w:right w:val="single" w:color="auto" w:sz="4" w:space="0"/>
            </w:tcBorders>
            <w:shd w:val="clear" w:color="auto" w:fill="auto"/>
            <w:vAlign w:val="center"/>
          </w:tcPr>
          <w:p w14:paraId="25A9A240">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90</w:t>
            </w:r>
          </w:p>
        </w:tc>
      </w:tr>
    </w:tbl>
    <w:p w14:paraId="4FDD98D3">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14:paraId="10458E40">
      <w:pPr>
        <w:pStyle w:val="9"/>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14:paraId="5041363B">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5B55F315">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14:paraId="506B706A">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14:paraId="7319869F">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w:t>
      </w:r>
      <w:r>
        <w:rPr>
          <w:rFonts w:hint="eastAsia" w:eastAsia="仿宋_GB2312" w:cs="Times New Roman"/>
          <w:sz w:val="32"/>
          <w:szCs w:val="32"/>
          <w:lang w:val="en-US" w:eastAsia="zh-CN"/>
        </w:rPr>
        <w:t>根据塔地财教[2024]26号塔城地区财政局关于下达2024年中央改善普通高中学校办学条件补助资金预算（第二批）的通知</w:t>
      </w:r>
      <w:r>
        <w:rPr>
          <w:rFonts w:hint="default" w:ascii="Times New Roman" w:hAnsi="Times New Roman" w:eastAsia="仿宋_GB2312" w:cs="Times New Roman"/>
          <w:sz w:val="32"/>
          <w:szCs w:val="32"/>
          <w:lang w:val="en-US" w:eastAsia="zh-CN"/>
        </w:rPr>
        <w:t>，符合行业规划要求，围绕本年度工作重点和工作计划制定经费预算，属于公共财政支持范围。本项目与部门内部其他相关项目不重复。部门发展规划及职能文件等归档完整。</w:t>
      </w:r>
    </w:p>
    <w:p w14:paraId="25D05F75">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14:paraId="79006843">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项目申请、设立过程符合相关要求，严格按照审批流程准备符合要求的文件、材料；</w:t>
      </w:r>
      <w:r>
        <w:rPr>
          <w:rFonts w:hint="default" w:ascii="Times New Roman" w:hAnsi="Times New Roman" w:eastAsia="仿宋_GB2312" w:cs="Times New Roman"/>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风险评估、绩效评估、集体决策，保障了程序的规范性。</w:t>
      </w:r>
    </w:p>
    <w:p w14:paraId="4762DCF7">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14:paraId="05FDF632">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14:paraId="0DC85BD5">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79FE1B0E">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14:paraId="3BBF84E0">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4F1413CC">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63E2955F">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14:paraId="6F582C3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24DDB218">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74FFB312">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3541A0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233E68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75F9FF0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69B604C8">
      <w:pPr>
        <w:pStyle w:val="9"/>
        <w:numPr>
          <w:ilvl w:val="0"/>
          <w:numId w:val="4"/>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14:paraId="48DEF225">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57EFC986">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14:paraId="1219C8F1">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14:paraId="6523F65C">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456.6</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14:paraId="05C355EC">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14:paraId="0713BBC6">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456.6</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0293D137">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14:paraId="2D89AD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150DEAA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7766267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7770FD7D">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14:paraId="70BC128A">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14:paraId="6539097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w:t>
      </w:r>
      <w:r>
        <w:rPr>
          <w:rFonts w:hint="eastAsia" w:eastAsia="仿宋_GB2312" w:cs="Times New Roman"/>
          <w:sz w:val="32"/>
          <w:szCs w:val="32"/>
          <w:highlight w:val="none"/>
          <w:lang w:eastAsia="zh-CN"/>
        </w:rPr>
        <w:t>一是资金申报：项目办向财政局报送学前教育发展资金材料，申请资金</w:t>
      </w:r>
      <w:r>
        <w:rPr>
          <w:rFonts w:hint="eastAsia" w:eastAsia="仿宋_GB2312" w:cs="Times New Roman"/>
          <w:sz w:val="32"/>
          <w:szCs w:val="32"/>
          <w:highlight w:val="none"/>
          <w:lang w:val="en-US" w:eastAsia="zh-CN"/>
        </w:rPr>
        <w:t>；二是我单位制定项目详细计划，成立项目小组，小组成员按照计划执行任务，完成项目工作同时定期对项目进度进行监控，确保项目按目标进行，若存在偏差，及时分析原因，出具解决措施；三是对项目成本进行管理，制定项目成本预算，定期对项目成本进行监控，对比实际成本与预算成本，及时发现成本偏差，分析原因，采取措施控制成本；四是完成项目验收后，进行项目总结，总结经验教训，编写项目总结报告等。</w:t>
      </w:r>
      <w:r>
        <w:rPr>
          <w:rFonts w:hint="default" w:ascii="Times New Roman" w:hAnsi="Times New Roman" w:eastAsia="仿宋_GB2312" w:cs="Times New Roman"/>
          <w:sz w:val="32"/>
          <w:szCs w:val="32"/>
          <w:highlight w:val="none"/>
          <w:lang w:eastAsia="zh-CN"/>
        </w:rPr>
        <w:t>为项目的成功实施提供了坚实的制度保障。项目管理制度的制定紧密结合了项目的特点与实际情况，涵盖了项目的策划、组织、实施、监控与收尾等各个环节。</w:t>
      </w:r>
    </w:p>
    <w:p w14:paraId="3E67328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14:paraId="085DA8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63A8C168">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38950901">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14:paraId="61E4E4B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14:paraId="31072B9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61C797A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14:paraId="6AE5E964">
      <w:pPr>
        <w:pStyle w:val="10"/>
        <w:numPr>
          <w:ilvl w:val="0"/>
          <w:numId w:val="4"/>
        </w:numPr>
        <w:spacing w:line="560" w:lineRule="exact"/>
        <w:ind w:firstLine="643"/>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项目产出</w:t>
      </w:r>
      <w:r>
        <w:rPr>
          <w:rFonts w:hint="default" w:ascii="Times New Roman" w:hAnsi="Times New Roman" w:eastAsia="楷体_GB2312" w:cs="Times New Roman"/>
          <w:b/>
          <w:bCs/>
          <w:sz w:val="32"/>
          <w:szCs w:val="32"/>
          <w:highlight w:val="none"/>
          <w:lang w:val="en-US" w:eastAsia="zh-CN"/>
        </w:rPr>
        <w:t>情况</w:t>
      </w:r>
    </w:p>
    <w:p w14:paraId="1BE8B160">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30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75</w:t>
      </w:r>
      <w:r>
        <w:rPr>
          <w:rFonts w:hint="default" w:ascii="Times New Roman" w:hAnsi="Times New Roman" w:eastAsia="仿宋_GB2312" w:cs="Times New Roman"/>
          <w:sz w:val="32"/>
          <w:szCs w:val="32"/>
          <w:highlight w:val="none"/>
          <w:lang w:val="en-US" w:eastAsia="zh-CN"/>
        </w:rPr>
        <w:t>%。具体产出指标完成情况如下：</w:t>
      </w:r>
    </w:p>
    <w:p w14:paraId="33B47D25">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199AC4FE">
      <w:pPr>
        <w:shd w:val="clear" w:color="auto" w:fill="auto"/>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指标1：化学设备数量，指标值：&gt;=1套 ，实际完成值：</w:t>
      </w:r>
      <w:r>
        <w:rPr>
          <w:rFonts w:hint="eastAsia" w:eastAsia="仿宋_GB2312" w:cs="Times New Roman"/>
          <w:sz w:val="32"/>
          <w:szCs w:val="32"/>
          <w:highlight w:val="none"/>
          <w:lang w:val="en-US" w:eastAsia="zh-CN"/>
        </w:rPr>
        <w:t>1套</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14:paraId="3B51FEA1">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14:paraId="0A73ACDC">
      <w:pPr>
        <w:shd w:val="clear" w:color="auto" w:fill="auto"/>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指标1：设备采购合格率，指标值：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，实际完成值：</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偏差原因：2024年改善普通高中学校办学条件项目正在进行办理验收手续，导致2024年年底为进行验收，计划2025年结束并进行验收工作；改进措施：加大监督力，督促施工单位加快施工进程，按照计划完成施工及验收工作。</w:t>
      </w:r>
    </w:p>
    <w:p w14:paraId="18985914">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14:paraId="6E17B7C7">
      <w:pPr>
        <w:shd w:val="clear" w:color="auto" w:fill="auto"/>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指标1：支金支付及时率，指标值：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14:paraId="51176C13">
      <w:pPr>
        <w:shd w:val="clear" w:color="auto" w:fill="auto"/>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：项目完成时间 ，指标值：</w:t>
      </w:r>
      <w:r>
        <w:rPr>
          <w:rFonts w:hint="eastAsia" w:eastAsia="仿宋_GB2312" w:cs="Times New Roman"/>
          <w:sz w:val="32"/>
          <w:szCs w:val="32"/>
          <w:highlight w:val="none"/>
          <w:lang w:val="en-US" w:eastAsia="zh-CN"/>
        </w:rPr>
        <w:t>=2024年12月25日前</w:t>
      </w:r>
      <w:r>
        <w:rPr>
          <w:rFonts w:hint="default" w:ascii="Times New Roman" w:hAnsi="Times New Roman" w:eastAsia="仿宋_GB2312" w:cs="Times New Roman"/>
          <w:sz w:val="32"/>
          <w:szCs w:val="32"/>
          <w:highlight w:val="none"/>
        </w:rPr>
        <w:t xml:space="preserve"> ，实际完成值：</w:t>
      </w:r>
      <w:r>
        <w:rPr>
          <w:rFonts w:hint="eastAsia" w:eastAsia="仿宋_GB2312" w:cs="Times New Roman"/>
          <w:sz w:val="32"/>
          <w:szCs w:val="32"/>
          <w:highlight w:val="none"/>
          <w:lang w:val="en-US" w:eastAsia="zh-CN"/>
        </w:rPr>
        <w:t>2024年12月20日</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14:paraId="6A6363F1">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14:paraId="0F193F3B">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指标1：化学设备采购成本，指标值：&gt;=456.60万元，实际完成值：</w:t>
      </w:r>
      <w:r>
        <w:rPr>
          <w:rFonts w:hint="eastAsia" w:eastAsia="仿宋_GB2312" w:cs="Times New Roman"/>
          <w:sz w:val="32"/>
          <w:szCs w:val="32"/>
          <w:highlight w:val="none"/>
          <w:lang w:val="en-US" w:eastAsia="zh-CN"/>
        </w:rPr>
        <w:t>456.6万元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14:paraId="6BB7A797">
      <w:pPr>
        <w:pStyle w:val="10"/>
        <w:numPr>
          <w:ilvl w:val="0"/>
          <w:numId w:val="4"/>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14:paraId="348432D7">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14:paraId="16B53725">
      <w:pPr>
        <w:numPr>
          <w:ilvl w:val="0"/>
          <w:numId w:val="5"/>
        </w:num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实施效益</w:t>
      </w:r>
    </w:p>
    <w:p w14:paraId="52F8DDB6">
      <w:pPr>
        <w:numPr>
          <w:ilvl w:val="0"/>
          <w:numId w:val="0"/>
        </w:num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社会效益指标：</w:t>
      </w:r>
    </w:p>
    <w:p w14:paraId="4150D6BA">
      <w:pPr>
        <w:shd w:val="clear" w:color="auto" w:fill="auto"/>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指标1：改善高中办学条件，指标值：有效改善，实际完成值</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有效改善，指标完成率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14:paraId="051726DE">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14:paraId="2F266667">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指标1：教师满意度，指标值：&gt;=95%，实际完成值</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97.32%，指标完成率</w:t>
      </w:r>
      <w:r>
        <w:rPr>
          <w:rFonts w:hint="eastAsia" w:eastAsia="仿宋_GB2312" w:cs="Times New Roman"/>
          <w:sz w:val="32"/>
          <w:szCs w:val="32"/>
          <w:highlight w:val="none"/>
          <w:lang w:val="en-US" w:eastAsia="zh-CN"/>
        </w:rPr>
        <w:t>102.4</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14:paraId="2AFB336C">
      <w:pPr>
        <w:spacing w:line="560" w:lineRule="exact"/>
        <w:ind w:firstLine="643" w:firstLineChars="200"/>
        <w:rPr>
          <w:rFonts w:hint="default" w:ascii="Times New Roman" w:hAnsi="Times New Roman" w:eastAsia="楷体_GB2312" w:cs="Times New Roman"/>
          <w:b/>
          <w:bCs/>
          <w:sz w:val="32"/>
          <w:szCs w:val="32"/>
          <w:lang w:val="en-U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rPr>
        <w:t>预算执行进度与绩效指标总体完成率偏差</w:t>
      </w:r>
    </w:p>
    <w:p w14:paraId="03517E4F">
      <w:pPr>
        <w:pStyle w:val="20"/>
        <w:spacing w:line="560" w:lineRule="exact"/>
        <w:ind w:firstLine="640"/>
        <w:rPr>
          <w:rFonts w:hint="default" w:ascii="Times New Roman" w:hAnsi="Times New Roman" w:eastAsia="方正仿宋_GBK" w:cs="Times New Roman"/>
          <w:sz w:val="32"/>
          <w:szCs w:val="32"/>
          <w:highlight w:val="none"/>
        </w:rPr>
      </w:pPr>
      <w:r>
        <w:rPr>
          <w:rFonts w:hint="default" w:eastAsia="仿宋_GB2312" w:cs="Times New Roman"/>
          <w:sz w:val="32"/>
          <w:szCs w:val="32"/>
          <w:highlight w:val="none"/>
          <w:lang w:val="en-US" w:eastAsia="zh-CN"/>
        </w:rPr>
        <w:t>2024年改善普通高中学校办学条件补助资金项目年初预算</w:t>
      </w:r>
      <w:r>
        <w:rPr>
          <w:rFonts w:hint="eastAsia" w:eastAsia="仿宋_GB2312" w:cs="Times New Roman"/>
          <w:sz w:val="32"/>
          <w:szCs w:val="32"/>
          <w:highlight w:val="none"/>
          <w:lang w:val="en-US" w:eastAsia="zh-CN"/>
        </w:rPr>
        <w:t>456.6</w:t>
      </w:r>
      <w:r>
        <w:rPr>
          <w:rFonts w:hint="default" w:eastAsia="仿宋_GB2312" w:cs="Times New Roman"/>
          <w:sz w:val="32"/>
          <w:szCs w:val="32"/>
          <w:highlight w:val="none"/>
          <w:lang w:val="en-US" w:eastAsia="zh-CN"/>
        </w:rPr>
        <w:t>万元，全年预算</w:t>
      </w:r>
      <w:r>
        <w:rPr>
          <w:rFonts w:hint="eastAsia" w:eastAsia="仿宋_GB2312" w:cs="Times New Roman"/>
          <w:sz w:val="32"/>
          <w:szCs w:val="32"/>
          <w:highlight w:val="none"/>
          <w:lang w:val="en-US" w:eastAsia="zh-CN"/>
        </w:rPr>
        <w:t>456.6</w:t>
      </w:r>
      <w:r>
        <w:rPr>
          <w:rFonts w:hint="default" w:eastAsia="仿宋_GB2312" w:cs="Times New Roman"/>
          <w:sz w:val="32"/>
          <w:szCs w:val="32"/>
          <w:highlight w:val="none"/>
          <w:lang w:val="en-US" w:eastAsia="zh-CN"/>
        </w:rPr>
        <w:t>万元，实际支出</w:t>
      </w:r>
      <w:r>
        <w:rPr>
          <w:rFonts w:hint="eastAsia" w:eastAsia="仿宋_GB2312" w:cs="Times New Roman"/>
          <w:sz w:val="32"/>
          <w:szCs w:val="32"/>
          <w:highlight w:val="none"/>
          <w:lang w:val="en-US" w:eastAsia="zh-CN"/>
        </w:rPr>
        <w:t>456.6</w:t>
      </w:r>
      <w:r>
        <w:rPr>
          <w:rFonts w:hint="default"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%，项目绩效指标总体完成率为</w:t>
      </w:r>
      <w:r>
        <w:rPr>
          <w:rFonts w:hint="eastAsia" w:eastAsia="仿宋_GB2312" w:cs="Times New Roman"/>
          <w:sz w:val="32"/>
          <w:szCs w:val="32"/>
          <w:highlight w:val="none"/>
          <w:lang w:val="en-US" w:eastAsia="zh-CN"/>
        </w:rPr>
        <w:t>86.06</w:t>
      </w:r>
      <w:r>
        <w:rPr>
          <w:rFonts w:hint="default" w:eastAsia="仿宋_GB2312" w:cs="Times New Roman"/>
          <w:sz w:val="32"/>
          <w:szCs w:val="32"/>
          <w:highlight w:val="none"/>
          <w:lang w:val="en-US" w:eastAsia="zh-CN"/>
        </w:rPr>
        <w:t>%，</w:t>
      </w:r>
      <w:r>
        <w:rPr>
          <w:rFonts w:hint="default" w:eastAsia="仿宋_GB2312" w:cs="Times New Roman"/>
          <w:sz w:val="32"/>
          <w:szCs w:val="32"/>
          <w:highlight w:val="none"/>
          <w:lang w:val="en-US"/>
        </w:rPr>
        <w:t>总体</w:t>
      </w:r>
      <w:r>
        <w:rPr>
          <w:rFonts w:hint="default" w:eastAsia="仿宋_GB2312" w:cs="Times New Roman"/>
          <w:sz w:val="32"/>
          <w:szCs w:val="32"/>
          <w:highlight w:val="none"/>
          <w:lang w:val="en-US" w:eastAsia="zh-CN"/>
        </w:rPr>
        <w:t>偏差率为</w:t>
      </w:r>
      <w:r>
        <w:rPr>
          <w:rFonts w:hint="eastAsia" w:eastAsia="仿宋_GB2312" w:cs="Times New Roman"/>
          <w:sz w:val="32"/>
          <w:szCs w:val="32"/>
          <w:highlight w:val="none"/>
          <w:lang w:val="en-US" w:eastAsia="zh-CN"/>
        </w:rPr>
        <w:t>13.94</w:t>
      </w:r>
      <w:r>
        <w:rPr>
          <w:rFonts w:hint="default"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w:t>
      </w:r>
      <w:r>
        <w:rPr>
          <w:rFonts w:hint="default" w:eastAsia="仿宋_GB2312" w:cs="Times New Roman"/>
          <w:sz w:val="32"/>
          <w:szCs w:val="32"/>
          <w:highlight w:val="none"/>
          <w:lang w:val="en-US"/>
        </w:rPr>
        <w:t>偏差</w:t>
      </w:r>
      <w:r>
        <w:rPr>
          <w:rFonts w:hint="default" w:eastAsia="仿宋_GB2312" w:cs="Times New Roman"/>
          <w:sz w:val="32"/>
          <w:szCs w:val="32"/>
          <w:highlight w:val="none"/>
          <w:lang w:val="en-US" w:eastAsia="zh-CN"/>
        </w:rPr>
        <w:t>原因</w:t>
      </w:r>
      <w:r>
        <w:rPr>
          <w:rFonts w:hint="eastAsia" w:eastAsia="仿宋_GB2312" w:cs="Times New Roman"/>
          <w:sz w:val="32"/>
          <w:szCs w:val="32"/>
          <w:highlight w:val="none"/>
          <w:lang w:val="en-US" w:eastAsia="zh-CN"/>
        </w:rPr>
        <w:t>2024年改善普通高中学校办学条件项目正在进行办理验收手续，导致2024年年底为进行验收，计划2025年结束并进行验收工作</w:t>
      </w:r>
      <w:r>
        <w:rPr>
          <w:rFonts w:hint="default" w:eastAsia="仿宋_GB2312" w:cs="Times New Roman"/>
          <w:sz w:val="32"/>
          <w:szCs w:val="32"/>
          <w:highlight w:val="none"/>
          <w:lang w:val="en-US" w:eastAsia="zh-CN"/>
        </w:rPr>
        <w:t>，</w:t>
      </w:r>
      <w:r>
        <w:rPr>
          <w:rFonts w:hint="default" w:eastAsia="仿宋_GB2312" w:cs="Times New Roman"/>
          <w:sz w:val="32"/>
          <w:szCs w:val="32"/>
          <w:highlight w:val="none"/>
          <w:lang w:val="en-US"/>
        </w:rPr>
        <w:t>改进</w:t>
      </w:r>
      <w:r>
        <w:rPr>
          <w:rFonts w:hint="default" w:eastAsia="仿宋_GB2312" w:cs="Times New Roman"/>
          <w:sz w:val="32"/>
          <w:szCs w:val="32"/>
          <w:highlight w:val="none"/>
          <w:lang w:val="en-US" w:eastAsia="zh-CN"/>
        </w:rPr>
        <w:t>措施</w:t>
      </w:r>
      <w:r>
        <w:rPr>
          <w:rFonts w:hint="eastAsia" w:eastAsia="仿宋_GB2312" w:cs="Times New Roman"/>
          <w:sz w:val="32"/>
          <w:szCs w:val="32"/>
          <w:highlight w:val="none"/>
          <w:lang w:val="en-US" w:eastAsia="zh-CN"/>
        </w:rPr>
        <w:t>加大监督力，督促施工单位加快施工进程，按照计划完成施工及验收工作</w:t>
      </w:r>
      <w:r>
        <w:rPr>
          <w:rFonts w:hint="default" w:ascii="Times New Roman" w:hAnsi="Times New Roman" w:eastAsia="方正仿宋_GBK" w:cs="Times New Roman"/>
          <w:sz w:val="32"/>
          <w:szCs w:val="32"/>
          <w:highlight w:val="none"/>
        </w:rPr>
        <w:t>。</w:t>
      </w:r>
    </w:p>
    <w:p w14:paraId="3CA0368E">
      <w:pPr>
        <w:spacing w:line="560" w:lineRule="exact"/>
        <w:ind w:firstLine="640" w:firstLineChars="200"/>
        <w:rPr>
          <w:rStyle w:val="19"/>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黑体" w:cs="Times New Roman"/>
          <w:sz w:val="32"/>
          <w:szCs w:val="32"/>
        </w:rPr>
        <w:t>主要经验及做法、存在的问题及原因分析</w:t>
      </w:r>
    </w:p>
    <w:p w14:paraId="0961CCA6">
      <w:pPr>
        <w:spacing w:line="560" w:lineRule="exact"/>
        <w:ind w:firstLine="627" w:firstLineChars="200"/>
        <w:rPr>
          <w:rFonts w:hint="default" w:ascii="Times New Roman" w:hAnsi="Times New Roman" w:eastAsia="仿宋_GB2312" w:cs="Times New Roman"/>
          <w:sz w:val="32"/>
          <w:szCs w:val="32"/>
        </w:rPr>
      </w:pPr>
      <w:r>
        <w:rPr>
          <w:rFonts w:hint="default" w:ascii="Times New Roman" w:hAnsi="Times New Roman" w:eastAsia="楷体" w:cs="Times New Roman"/>
          <w:b/>
          <w:spacing w:val="-4"/>
          <w:sz w:val="32"/>
          <w:szCs w:val="32"/>
        </w:rPr>
        <w:t>（一）主要经验及做法</w:t>
      </w:r>
    </w:p>
    <w:p w14:paraId="7F31F856">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hint="default" w:ascii="Times New Roman" w:hAnsi="Times New Roman" w:eastAsia="仿宋_GB2312" w:cs="Times New Roman"/>
          <w:sz w:val="32"/>
          <w:szCs w:val="32"/>
          <w:lang w:eastAsia="zh-CN"/>
        </w:rPr>
        <w:t>准化需求导向：前期调研针对理、化、生学科特点设计差异化配置方案。例如化学实验室配备通风橱、洗眼器装置等安全设备，数字化探究实验室部署传感器数据采集系统，实现传统实验与现代技术深度融合。标准化采购流程：建立 "技术参数论证-厂家实地考察 -专家评审" 三级筛选机制，确保实验设备符合当前最佳需求</w:t>
      </w:r>
      <w:r>
        <w:rPr>
          <w:rFonts w:hint="eastAsia" w:eastAsia="仿宋_GB2312" w:cs="Times New Roman"/>
          <w:sz w:val="32"/>
          <w:szCs w:val="32"/>
          <w:lang w:eastAsia="zh-CN"/>
        </w:rPr>
        <w:t>。</w:t>
      </w:r>
    </w:p>
    <w:p w14:paraId="103E8BB5">
      <w:pPr>
        <w:pStyle w:val="9"/>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严格坚持先做事、后验收、再拨付的原则，</w:t>
      </w:r>
      <w:r>
        <w:rPr>
          <w:rFonts w:hint="eastAsia" w:ascii="Times New Roman" w:hAnsi="Times New Roman" w:eastAsia="仿宋_GB2312" w:cs="Times New Roman"/>
          <w:b w:val="0"/>
          <w:bCs w:val="0"/>
          <w:kern w:val="2"/>
          <w:lang w:eastAsia="zh-CN"/>
        </w:rPr>
        <w:t>杜绝</w:t>
      </w:r>
      <w:r>
        <w:rPr>
          <w:rFonts w:hint="default" w:ascii="Times New Roman" w:hAnsi="Times New Roman" w:eastAsia="仿宋_GB2312" w:cs="Times New Roman"/>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6AFEA110">
      <w:pPr>
        <w:rPr>
          <w:rFonts w:hint="default"/>
        </w:rPr>
      </w:pPr>
      <w:r>
        <w:rPr>
          <w:rFonts w:hint="default" w:ascii="Times New Roman" w:hAnsi="Times New Roman" w:eastAsia="仿宋_GB2312" w:cs="Times New Roman"/>
          <w:sz w:val="32"/>
          <w:szCs w:val="32"/>
          <w:lang w:eastAsia="zh-CN"/>
        </w:rPr>
        <w:t xml:space="preserve"> </w:t>
      </w:r>
    </w:p>
    <w:p w14:paraId="4BD4ED81">
      <w:pPr>
        <w:keepNext/>
        <w:keepLines/>
        <w:numPr>
          <w:ilvl w:val="0"/>
          <w:numId w:val="6"/>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14:paraId="639B3455">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干部分人员缺乏相关绩效管理专业知识，自评价工作还存在自我审定的局限性，影响评价质量。</w:t>
      </w:r>
    </w:p>
    <w:p w14:paraId="294EB93A">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14:paraId="42E0E61B">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六、</w:t>
      </w:r>
      <w:r>
        <w:rPr>
          <w:rFonts w:hint="default" w:ascii="Times New Roman" w:hAnsi="Times New Roman" w:eastAsia="黑体" w:cs="Times New Roman"/>
          <w:sz w:val="32"/>
          <w:szCs w:val="32"/>
        </w:rPr>
        <w:t>有关建议</w:t>
      </w:r>
    </w:p>
    <w:p w14:paraId="7F972E68">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w:t>
      </w:r>
      <w:r>
        <w:rPr>
          <w:rFonts w:hint="eastAsia" w:eastAsia="仿宋_GB2312" w:cs="Times New Roman"/>
          <w:sz w:val="32"/>
          <w:szCs w:val="32"/>
          <w:highlight w:val="none"/>
          <w:lang w:val="en-US" w:eastAsia="zh-CN"/>
        </w:rPr>
        <w:t>学习</w:t>
      </w:r>
      <w:r>
        <w:rPr>
          <w:rFonts w:hint="default" w:ascii="Times New Roman" w:hAnsi="Times New Roman" w:eastAsia="仿宋_GB2312" w:cs="Times New Roman"/>
          <w:sz w:val="32"/>
          <w:szCs w:val="32"/>
          <w:highlight w:val="none"/>
          <w:lang w:val="en-US" w:eastAsia="zh-CN"/>
        </w:rPr>
        <w:t>。积极</w:t>
      </w:r>
      <w:r>
        <w:rPr>
          <w:rFonts w:hint="eastAsia" w:eastAsia="仿宋_GB2312" w:cs="Times New Roman"/>
          <w:sz w:val="32"/>
          <w:szCs w:val="32"/>
          <w:highlight w:val="none"/>
          <w:lang w:val="en-US" w:eastAsia="zh-CN"/>
        </w:rPr>
        <w:t>观看有关绩效管理工作的培训视频，同时向第三方多请教学习</w:t>
      </w:r>
      <w:r>
        <w:rPr>
          <w:rFonts w:hint="default" w:ascii="Times New Roman" w:hAnsi="Times New Roman" w:eastAsia="仿宋_GB2312" w:cs="Times New Roman"/>
          <w:sz w:val="32"/>
          <w:szCs w:val="32"/>
          <w:highlight w:val="none"/>
          <w:lang w:val="en-US" w:eastAsia="zh-CN"/>
        </w:rPr>
        <w:t>，进一步夯实业务基础，提高我单位绩效人员水平。</w:t>
      </w:r>
    </w:p>
    <w:p w14:paraId="4ADCF6A7">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14:paraId="5A72C789">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143CDFA0">
      <w:pPr>
        <w:shd w:val="clear" w:color="auto" w:fill="auto"/>
        <w:spacing w:line="600" w:lineRule="exact"/>
        <w:ind w:firstLine="640" w:firstLineChars="200"/>
        <w:outlineLvl w:val="0"/>
        <w:rPr>
          <w:rFonts w:hint="default" w:ascii="Times New Roman" w:hAnsi="Times New Roman" w:cs="Times New Roman"/>
          <w:sz w:val="22"/>
          <w:szCs w:val="28"/>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rPr>
        <w:t>。</w:t>
      </w:r>
    </w:p>
    <w:p w14:paraId="07C267D6">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037B5490">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14:paraId="1D4EE74C">
      <w:pPr>
        <w:pStyle w:val="11"/>
        <w:spacing w:after="0" w:line="560" w:lineRule="exact"/>
        <w:ind w:left="0" w:leftChars="0"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本项目无其他需说明的问题。</w:t>
      </w:r>
    </w:p>
    <w:p w14:paraId="5EA97D18">
      <w:pPr>
        <w:pStyle w:val="11"/>
        <w:spacing w:after="0" w:line="560" w:lineRule="exact"/>
        <w:ind w:left="0" w:leftChars="0" w:firstLine="0" w:firstLineChars="0"/>
        <w:rPr>
          <w:rFonts w:hint="eastAsia" w:ascii="Times New Roman" w:hAnsi="Times New Roman" w:eastAsia="仿宋_GB2312" w:cs="Times New Roman"/>
          <w:sz w:val="32"/>
          <w:szCs w:val="32"/>
          <w:lang w:eastAsia="zh-CN"/>
        </w:rPr>
      </w:pPr>
    </w:p>
    <w:p w14:paraId="5EFDFFB8">
      <w:pPr>
        <w:pStyle w:val="11"/>
        <w:spacing w:after="0" w:line="560" w:lineRule="exact"/>
        <w:ind w:left="0" w:leftChars="0" w:firstLine="640"/>
        <w:rPr>
          <w:rFonts w:hint="default" w:ascii="Times New Roman" w:hAnsi="Times New Roman" w:eastAsia="仿宋_GB2312" w:cs="Times New Roman"/>
          <w:sz w:val="32"/>
          <w:szCs w:val="32"/>
        </w:rPr>
      </w:pPr>
    </w:p>
    <w:p w14:paraId="1E64B037">
      <w:pPr>
        <w:pStyle w:val="11"/>
        <w:spacing w:after="0" w:line="560" w:lineRule="exact"/>
        <w:ind w:left="0" w:leftChars="0" w:firstLine="640"/>
        <w:rPr>
          <w:rFonts w:hint="default" w:ascii="Times New Roman" w:hAnsi="Times New Roman" w:eastAsia="仿宋_GB2312" w:cs="Times New Roman"/>
          <w:sz w:val="32"/>
          <w:szCs w:val="32"/>
        </w:rPr>
      </w:pPr>
    </w:p>
    <w:p w14:paraId="5600E553">
      <w:pPr>
        <w:rPr>
          <w:rFonts w:hint="default" w:ascii="Times New Roman" w:hAnsi="Times New Roman" w:cs="Times New Roman"/>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9311058-A90F-408D-B49A-7037C85C436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embedRegular r:id="rId2" w:fontKey="{2E6EA0E7-0932-445C-9C2B-A11844B47FAC}"/>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embedRegular r:id="rId3" w:fontKey="{5DC142E5-E55D-4121-86D8-E08D6029E078}"/>
  </w:font>
  <w:font w:name="方正小标宋_GBK">
    <w:panose1 w:val="02000000000000000000"/>
    <w:charset w:val="86"/>
    <w:family w:val="script"/>
    <w:pitch w:val="default"/>
    <w:sig w:usb0="A00002BF" w:usb1="38CF7CFA" w:usb2="00082016" w:usb3="00000000" w:csb0="00040001" w:csb1="00000000"/>
    <w:embedRegular r:id="rId4" w:fontKey="{B3E50183-08E4-4332-A778-96D27518F4C8}"/>
  </w:font>
  <w:font w:name="楷体_GB2312">
    <w:altName w:val="楷体"/>
    <w:panose1 w:val="02010609030101010101"/>
    <w:charset w:val="86"/>
    <w:family w:val="auto"/>
    <w:pitch w:val="default"/>
    <w:sig w:usb0="00000000" w:usb1="00000000" w:usb2="00000000" w:usb3="00000000" w:csb0="00040000" w:csb1="00000000"/>
    <w:embedRegular r:id="rId5" w:fontKey="{8301DE27-E8D5-4A5C-A690-C6CA9AE7F732}"/>
  </w:font>
  <w:font w:name="楷体">
    <w:panose1 w:val="02010609060101010101"/>
    <w:charset w:val="86"/>
    <w:family w:val="modern"/>
    <w:pitch w:val="default"/>
    <w:sig w:usb0="800002BF" w:usb1="38CF7CFA" w:usb2="00000016" w:usb3="00000000" w:csb0="00040001" w:csb1="00000000"/>
    <w:embedRegular r:id="rId6" w:fontKey="{90371C57-D443-4817-B625-61C7F413D745}"/>
  </w:font>
  <w:font w:name="方正仿宋_GBK">
    <w:altName w:val="微软雅黑"/>
    <w:panose1 w:val="03000509000000000000"/>
    <w:charset w:val="86"/>
    <w:family w:val="auto"/>
    <w:pitch w:val="default"/>
    <w:sig w:usb0="00000000" w:usb1="00000000" w:usb2="00000000" w:usb3="00000000" w:csb0="00040000" w:csb1="00000000"/>
    <w:embedRegular r:id="rId7" w:fontKey="{00C13C18-CD61-472F-886F-9B23F8275A3A}"/>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68941184">
        <w:pPr>
          <w:pStyle w:val="6"/>
          <w:jc w:val="center"/>
        </w:pPr>
        <w:r>
          <w:fldChar w:fldCharType="begin"/>
        </w:r>
        <w:r>
          <w:instrText xml:space="preserve">PAGE   \* MERGEFORMAT</w:instrText>
        </w:r>
        <w:r>
          <w:fldChar w:fldCharType="separate"/>
        </w:r>
        <w:r>
          <w:rPr>
            <w:lang w:val="zh-CN"/>
          </w:rPr>
          <w:t>13</w:t>
        </w:r>
        <w:r>
          <w:fldChar w:fldCharType="end"/>
        </w:r>
      </w:p>
    </w:sdtContent>
  </w:sdt>
  <w:p w14:paraId="0E61F119">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1"/>
      <w:numFmt w:val="decimal"/>
      <w:lvlText w:val="%1."/>
      <w:lvlJc w:val="left"/>
      <w:pPr>
        <w:tabs>
          <w:tab w:val="left" w:pos="312"/>
        </w:tabs>
      </w:pPr>
    </w:lvl>
  </w:abstractNum>
  <w:abstractNum w:abstractNumId="1">
    <w:nsid w:val="BF205925"/>
    <w:multiLevelType w:val="singleLevel"/>
    <w:tmpl w:val="BF205925"/>
    <w:lvl w:ilvl="0" w:tentative="0">
      <w:start w:val="2"/>
      <w:numFmt w:val="chineseCounting"/>
      <w:suff w:val="nothing"/>
      <w:lvlText w:val="（%1）"/>
      <w:lvlJc w:val="left"/>
      <w:rPr>
        <w:rFonts w:hint="eastAsia"/>
      </w:rPr>
    </w:lvl>
  </w:abstractNum>
  <w:abstractNum w:abstractNumId="2">
    <w:nsid w:val="CF092B84"/>
    <w:multiLevelType w:val="singleLevel"/>
    <w:tmpl w:val="CF092B84"/>
    <w:lvl w:ilvl="0" w:tentative="0">
      <w:start w:val="3"/>
      <w:numFmt w:val="chineseCounting"/>
      <w:suff w:val="nothing"/>
      <w:lvlText w:val="（%1）"/>
      <w:lvlJc w:val="left"/>
      <w:rPr>
        <w:rFonts w:hint="eastAsia"/>
      </w:rPr>
    </w:lvl>
  </w:abstractNum>
  <w:abstractNum w:abstractNumId="3">
    <w:nsid w:val="0053208E"/>
    <w:multiLevelType w:val="singleLevel"/>
    <w:tmpl w:val="0053208E"/>
    <w:lvl w:ilvl="0" w:tentative="0">
      <w:start w:val="1"/>
      <w:numFmt w:val="decimal"/>
      <w:suff w:val="nothing"/>
      <w:lvlText w:val="（%1）"/>
      <w:lvlJc w:val="left"/>
      <w:pPr>
        <w:ind w:left="-220"/>
      </w:pPr>
    </w:lvl>
  </w:abstractNum>
  <w:abstractNum w:abstractNumId="4">
    <w:nsid w:val="03D62ECE"/>
    <w:multiLevelType w:val="singleLevel"/>
    <w:tmpl w:val="03D62ECE"/>
    <w:lvl w:ilvl="0" w:tentative="0">
      <w:start w:val="2"/>
      <w:numFmt w:val="chineseCounting"/>
      <w:suff w:val="nothing"/>
      <w:lvlText w:val="（%1）"/>
      <w:lvlJc w:val="left"/>
      <w:rPr>
        <w:rFonts w:hint="eastAsia"/>
      </w:rPr>
    </w:lvl>
  </w:abstractNum>
  <w:abstractNum w:abstractNumId="5">
    <w:nsid w:val="59ADCABA"/>
    <w:multiLevelType w:val="singleLevel"/>
    <w:tmpl w:val="59ADCABA"/>
    <w:lvl w:ilvl="0" w:tentative="0">
      <w:start w:val="3"/>
      <w:numFmt w:val="chineseCounting"/>
      <w:suff w:val="nothing"/>
      <w:lvlText w:val="%1、"/>
      <w:lvlJc w:val="left"/>
      <w:rPr>
        <w:rFonts w:hint="eastAsia"/>
      </w:rPr>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kY2RlOTAzMDVhOTgwYWVlNGQyMGNkMTJjMzM4MzMifQ=="/>
  </w:docVars>
  <w:rsids>
    <w:rsidRoot w:val="00000000"/>
    <w:rsid w:val="5CFE462D"/>
    <w:rsid w:val="5F95271F"/>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4">
    <w:name w:val="Body Text Indent"/>
    <w:basedOn w:val="1"/>
    <w:qFormat/>
    <w:uiPriority w:val="0"/>
    <w:pPr>
      <w:spacing w:after="120"/>
      <w:ind w:left="420" w:leftChars="200"/>
    </w:pPr>
    <w:rPr>
      <w:rFonts w:ascii="Calibri" w:hAnsi="Calibri"/>
    </w:rPr>
  </w:style>
  <w:style w:type="paragraph" w:styleId="5">
    <w:name w:val="Balloon Text"/>
    <w:basedOn w:val="1"/>
    <w:link w:val="21"/>
    <w:qFormat/>
    <w:uiPriority w:val="0"/>
    <w:rPr>
      <w:sz w:val="18"/>
      <w:szCs w:val="18"/>
    </w:rPr>
  </w:style>
  <w:style w:type="paragraph" w:styleId="6">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7">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rPr>
  </w:style>
  <w:style w:type="paragraph" w:styleId="9">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0">
    <w:name w:val="Body Text First Indent"/>
    <w:basedOn w:val="3"/>
    <w:qFormat/>
    <w:uiPriority w:val="0"/>
    <w:pPr>
      <w:spacing w:after="0"/>
      <w:ind w:firstLine="200" w:firstLineChars="200"/>
    </w:pPr>
  </w:style>
  <w:style w:type="paragraph" w:styleId="11">
    <w:name w:val="Body Text First Indent 2"/>
    <w:basedOn w:val="4"/>
    <w:qFormat/>
    <w:uiPriority w:val="0"/>
    <w:pPr>
      <w:ind w:firstLine="420" w:firstLineChars="200"/>
    </w:pPr>
  </w:style>
  <w:style w:type="table" w:styleId="1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Strong"/>
    <w:basedOn w:val="14"/>
    <w:qFormat/>
    <w:uiPriority w:val="0"/>
    <w:rPr>
      <w:b/>
      <w:bCs/>
    </w:rPr>
  </w:style>
  <w:style w:type="paragraph" w:customStyle="1" w:styleId="16">
    <w:name w:val="Comment Text"/>
    <w:basedOn w:val="1"/>
    <w:link w:val="23"/>
    <w:qFormat/>
    <w:uiPriority w:val="0"/>
    <w:pPr>
      <w:jc w:val="left"/>
    </w:pPr>
  </w:style>
  <w:style w:type="paragraph" w:customStyle="1" w:styleId="17">
    <w:name w:val="Comment Subject"/>
    <w:basedOn w:val="16"/>
    <w:next w:val="16"/>
    <w:link w:val="24"/>
    <w:qFormat/>
    <w:uiPriority w:val="0"/>
    <w:rPr>
      <w:b/>
      <w:bCs/>
    </w:rPr>
  </w:style>
  <w:style w:type="character" w:customStyle="1" w:styleId="18">
    <w:name w:val="Comment Reference"/>
    <w:basedOn w:val="14"/>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4"/>
    <w:link w:val="5"/>
    <w:qFormat/>
    <w:uiPriority w:val="0"/>
    <w:rPr>
      <w:rFonts w:ascii="Times New Roman" w:hAnsi="Times New Roman" w:eastAsia="宋体" w:cs="Times New Roman"/>
      <w:kern w:val="2"/>
      <w:sz w:val="18"/>
      <w:szCs w:val="18"/>
    </w:rPr>
  </w:style>
  <w:style w:type="character" w:customStyle="1" w:styleId="22">
    <w:name w:val="页眉 字符"/>
    <w:basedOn w:val="14"/>
    <w:link w:val="7"/>
    <w:qFormat/>
    <w:uiPriority w:val="0"/>
    <w:rPr>
      <w:rFonts w:ascii="Times New Roman" w:hAnsi="Times New Roman" w:eastAsia="宋体" w:cs="Times New Roman"/>
      <w:kern w:val="2"/>
      <w:sz w:val="18"/>
      <w:szCs w:val="18"/>
    </w:rPr>
  </w:style>
  <w:style w:type="character" w:customStyle="1" w:styleId="23">
    <w:name w:val="批注文字 字符"/>
    <w:basedOn w:val="14"/>
    <w:link w:val="16"/>
    <w:qFormat/>
    <w:uiPriority w:val="0"/>
    <w:rPr>
      <w:rFonts w:ascii="Times New Roman" w:hAnsi="Times New Roman" w:eastAsia="宋体" w:cs="Times New Roman"/>
      <w:kern w:val="2"/>
      <w:sz w:val="21"/>
      <w:szCs w:val="24"/>
    </w:rPr>
  </w:style>
  <w:style w:type="character" w:customStyle="1" w:styleId="24">
    <w:name w:val="批注主题 字符"/>
    <w:basedOn w:val="23"/>
    <w:link w:val="17"/>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7E68B1328A5F43F1BBC2CDCC8976F7E2_13</vt:lpwstr>
  </property>
  <property fmtid="{D5CDD505-2E9C-101B-9397-08002B2CF9AE}" pid="4" name="KSOTemplateDocerSaveRecord">
    <vt:lpwstr>eyJoZGlkIjoiMjI3ZGFiZDkxMmU0N2Q2ZDY4NjFjNDdhMzhmZjk3ZGIifQ==</vt:lpwstr>
  </property>
</Properties>
</file>

<file path=customXml/itemProps1.xml><?xml version="1.0" encoding="utf-8"?>
<ds:datastoreItem xmlns:ds="http://schemas.openxmlformats.org/officeDocument/2006/customXml" ds:itemID="{c3a9252e-7e03-4b0a-9bbf-09206b1f8761}">
  <ds:schemaRefs/>
</ds:datastoreItem>
</file>

<file path=docProps/app.xml><?xml version="1.0" encoding="utf-8"?>
<Properties xmlns="http://schemas.openxmlformats.org/officeDocument/2006/extended-properties" xmlns:vt="http://schemas.openxmlformats.org/officeDocument/2006/docPropsVTypes">
  <Template>Normal</Template>
  <Pages>22</Pages>
  <Words>4206</Words>
  <Characters>4333</Characters>
  <Lines>58</Lines>
  <Paragraphs>16</Paragraphs>
  <TotalTime>0</TotalTime>
  <ScaleCrop>false</ScaleCrop>
  <LinksUpToDate>false</LinksUpToDate>
  <CharactersWithSpaces>4338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忆</cp:lastModifiedBy>
  <dcterms:modified xsi:type="dcterms:W3CDTF">2025-11-07T07:50:28Z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7E68B1328A5F43F1BBC2CDCC8976F7E2_13</vt:lpwstr>
  </property>
  <property fmtid="{D5CDD505-2E9C-101B-9397-08002B2CF9AE}" pid="4" name="KSOTemplateDocerSaveRecord">
    <vt:lpwstr>eyJoZGlkIjoiMzEwNjkzMWMxZWMzNzU0NmUyNzQ2NGY3YzlmZjBhZDUiLCJ1c2VySWQiOiI0OTMxMTE3MjUifQ==</vt:lpwstr>
  </property>
</Properties>
</file>