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裕民县政务服务中心2024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8A0C1D">
      <w:r>
        <w:br w:type="page"/>
      </w:r>
    </w:p>
    <w:p w14:paraId="015AFAEE">
      <w:pPr>
        <w:spacing w:line="640" w:lineRule="exact"/>
        <w:jc w:val="center"/>
        <w:outlineLvl w:val="1"/>
      </w:pPr>
      <w:r>
        <w:rPr>
          <w:rFonts w:ascii="黑体" w:hAnsi="黑体" w:eastAsia="黑体"/>
          <w:sz w:val="32"/>
        </w:rPr>
        <w:t>第一部分 单位概况</w:t>
      </w:r>
    </w:p>
    <w:p w14:paraId="6EE18E19">
      <w:pPr>
        <w:spacing w:line="640" w:lineRule="exact"/>
        <w:ind w:firstLine="640"/>
        <w:jc w:val="both"/>
        <w:outlineLvl w:val="2"/>
      </w:pPr>
      <w:r>
        <w:rPr>
          <w:rFonts w:ascii="黑体" w:hAnsi="黑体" w:eastAsia="黑体"/>
          <w:sz w:val="32"/>
        </w:rPr>
        <w:t>一、主要职能</w:t>
      </w:r>
    </w:p>
    <w:p w14:paraId="4FCB8CC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贯彻县委、县政府关于行政审批制度改革的有关决定和要求，规范行政审批行为。</w:t>
      </w:r>
    </w:p>
    <w:p w14:paraId="0DDEC0F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负责制定政务服务中心运行中的各项规章制度及管理办法并组织实施。</w:t>
      </w:r>
    </w:p>
    <w:p w14:paraId="33905C1D">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负责对进入政务服务中心的各部门（单位）行政审批项目实施过程的监督、管理和协调，组织各窗口高效、快捷、依法办理行政审批事项和证照，认真解答群众对有关问题的咨询。</w:t>
      </w:r>
    </w:p>
    <w:p w14:paraId="5FCCE6D3">
      <w:pPr>
        <w:spacing w:line="580" w:lineRule="exact"/>
        <w:ind w:firstLine="640"/>
        <w:jc w:val="both"/>
      </w:pPr>
      <w:r>
        <w:rPr>
          <w:rFonts w:ascii="仿宋_GB2312" w:hAnsi="仿宋_GB2312" w:eastAsia="仿宋_GB2312"/>
          <w:sz w:val="32"/>
        </w:rPr>
        <w:t>4</w:t>
      </w:r>
      <w:r>
        <w:rPr>
          <w:rFonts w:hint="eastAsia" w:ascii="仿宋_GB2312" w:hAnsi="仿宋_GB2312" w:eastAsia="仿宋_GB2312"/>
          <w:sz w:val="32"/>
          <w:lang w:eastAsia="zh-CN"/>
        </w:rPr>
        <w:t>.</w:t>
      </w:r>
      <w:r>
        <w:rPr>
          <w:rFonts w:ascii="仿宋_GB2312" w:hAnsi="仿宋_GB2312" w:eastAsia="仿宋_GB2312"/>
          <w:sz w:val="32"/>
        </w:rPr>
        <w:t>及时与窗口单位负责人联系沟通，反映窗口单位工作人员的工作表现及业务情况。</w:t>
      </w:r>
    </w:p>
    <w:p w14:paraId="02FB44A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负责对进入政务服务中心的窗口单位工作人员的管理和考核，并对行政审批工作开展情况进行年终考核。</w:t>
      </w:r>
    </w:p>
    <w:p w14:paraId="36117D4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协调相关部门处理群众反映窗口单位及工作人员存在的服务质量及相关问题的投诉。</w:t>
      </w:r>
    </w:p>
    <w:p w14:paraId="1677C54F">
      <w:pPr>
        <w:spacing w:line="580" w:lineRule="exact"/>
        <w:ind w:firstLine="640"/>
        <w:jc w:val="both"/>
      </w:pPr>
      <w:r>
        <w:rPr>
          <w:rFonts w:ascii="仿宋_GB2312" w:hAnsi="仿宋_GB2312" w:eastAsia="仿宋_GB2312"/>
          <w:sz w:val="32"/>
        </w:rPr>
        <w:t>7</w:t>
      </w:r>
      <w:r>
        <w:rPr>
          <w:rFonts w:hint="eastAsia" w:ascii="仿宋_GB2312" w:hAnsi="仿宋_GB2312" w:eastAsia="仿宋_GB2312"/>
          <w:sz w:val="32"/>
          <w:lang w:eastAsia="zh-CN"/>
        </w:rPr>
        <w:t>.</w:t>
      </w:r>
      <w:r>
        <w:rPr>
          <w:rFonts w:ascii="仿宋_GB2312" w:hAnsi="仿宋_GB2312" w:eastAsia="仿宋_GB2312"/>
          <w:sz w:val="32"/>
        </w:rPr>
        <w:t>及时调整、公布国家有关行政审批的法律法规和自治区、地区、县人民政府相关规范性文件。</w:t>
      </w:r>
    </w:p>
    <w:p w14:paraId="6C862777">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完成县委、县政府交办的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4DFC8570">
      <w:pPr>
        <w:spacing w:line="640" w:lineRule="exact"/>
        <w:ind w:firstLine="640"/>
        <w:jc w:val="both"/>
        <w:outlineLvl w:val="2"/>
      </w:pPr>
      <w:r>
        <w:rPr>
          <w:rFonts w:ascii="黑体" w:hAnsi="黑体" w:eastAsia="黑体"/>
          <w:sz w:val="32"/>
        </w:rPr>
        <w:t>二、机构设置及人员情况</w:t>
      </w:r>
    </w:p>
    <w:p w14:paraId="30898F00">
      <w:pPr>
        <w:spacing w:line="580" w:lineRule="exact"/>
        <w:ind w:firstLine="640"/>
        <w:jc w:val="both"/>
      </w:pPr>
      <w:r>
        <w:rPr>
          <w:rFonts w:ascii="仿宋_GB2312" w:hAnsi="仿宋_GB2312" w:eastAsia="仿宋_GB2312"/>
          <w:sz w:val="32"/>
        </w:rPr>
        <w:t>裕民县政务服务中心2024年度，实有人数4人，其中：在职人员4人，增加0人；离休人员0人，增加0人；退休人员0人,增加0人。</w:t>
      </w:r>
    </w:p>
    <w:p w14:paraId="49D28D5A">
      <w:pPr>
        <w:spacing w:line="580" w:lineRule="exact"/>
        <w:ind w:firstLine="640"/>
        <w:jc w:val="both"/>
      </w:pPr>
      <w:r>
        <w:rPr>
          <w:rFonts w:ascii="仿宋_GB2312" w:hAnsi="仿宋_GB2312" w:eastAsia="仿宋_GB2312"/>
          <w:sz w:val="32"/>
        </w:rPr>
        <w:t>裕民县政务服务中心无下属预算单位，下设2个科室，分别是：办公室、财务室。</w:t>
      </w:r>
    </w:p>
    <w:p w14:paraId="7A2D296B">
      <w:r>
        <w:br w:type="page"/>
      </w:r>
    </w:p>
    <w:p w14:paraId="72AA9179">
      <w:pPr>
        <w:spacing w:line="240" w:lineRule="auto"/>
        <w:jc w:val="center"/>
        <w:outlineLvl w:val="1"/>
      </w:pPr>
      <w:r>
        <w:rPr>
          <w:rFonts w:ascii="黑体" w:hAnsi="黑体" w:eastAsia="黑体"/>
          <w:sz w:val="32"/>
        </w:rPr>
        <w:t>第二部分 部门决算情况说明</w:t>
      </w:r>
    </w:p>
    <w:p w14:paraId="2EC1682D">
      <w:pPr>
        <w:spacing w:line="640" w:lineRule="exact"/>
        <w:ind w:firstLine="640"/>
        <w:jc w:val="both"/>
        <w:outlineLvl w:val="2"/>
      </w:pPr>
      <w:r>
        <w:rPr>
          <w:rFonts w:ascii="黑体" w:hAnsi="黑体" w:eastAsia="黑体"/>
          <w:sz w:val="32"/>
        </w:rPr>
        <w:t>一、收入支出决算总体情况说明</w:t>
      </w:r>
    </w:p>
    <w:p w14:paraId="7FB629DF">
      <w:pPr>
        <w:spacing w:line="580" w:lineRule="exact"/>
        <w:ind w:firstLine="640"/>
        <w:jc w:val="both"/>
      </w:pPr>
      <w:r>
        <w:rPr>
          <w:rFonts w:ascii="仿宋_GB2312" w:hAnsi="仿宋_GB2312" w:eastAsia="仿宋_GB2312"/>
          <w:b/>
          <w:sz w:val="32"/>
        </w:rPr>
        <w:t>2024年度收入总计87.48万元，</w:t>
      </w:r>
      <w:r>
        <w:rPr>
          <w:rFonts w:ascii="仿宋_GB2312" w:hAnsi="仿宋_GB2312" w:eastAsia="仿宋_GB2312"/>
          <w:b w:val="0"/>
          <w:sz w:val="32"/>
        </w:rPr>
        <w:t>其中：本年收入合计87.48万元，使用非财政拨款结余（含专用结余）0.00万元，年初结转和结余0.00万元。</w:t>
      </w:r>
    </w:p>
    <w:p w14:paraId="48B49C95">
      <w:pPr>
        <w:spacing w:line="580" w:lineRule="exact"/>
        <w:ind w:firstLine="640"/>
        <w:jc w:val="both"/>
      </w:pPr>
      <w:r>
        <w:rPr>
          <w:rFonts w:ascii="仿宋_GB2312" w:hAnsi="仿宋_GB2312" w:eastAsia="仿宋_GB2312"/>
          <w:b/>
          <w:sz w:val="32"/>
        </w:rPr>
        <w:t>2024年度支出总计87.48万元，</w:t>
      </w:r>
      <w:r>
        <w:rPr>
          <w:rFonts w:ascii="仿宋_GB2312" w:hAnsi="仿宋_GB2312" w:eastAsia="仿宋_GB2312"/>
          <w:b w:val="0"/>
          <w:sz w:val="32"/>
        </w:rPr>
        <w:t>其中：本年支出合计87.48万元，结余分配0.00万元，年末结转和结余0.00万元。</w:t>
      </w:r>
    </w:p>
    <w:p w14:paraId="32ACC131">
      <w:pPr>
        <w:spacing w:line="580" w:lineRule="exact"/>
        <w:ind w:firstLine="640"/>
        <w:jc w:val="both"/>
      </w:pPr>
      <w:r>
        <w:rPr>
          <w:rFonts w:ascii="仿宋_GB2312" w:hAnsi="仿宋_GB2312" w:eastAsia="仿宋_GB2312"/>
          <w:b w:val="0"/>
          <w:sz w:val="32"/>
        </w:rPr>
        <w:t>收入支出总体与上年相比，减少0.49万元，下降0.56%，主要原因是：本年在职人员调入调出，人员职级不同，工资基数不同，导致人员经费较上年减少。</w:t>
      </w:r>
    </w:p>
    <w:p w14:paraId="6EE96230">
      <w:pPr>
        <w:spacing w:line="640" w:lineRule="exact"/>
        <w:ind w:firstLine="640"/>
        <w:jc w:val="both"/>
        <w:outlineLvl w:val="2"/>
      </w:pPr>
      <w:r>
        <w:rPr>
          <w:rFonts w:ascii="黑体" w:hAnsi="黑体" w:eastAsia="黑体"/>
          <w:sz w:val="32"/>
        </w:rPr>
        <w:t>二、收入决算情况说明</w:t>
      </w:r>
    </w:p>
    <w:p w14:paraId="6436A1DA">
      <w:pPr>
        <w:spacing w:line="580" w:lineRule="exact"/>
        <w:ind w:firstLine="640"/>
        <w:jc w:val="both"/>
      </w:pPr>
      <w:r>
        <w:rPr>
          <w:rFonts w:ascii="仿宋_GB2312" w:hAnsi="仿宋_GB2312" w:eastAsia="仿宋_GB2312"/>
          <w:b/>
          <w:sz w:val="32"/>
        </w:rPr>
        <w:t>本年收入87.48万元，</w:t>
      </w:r>
      <w:r>
        <w:rPr>
          <w:rFonts w:ascii="仿宋_GB2312" w:hAnsi="仿宋_GB2312" w:eastAsia="仿宋_GB2312"/>
          <w:b w:val="0"/>
          <w:sz w:val="32"/>
        </w:rPr>
        <w:t>其中：财政拨款收入87.48万元，占100.00%；上级补助收入0.00万元，占0.00%；事业收入0.00万元，占0.00%；经营收入0.00万元，占0.00%；附属单位上缴收入0.00万元，占0.00%；其他收入0.00万元，占0.00%。</w:t>
      </w:r>
    </w:p>
    <w:p w14:paraId="2F2C277C">
      <w:pPr>
        <w:spacing w:line="640" w:lineRule="exact"/>
        <w:ind w:firstLine="640"/>
        <w:jc w:val="both"/>
        <w:outlineLvl w:val="2"/>
      </w:pPr>
      <w:r>
        <w:rPr>
          <w:rFonts w:ascii="黑体" w:hAnsi="黑体" w:eastAsia="黑体"/>
          <w:sz w:val="32"/>
        </w:rPr>
        <w:t>三、支出决算情况说明</w:t>
      </w:r>
    </w:p>
    <w:p w14:paraId="349B784C">
      <w:pPr>
        <w:spacing w:line="580" w:lineRule="exact"/>
        <w:ind w:firstLine="640"/>
        <w:jc w:val="both"/>
      </w:pPr>
      <w:r>
        <w:rPr>
          <w:rFonts w:ascii="仿宋_GB2312" w:hAnsi="仿宋_GB2312" w:eastAsia="仿宋_GB2312"/>
          <w:b/>
          <w:sz w:val="32"/>
        </w:rPr>
        <w:t>本年支出87.48万元，</w:t>
      </w:r>
      <w:r>
        <w:rPr>
          <w:rFonts w:ascii="仿宋_GB2312" w:hAnsi="仿宋_GB2312" w:eastAsia="仿宋_GB2312"/>
          <w:b w:val="0"/>
          <w:sz w:val="32"/>
        </w:rPr>
        <w:t>其中：基本支出87.48万元，占100.00%；项目支出0.00万元，占0.00%；上缴上级支出0.00万元，占0.00%；经营支出0.00万元，占0.00%；对附属单位补助支出0.00万元，占0.00%。</w:t>
      </w:r>
    </w:p>
    <w:p w14:paraId="702E49C2">
      <w:pPr>
        <w:spacing w:line="640" w:lineRule="exact"/>
        <w:ind w:firstLine="640"/>
        <w:jc w:val="both"/>
        <w:outlineLvl w:val="2"/>
      </w:pPr>
      <w:r>
        <w:rPr>
          <w:rFonts w:ascii="黑体" w:hAnsi="黑体" w:eastAsia="黑体"/>
          <w:sz w:val="32"/>
        </w:rPr>
        <w:t>四、财政拨款收入支出决算总体情况说明</w:t>
      </w:r>
    </w:p>
    <w:p w14:paraId="37BE3320">
      <w:pPr>
        <w:spacing w:line="580" w:lineRule="exact"/>
        <w:ind w:firstLine="640"/>
        <w:jc w:val="both"/>
      </w:pPr>
      <w:r>
        <w:rPr>
          <w:rFonts w:ascii="仿宋_GB2312" w:hAnsi="仿宋_GB2312" w:eastAsia="仿宋_GB2312"/>
          <w:b/>
          <w:sz w:val="32"/>
        </w:rPr>
        <w:t>2024年度财政拨款收入总计87.48万元，</w:t>
      </w:r>
      <w:r>
        <w:rPr>
          <w:rFonts w:ascii="仿宋_GB2312" w:hAnsi="仿宋_GB2312" w:eastAsia="仿宋_GB2312"/>
          <w:b w:val="0"/>
          <w:sz w:val="32"/>
        </w:rPr>
        <w:t>其中：年初财政拨款结转和结余0.00万元，本年财政拨款收入87.48万元。</w:t>
      </w:r>
      <w:r>
        <w:rPr>
          <w:rFonts w:ascii="仿宋_GB2312" w:hAnsi="仿宋_GB2312" w:eastAsia="仿宋_GB2312"/>
          <w:b/>
          <w:sz w:val="32"/>
        </w:rPr>
        <w:t>财政拨款支出总计87.48万元，</w:t>
      </w:r>
      <w:r>
        <w:rPr>
          <w:rFonts w:ascii="仿宋_GB2312" w:hAnsi="仿宋_GB2312" w:eastAsia="仿宋_GB2312"/>
          <w:b w:val="0"/>
          <w:sz w:val="32"/>
        </w:rPr>
        <w:t>其中：年末财政拨款结转和结余0.00万元，本年财政拨款支出87.48万元。</w:t>
      </w:r>
    </w:p>
    <w:p w14:paraId="0A5D819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减少0.49万元，下降0.56%，主要原因是：本年在职人员调入调出，人员职级不同，工资基数不同，导致人员经费较上年减少。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年初预算数89.23万元，决算数87.48万元，预决算差异率-1.96%，主要原因是：严格落实中央八项规定精神，厉行节约，减少不必要的开支。</w:t>
      </w:r>
    </w:p>
    <w:p w14:paraId="7DF68FBF">
      <w:pPr>
        <w:spacing w:line="640" w:lineRule="exact"/>
        <w:ind w:firstLine="640"/>
        <w:jc w:val="both"/>
        <w:outlineLvl w:val="2"/>
      </w:pPr>
      <w:r>
        <w:rPr>
          <w:rFonts w:ascii="黑体" w:hAnsi="黑体" w:eastAsia="黑体"/>
          <w:sz w:val="32"/>
        </w:rPr>
        <w:t>五、一般公共预算财政拨款支出决算情况说明</w:t>
      </w:r>
    </w:p>
    <w:p w14:paraId="5486DC30">
      <w:pPr>
        <w:spacing w:line="640" w:lineRule="exact"/>
        <w:ind w:firstLine="640"/>
        <w:jc w:val="both"/>
        <w:outlineLvl w:val="3"/>
      </w:pPr>
      <w:r>
        <w:rPr>
          <w:rFonts w:ascii="楷体_GB2312" w:hAnsi="楷体_GB2312" w:eastAsia="楷体_GB2312"/>
          <w:b/>
          <w:sz w:val="32"/>
        </w:rPr>
        <w:t>（一）一般公共预算财政拨款支出决算总体情况</w:t>
      </w:r>
    </w:p>
    <w:p w14:paraId="131241F9">
      <w:pPr>
        <w:spacing w:line="580" w:lineRule="exact"/>
        <w:ind w:firstLine="640"/>
        <w:jc w:val="both"/>
      </w:pPr>
      <w:r>
        <w:rPr>
          <w:rFonts w:ascii="仿宋_GB2312" w:hAnsi="仿宋_GB2312" w:eastAsia="仿宋_GB2312"/>
          <w:b/>
          <w:sz w:val="32"/>
        </w:rPr>
        <w:t>2024年度一般公共预算财政拨款支出87.48万元，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减少0.49万元，下降0.56%，主要原因是：本年在职人员调入调出，人员职级不同，工资基数不同，导致人员经费较上年减少。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年初预算数89.23万元，决算数87.48万元，预决算差异率-1.96%，主要原因是：严格落实中央八项规定精神，厉行节约，减少不必要的开支。</w:t>
      </w:r>
    </w:p>
    <w:p w14:paraId="6B5BCEE6">
      <w:pPr>
        <w:spacing w:line="640" w:lineRule="exact"/>
        <w:ind w:firstLine="640"/>
        <w:jc w:val="both"/>
        <w:outlineLvl w:val="3"/>
      </w:pPr>
      <w:r>
        <w:rPr>
          <w:rFonts w:ascii="楷体_GB2312" w:hAnsi="楷体_GB2312" w:eastAsia="楷体_GB2312"/>
          <w:b/>
          <w:sz w:val="32"/>
        </w:rPr>
        <w:t>（二）一般公共预算财政拨款支出决算结构情况</w:t>
      </w:r>
    </w:p>
    <w:p w14:paraId="27B38321">
      <w:pPr>
        <w:spacing w:line="580" w:lineRule="exact"/>
        <w:ind w:firstLine="640"/>
        <w:jc w:val="both"/>
      </w:pPr>
      <w:r>
        <w:rPr>
          <w:rFonts w:ascii="仿宋_GB2312" w:hAnsi="仿宋_GB2312" w:eastAsia="仿宋_GB2312"/>
          <w:b w:val="0"/>
          <w:sz w:val="32"/>
        </w:rPr>
        <w:t>1.一般公共服务支出(类)73.18万元,占83.65%。</w:t>
      </w:r>
    </w:p>
    <w:p w14:paraId="54F93E72">
      <w:pPr>
        <w:spacing w:line="580" w:lineRule="exact"/>
        <w:ind w:firstLine="640"/>
        <w:jc w:val="both"/>
      </w:pPr>
      <w:r>
        <w:rPr>
          <w:rFonts w:ascii="仿宋_GB2312" w:hAnsi="仿宋_GB2312" w:eastAsia="仿宋_GB2312"/>
          <w:b w:val="0"/>
          <w:sz w:val="32"/>
        </w:rPr>
        <w:t>2.社会保障和就业支出(类)6.44万元,占7.36%。</w:t>
      </w:r>
    </w:p>
    <w:p w14:paraId="4FE17C51">
      <w:pPr>
        <w:spacing w:line="580" w:lineRule="exact"/>
        <w:ind w:firstLine="640"/>
        <w:jc w:val="both"/>
      </w:pPr>
      <w:r>
        <w:rPr>
          <w:rFonts w:ascii="仿宋_GB2312" w:hAnsi="仿宋_GB2312" w:eastAsia="仿宋_GB2312"/>
          <w:b w:val="0"/>
          <w:sz w:val="32"/>
        </w:rPr>
        <w:t>3.卫生健康支出(类)2.66万元,占3.04%。</w:t>
      </w:r>
    </w:p>
    <w:p w14:paraId="579150BE">
      <w:pPr>
        <w:spacing w:line="580" w:lineRule="exact"/>
        <w:ind w:firstLine="640"/>
        <w:jc w:val="both"/>
      </w:pPr>
      <w:r>
        <w:rPr>
          <w:rFonts w:ascii="仿宋_GB2312" w:hAnsi="仿宋_GB2312" w:eastAsia="仿宋_GB2312"/>
          <w:b w:val="0"/>
          <w:sz w:val="32"/>
        </w:rPr>
        <w:t>4.住房保障支出(类)5.20万元,占5.94%。</w:t>
      </w:r>
    </w:p>
    <w:p w14:paraId="699AB34D">
      <w:pPr>
        <w:spacing w:line="640" w:lineRule="exact"/>
        <w:ind w:firstLine="640"/>
        <w:jc w:val="both"/>
        <w:outlineLvl w:val="3"/>
      </w:pPr>
      <w:r>
        <w:rPr>
          <w:rFonts w:ascii="楷体_GB2312" w:hAnsi="楷体_GB2312" w:eastAsia="楷体_GB2312"/>
          <w:b/>
          <w:sz w:val="32"/>
        </w:rPr>
        <w:t>（三）一般公共预算财政拨款支出决算具体情况</w:t>
      </w:r>
    </w:p>
    <w:p w14:paraId="1795D286">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73.18万元，比上年决算减少0.60万元，下降0.81%,主要原因是：本年在职人员调入调出，人员职级不同，工资基数不同，导致人员经费较上年减少。</w:t>
      </w:r>
    </w:p>
    <w:p w14:paraId="64D61E7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6.44万元，比上年决算增加0.07万元，增长1.10%,主要原因是：本年在职人员工资基数调增，养老缴费基数上涨，相应支出增加。</w:t>
      </w:r>
    </w:p>
    <w:p w14:paraId="51A27305">
      <w:pPr>
        <w:spacing w:line="580" w:lineRule="exact"/>
        <w:ind w:firstLine="640"/>
        <w:jc w:val="both"/>
      </w:pPr>
      <w:r>
        <w:rPr>
          <w:rFonts w:ascii="仿宋_GB2312" w:hAnsi="仿宋_GB2312" w:eastAsia="仿宋_GB2312"/>
          <w:b w:val="0"/>
          <w:sz w:val="32"/>
        </w:rPr>
        <w:t>3.卫生健康支出(类)行政事业单位医疗(款)事业单位医疗(项):支出决算数为2.66万元，比上年决算减少0.14万元，下降5.00%,主要原因是：本年在职人员调入调出，人员职级不同，缴费基数不同，导致事业单位医疗较上年减少。</w:t>
      </w:r>
    </w:p>
    <w:p w14:paraId="4C9EDBA4">
      <w:pPr>
        <w:spacing w:line="580" w:lineRule="exact"/>
        <w:ind w:firstLine="640"/>
        <w:jc w:val="both"/>
      </w:pPr>
      <w:r>
        <w:rPr>
          <w:rFonts w:ascii="仿宋_GB2312" w:hAnsi="仿宋_GB2312" w:eastAsia="仿宋_GB2312"/>
          <w:b w:val="0"/>
          <w:sz w:val="32"/>
        </w:rPr>
        <w:t>4.住房保障支出(类)住房改革支出(款)住房公积金(项):支出决算数为5.20万元，比上年决算增加0.18万元，增长3.59%,主要原因是：本年在职人员工资基数调增，公积金缴费基数上涨，相应支出增加。</w:t>
      </w:r>
    </w:p>
    <w:p w14:paraId="5C590043">
      <w:pPr>
        <w:spacing w:line="640" w:lineRule="exact"/>
        <w:ind w:firstLine="640"/>
        <w:jc w:val="both"/>
        <w:outlineLvl w:val="2"/>
      </w:pPr>
      <w:r>
        <w:rPr>
          <w:rFonts w:ascii="黑体" w:hAnsi="黑体" w:eastAsia="黑体"/>
          <w:sz w:val="32"/>
        </w:rPr>
        <w:t>六、一般公共预算财政拨款基本支出决算情况说明</w:t>
      </w:r>
    </w:p>
    <w:p w14:paraId="2F4636FB">
      <w:pPr>
        <w:spacing w:line="580" w:lineRule="exact"/>
        <w:ind w:firstLine="640"/>
        <w:jc w:val="both"/>
      </w:pPr>
      <w:r>
        <w:rPr>
          <w:rFonts w:ascii="仿宋_GB2312" w:hAnsi="仿宋_GB2312" w:eastAsia="仿宋_GB2312"/>
          <w:b w:val="0"/>
          <w:sz w:val="32"/>
        </w:rPr>
        <w:t>2024年度一般公共预算财政拨款基本支出87.48万元，其中：</w:t>
      </w:r>
      <w:r>
        <w:rPr>
          <w:rFonts w:ascii="仿宋_GB2312" w:hAnsi="仿宋_GB2312" w:eastAsia="仿宋_GB2312"/>
          <w:b/>
          <w:sz w:val="32"/>
        </w:rPr>
        <w:t>人员经费72.04万元，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0DF01C84">
      <w:pPr>
        <w:spacing w:line="580" w:lineRule="exact"/>
        <w:ind w:firstLine="640"/>
        <w:jc w:val="both"/>
      </w:pPr>
      <w:r>
        <w:rPr>
          <w:rFonts w:ascii="仿宋_GB2312" w:hAnsi="仿宋_GB2312" w:eastAsia="仿宋_GB2312"/>
          <w:b/>
          <w:sz w:val="32"/>
        </w:rPr>
        <w:t>公用经费15.43万元，</w:t>
      </w:r>
      <w:r>
        <w:rPr>
          <w:rFonts w:ascii="仿宋_GB2312" w:hAnsi="仿宋_GB2312" w:eastAsia="仿宋_GB2312"/>
          <w:b w:val="0"/>
          <w:sz w:val="32"/>
        </w:rPr>
        <w:t>包括：办公费、电费、邮电费、取暖费、维修（护）费、劳务费、委托业务费、工会经费。</w:t>
      </w:r>
    </w:p>
    <w:p w14:paraId="3A10BD43">
      <w:pPr>
        <w:spacing w:line="640" w:lineRule="exact"/>
        <w:ind w:firstLine="640"/>
        <w:jc w:val="both"/>
        <w:outlineLvl w:val="2"/>
      </w:pPr>
      <w:r>
        <w:rPr>
          <w:rFonts w:ascii="黑体" w:hAnsi="黑体" w:eastAsia="黑体"/>
          <w:sz w:val="32"/>
        </w:rPr>
        <w:t>七、政府性基金预算财政拨款收入支出决算情况说明</w:t>
      </w:r>
    </w:p>
    <w:p w14:paraId="1B5883E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D5D4B7">
      <w:pPr>
        <w:spacing w:line="640" w:lineRule="exact"/>
        <w:ind w:firstLine="640"/>
        <w:jc w:val="both"/>
        <w:outlineLvl w:val="2"/>
      </w:pPr>
      <w:r>
        <w:rPr>
          <w:rFonts w:ascii="黑体" w:hAnsi="黑体" w:eastAsia="黑体"/>
          <w:sz w:val="32"/>
        </w:rPr>
        <w:t>八、国有资本经营预算财政拨款收入支出决算情况说明</w:t>
      </w:r>
    </w:p>
    <w:p w14:paraId="44170B6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5951FB">
      <w:pPr>
        <w:spacing w:line="640" w:lineRule="exact"/>
        <w:ind w:firstLine="640"/>
        <w:jc w:val="both"/>
        <w:outlineLvl w:val="2"/>
      </w:pPr>
      <w:r>
        <w:rPr>
          <w:rFonts w:ascii="黑体" w:hAnsi="黑体" w:eastAsia="黑体"/>
          <w:sz w:val="32"/>
        </w:rPr>
        <w:t>九、财政拨款“三公”经费支出决算情况说明</w:t>
      </w:r>
    </w:p>
    <w:p w14:paraId="76DD3BF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9EF3C5">
      <w:pPr>
        <w:spacing w:line="580" w:lineRule="exact"/>
        <w:ind w:firstLine="640"/>
        <w:jc w:val="both"/>
      </w:pPr>
      <w:r>
        <w:rPr>
          <w:rFonts w:ascii="仿宋_GB2312" w:hAnsi="仿宋_GB2312" w:eastAsia="仿宋_GB2312"/>
          <w:b/>
          <w:sz w:val="32"/>
        </w:rPr>
        <w:t>具体情况如下：</w:t>
      </w:r>
    </w:p>
    <w:p w14:paraId="57F11A1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F5663A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9F2347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C1470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6737C71">
      <w:pPr>
        <w:spacing w:line="640" w:lineRule="exact"/>
        <w:ind w:firstLine="640"/>
        <w:jc w:val="both"/>
        <w:outlineLvl w:val="2"/>
      </w:pPr>
      <w:r>
        <w:rPr>
          <w:rFonts w:ascii="黑体" w:hAnsi="黑体" w:eastAsia="黑体"/>
          <w:sz w:val="32"/>
        </w:rPr>
        <w:t>十、其他重要事项的情况说明</w:t>
      </w:r>
    </w:p>
    <w:p w14:paraId="7CE3906F">
      <w:pPr>
        <w:spacing w:line="640" w:lineRule="exact"/>
        <w:ind w:firstLine="640"/>
        <w:jc w:val="both"/>
        <w:outlineLvl w:val="3"/>
      </w:pPr>
      <w:r>
        <w:rPr>
          <w:rFonts w:ascii="楷体_GB2312" w:hAnsi="楷体_GB2312" w:eastAsia="楷体_GB2312"/>
          <w:b/>
          <w:sz w:val="32"/>
        </w:rPr>
        <w:t>（一）机关运行经费及公用经费支出情况</w:t>
      </w:r>
    </w:p>
    <w:p w14:paraId="0E4E5175">
      <w:pPr>
        <w:spacing w:line="580" w:lineRule="exact"/>
        <w:ind w:firstLine="640"/>
        <w:jc w:val="both"/>
      </w:pPr>
      <w:r>
        <w:rPr>
          <w:rFonts w:ascii="仿宋_GB2312" w:hAnsi="仿宋_GB2312" w:eastAsia="仿宋_GB2312"/>
          <w:b w:val="0"/>
          <w:sz w:val="32"/>
        </w:rPr>
        <w:t>2024年度裕民县政务服务中心（事业单位）公用经费支出15.43万元，比上年增加0.19万元，增长1.25%，主要原因是：本年业务量增加，公用经费增加。</w:t>
      </w:r>
    </w:p>
    <w:p w14:paraId="6744D6DF">
      <w:pPr>
        <w:spacing w:line="640" w:lineRule="exact"/>
        <w:ind w:firstLine="640"/>
        <w:jc w:val="both"/>
        <w:outlineLvl w:val="3"/>
      </w:pPr>
      <w:r>
        <w:rPr>
          <w:rFonts w:ascii="楷体_GB2312" w:hAnsi="楷体_GB2312" w:eastAsia="楷体_GB2312"/>
          <w:b/>
          <w:sz w:val="32"/>
        </w:rPr>
        <w:t>（二）政府采购情况</w:t>
      </w:r>
    </w:p>
    <w:p w14:paraId="3658A915">
      <w:pPr>
        <w:spacing w:line="580" w:lineRule="exact"/>
        <w:ind w:firstLine="640"/>
        <w:jc w:val="both"/>
      </w:pPr>
      <w:r>
        <w:rPr>
          <w:rFonts w:ascii="仿宋_GB2312" w:hAnsi="仿宋_GB2312" w:eastAsia="仿宋_GB2312"/>
          <w:b w:val="0"/>
          <w:sz w:val="32"/>
        </w:rPr>
        <w:t>2024年度政府采购支出总额3.48万元，其中：政府采购货物支出3.00万元、政府采购工程支出0.00万元、政府采购服务支出0.48万元。</w:t>
      </w:r>
    </w:p>
    <w:p w14:paraId="5472489E">
      <w:pPr>
        <w:spacing w:line="580" w:lineRule="exact"/>
        <w:ind w:firstLine="640"/>
        <w:jc w:val="both"/>
      </w:pPr>
      <w:r>
        <w:rPr>
          <w:rFonts w:ascii="仿宋_GB2312" w:hAnsi="仿宋_GB2312" w:eastAsia="仿宋_GB2312"/>
          <w:b w:val="0"/>
          <w:sz w:val="32"/>
        </w:rPr>
        <w:t>授予中小企业合同金额3.48万元，占政府采购支出总额的100.00%，其中：授予小微企业合同金额3.48万元，占政府采购支出总额的100.00%。</w:t>
      </w:r>
    </w:p>
    <w:p w14:paraId="09DF4D8E">
      <w:pPr>
        <w:spacing w:line="640" w:lineRule="exact"/>
        <w:ind w:firstLine="640"/>
        <w:jc w:val="both"/>
        <w:outlineLvl w:val="3"/>
      </w:pPr>
      <w:r>
        <w:rPr>
          <w:rFonts w:ascii="楷体_GB2312" w:hAnsi="楷体_GB2312" w:eastAsia="楷体_GB2312"/>
          <w:b/>
          <w:sz w:val="32"/>
        </w:rPr>
        <w:t>（三）国有资产占用情况说明</w:t>
      </w:r>
    </w:p>
    <w:p w14:paraId="09F2F9A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BEA5157">
      <w:pPr>
        <w:spacing w:line="640" w:lineRule="exact"/>
        <w:ind w:firstLine="640"/>
        <w:jc w:val="both"/>
        <w:outlineLvl w:val="2"/>
      </w:pPr>
      <w:r>
        <w:rPr>
          <w:rFonts w:ascii="黑体" w:hAnsi="黑体" w:eastAsia="黑体"/>
          <w:sz w:val="32"/>
        </w:rPr>
        <w:t>十一、预算绩效的情况说明</w:t>
      </w:r>
    </w:p>
    <w:p w14:paraId="132320D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87.48万元，实际执行总额87.48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4C0224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747"/>
        <w:gridCol w:w="358"/>
        <w:gridCol w:w="599"/>
        <w:gridCol w:w="506"/>
        <w:gridCol w:w="781"/>
        <w:gridCol w:w="324"/>
        <w:gridCol w:w="576"/>
        <w:gridCol w:w="529"/>
        <w:gridCol w:w="359"/>
        <w:gridCol w:w="746"/>
      </w:tblGrid>
      <w:tr w14:paraId="2FCBA89E">
        <w:tblPrEx>
          <w:tblCellMar>
            <w:top w:w="0" w:type="dxa"/>
            <w:left w:w="108" w:type="dxa"/>
            <w:bottom w:w="0" w:type="dxa"/>
            <w:right w:w="108" w:type="dxa"/>
          </w:tblCellMar>
        </w:tblPrEx>
        <w:tc>
          <w:tcPr>
            <w:tcW w:w="8840" w:type="dxa"/>
            <w:gridSpan w:val="13"/>
            <w:vAlign w:val="center"/>
          </w:tcPr>
          <w:p w14:paraId="32448D63">
            <w:pPr>
              <w:jc w:val="center"/>
            </w:pPr>
            <w:r>
              <w:rPr>
                <w:rFonts w:ascii="宋体" w:hAnsi="宋体" w:eastAsia="宋体"/>
                <w:sz w:val="24"/>
              </w:rPr>
              <w:t>单位整体支出绩效自评表</w:t>
            </w:r>
          </w:p>
        </w:tc>
      </w:tr>
      <w:tr w14:paraId="699F99CB">
        <w:tblPrEx>
          <w:tblCellMar>
            <w:top w:w="0" w:type="dxa"/>
            <w:left w:w="108" w:type="dxa"/>
            <w:bottom w:w="0" w:type="dxa"/>
            <w:right w:w="108" w:type="dxa"/>
          </w:tblCellMar>
        </w:tblPrEx>
        <w:tc>
          <w:tcPr>
            <w:tcW w:w="8840" w:type="dxa"/>
            <w:gridSpan w:val="13"/>
            <w:vAlign w:val="center"/>
          </w:tcPr>
          <w:p w14:paraId="04B3B3A6">
            <w:pPr>
              <w:jc w:val="center"/>
            </w:pPr>
            <w:r>
              <w:rPr>
                <w:rFonts w:ascii="宋体" w:hAnsi="宋体" w:eastAsia="宋体"/>
                <w:sz w:val="24"/>
              </w:rPr>
              <w:t>（2024年度）</w:t>
            </w:r>
          </w:p>
        </w:tc>
      </w:tr>
      <w:tr w14:paraId="478C2C8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D9661">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695A29A">
            <w:pPr>
              <w:jc w:val="center"/>
            </w:pPr>
            <w:r>
              <w:rPr>
                <w:rFonts w:ascii="宋体" w:hAnsi="宋体" w:eastAsia="宋体"/>
                <w:sz w:val="16"/>
              </w:rPr>
              <w:t>裕民县政务服务中心</w:t>
            </w:r>
          </w:p>
        </w:tc>
      </w:tr>
      <w:tr w14:paraId="474BB7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47A6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1E0E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0CA0F">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9F77">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43E1">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A107">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69A4">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FB5F5">
            <w:pPr>
              <w:jc w:val="center"/>
            </w:pPr>
            <w:r>
              <w:rPr>
                <w:rFonts w:ascii="宋体" w:hAnsi="宋体" w:eastAsia="宋体"/>
                <w:sz w:val="16"/>
              </w:rPr>
              <w:t>得分</w:t>
            </w:r>
          </w:p>
        </w:tc>
      </w:tr>
      <w:tr w14:paraId="561699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8C04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318A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1F687">
            <w:pPr>
              <w:jc w:val="center"/>
            </w:pPr>
            <w:r>
              <w:rPr>
                <w:rFonts w:ascii="宋体" w:hAnsi="宋体" w:eastAsia="宋体"/>
                <w:sz w:val="16"/>
              </w:rPr>
              <w:t>89.23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C555">
            <w:pPr>
              <w:jc w:val="center"/>
            </w:pPr>
            <w:r>
              <w:rPr>
                <w:rFonts w:ascii="宋体" w:hAnsi="宋体" w:eastAsia="宋体"/>
                <w:sz w:val="16"/>
              </w:rPr>
              <w:t>87.48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34640">
            <w:pPr>
              <w:jc w:val="center"/>
            </w:pPr>
            <w:r>
              <w:rPr>
                <w:rFonts w:ascii="宋体" w:hAnsi="宋体" w:eastAsia="宋体"/>
                <w:sz w:val="16"/>
              </w:rPr>
              <w:t>87.48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9B357">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22FC">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C5E65">
            <w:pPr>
              <w:jc w:val="center"/>
            </w:pPr>
            <w:r>
              <w:rPr>
                <w:rFonts w:ascii="宋体" w:hAnsi="宋体" w:eastAsia="宋体"/>
                <w:sz w:val="16"/>
              </w:rPr>
              <w:t>10</w:t>
            </w:r>
          </w:p>
        </w:tc>
      </w:tr>
      <w:tr w14:paraId="54B1A5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CE4B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9E552">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56B68">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C0893">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5129">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6FF5A">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5EE3D">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3EAC">
            <w:pPr>
              <w:jc w:val="center"/>
            </w:pPr>
            <w:r>
              <w:rPr>
                <w:rFonts w:ascii="宋体" w:hAnsi="宋体" w:eastAsia="宋体"/>
                <w:sz w:val="16"/>
              </w:rPr>
              <w:t>-</w:t>
            </w:r>
          </w:p>
        </w:tc>
      </w:tr>
      <w:tr w14:paraId="512E01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8C4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4CAB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4D66E">
            <w:pPr>
              <w:jc w:val="center"/>
            </w:pPr>
            <w:r>
              <w:rPr>
                <w:rFonts w:ascii="宋体" w:hAnsi="宋体" w:eastAsia="宋体"/>
                <w:sz w:val="16"/>
              </w:rPr>
              <w:t>89.23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E6C13">
            <w:pPr>
              <w:jc w:val="center"/>
            </w:pPr>
            <w:r>
              <w:rPr>
                <w:rFonts w:ascii="宋体" w:hAnsi="宋体" w:eastAsia="宋体"/>
                <w:sz w:val="16"/>
              </w:rPr>
              <w:t>87.48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A4E9">
            <w:pPr>
              <w:jc w:val="center"/>
            </w:pPr>
            <w:r>
              <w:rPr>
                <w:rFonts w:ascii="宋体" w:hAnsi="宋体" w:eastAsia="宋体"/>
                <w:sz w:val="16"/>
              </w:rPr>
              <w:t>87.48</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5434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675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7BCA">
            <w:pPr>
              <w:jc w:val="center"/>
            </w:pPr>
            <w:r>
              <w:rPr>
                <w:rFonts w:ascii="宋体" w:hAnsi="宋体" w:eastAsia="宋体"/>
                <w:sz w:val="16"/>
              </w:rPr>
              <w:t>-</w:t>
            </w:r>
          </w:p>
        </w:tc>
      </w:tr>
      <w:tr w14:paraId="77A4F4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C34B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AD44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721F7">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0F98B">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DB69B">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02E8">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D62F">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F29D">
            <w:pPr>
              <w:jc w:val="center"/>
            </w:pPr>
            <w:r>
              <w:rPr>
                <w:rFonts w:ascii="宋体" w:hAnsi="宋体" w:eastAsia="宋体"/>
                <w:sz w:val="16"/>
              </w:rPr>
              <w:t>-</w:t>
            </w:r>
          </w:p>
        </w:tc>
      </w:tr>
      <w:tr w14:paraId="1CB0B97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4BA7F">
            <w:pPr>
              <w:jc w:val="center"/>
            </w:pPr>
            <w:r>
              <w:rPr>
                <w:rFonts w:ascii="宋体" w:hAnsi="宋体" w:eastAsia="宋体"/>
                <w:sz w:val="16"/>
              </w:rPr>
              <w:t>年度总体目标</w:t>
            </w:r>
          </w:p>
        </w:tc>
        <w:tc>
          <w:tcPr>
            <w:tcW w:w="391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8DB33F">
            <w:pPr>
              <w:jc w:val="center"/>
            </w:pPr>
            <w:r>
              <w:rPr>
                <w:rFonts w:ascii="宋体" w:hAnsi="宋体" w:eastAsia="宋体"/>
                <w:sz w:val="16"/>
              </w:rPr>
              <w:t>预期目标</w:t>
            </w:r>
          </w:p>
        </w:tc>
        <w:tc>
          <w:tcPr>
            <w:tcW w:w="38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1F9FE9">
            <w:pPr>
              <w:jc w:val="center"/>
            </w:pPr>
            <w:r>
              <w:rPr>
                <w:rFonts w:ascii="宋体" w:hAnsi="宋体" w:eastAsia="宋体"/>
                <w:sz w:val="16"/>
              </w:rPr>
              <w:t>实际完成情况</w:t>
            </w:r>
          </w:p>
        </w:tc>
      </w:tr>
      <w:tr w14:paraId="65F61F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F67429"/>
        </w:tc>
        <w:tc>
          <w:tcPr>
            <w:tcW w:w="391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2F7BE">
            <w:pPr>
              <w:jc w:val="both"/>
            </w:pPr>
            <w:r>
              <w:rPr>
                <w:rFonts w:hint="eastAsia" w:ascii="宋体" w:hAnsi="宋体"/>
                <w:sz w:val="16"/>
                <w:lang w:eastAsia="zh-CN"/>
              </w:rPr>
              <w:t>1.</w:t>
            </w:r>
            <w:r>
              <w:rPr>
                <w:rFonts w:ascii="宋体" w:hAnsi="宋体" w:eastAsia="宋体"/>
                <w:sz w:val="16"/>
              </w:rPr>
              <w:t>提高服务质量和效率。确保政务服务中心的员工能够以高效、准确、友好的方式为公众提供服务，提高客户满意度。2、优化政务服务环境，通过改善政务服务中心的硬件设施、软件系统以及内部管理机制，创造一个舒适、便捷的政务服务环境。为公众提供更好的办事体验，增强政务服务中心的可访问性和便利性。</w:t>
            </w:r>
          </w:p>
        </w:tc>
        <w:tc>
          <w:tcPr>
            <w:tcW w:w="38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F772B5">
            <w:pPr>
              <w:jc w:val="both"/>
            </w:pPr>
            <w:r>
              <w:rPr>
                <w:rFonts w:hint="eastAsia" w:ascii="宋体" w:hAnsi="宋体"/>
                <w:sz w:val="16"/>
                <w:lang w:eastAsia="zh-CN"/>
              </w:rPr>
              <w:t>1.</w:t>
            </w:r>
            <w:r>
              <w:rPr>
                <w:rFonts w:ascii="宋体" w:hAnsi="宋体" w:eastAsia="宋体"/>
                <w:sz w:val="16"/>
              </w:rPr>
              <w:t>提高服务质量和效率。确保政务服务中心的员工能够以高效、准确、友好的方式为公众提供服务，提高客户满意度。2、优化政务服务环境，通过改善政务服务中心的硬件设施、软件系统以及内部管理机制，创造一个舒适、便捷的政务服务环境。为公众提供更好的办事体验，增强政务服务中心的可访问性和便利性。</w:t>
            </w:r>
          </w:p>
        </w:tc>
      </w:tr>
      <w:tr w14:paraId="5FBC08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7842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469C2">
            <w:pPr>
              <w:jc w:val="center"/>
            </w:pPr>
            <w:r>
              <w:rPr>
                <w:rFonts w:ascii="宋体" w:hAnsi="宋体" w:eastAsia="宋体"/>
                <w:sz w:val="16"/>
              </w:rPr>
              <w:t>二级指标</w:t>
            </w:r>
          </w:p>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5CBD">
            <w:pPr>
              <w:jc w:val="center"/>
            </w:pPr>
            <w:r>
              <w:rPr>
                <w:rFonts w:ascii="宋体" w:hAnsi="宋体" w:eastAsia="宋体"/>
                <w:sz w:val="16"/>
              </w:rPr>
              <w:t>三级指标</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87A2">
            <w:pPr>
              <w:jc w:val="center"/>
            </w:pPr>
            <w:r>
              <w:rPr>
                <w:rFonts w:ascii="宋体" w:hAnsi="宋体" w:eastAsia="宋体"/>
                <w:sz w:val="16"/>
              </w:rPr>
              <w:t>预期指标值</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3A608">
            <w:pPr>
              <w:jc w:val="center"/>
            </w:pPr>
            <w:r>
              <w:rPr>
                <w:rFonts w:ascii="宋体" w:hAnsi="宋体" w:eastAsia="宋体"/>
                <w:sz w:val="16"/>
              </w:rPr>
              <w:t>指标值设定依据</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463E">
            <w:pPr>
              <w:jc w:val="center"/>
            </w:pPr>
            <w:r>
              <w:rPr>
                <w:rFonts w:ascii="宋体" w:hAnsi="宋体" w:eastAsia="宋体"/>
                <w:sz w:val="16"/>
              </w:rPr>
              <w:t>分值权重</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E8AC2">
            <w:pPr>
              <w:jc w:val="center"/>
            </w:pPr>
            <w:r>
              <w:rPr>
                <w:rFonts w:ascii="宋体" w:hAnsi="宋体" w:eastAsia="宋体"/>
                <w:sz w:val="16"/>
              </w:rPr>
              <w:t>实际完成指标值</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53BE2F12">
            <w:pPr>
              <w:jc w:val="center"/>
            </w:pPr>
            <w:r>
              <w:rPr>
                <w:rFonts w:ascii="宋体" w:hAnsi="宋体" w:eastAsia="宋体"/>
                <w:sz w:val="16"/>
              </w:rPr>
              <w:t>得分</w:t>
            </w:r>
          </w:p>
        </w:tc>
      </w:tr>
      <w:tr w14:paraId="3294BB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C193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40CB8">
            <w:pPr>
              <w:jc w:val="center"/>
            </w:pPr>
            <w:r>
              <w:rPr>
                <w:rFonts w:ascii="宋体" w:hAnsi="宋体" w:eastAsia="宋体"/>
                <w:sz w:val="16"/>
              </w:rPr>
              <w:t>质量指标</w:t>
            </w:r>
          </w:p>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0D7C">
            <w:pPr>
              <w:jc w:val="center"/>
            </w:pPr>
            <w:r>
              <w:rPr>
                <w:rFonts w:ascii="宋体" w:hAnsi="宋体" w:eastAsia="宋体"/>
                <w:sz w:val="16"/>
              </w:rPr>
              <w:t>年度项目计划执行率</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02450">
            <w:pPr>
              <w:jc w:val="center"/>
            </w:pPr>
            <w:r>
              <w:rPr>
                <w:rFonts w:ascii="宋体" w:hAnsi="宋体" w:eastAsia="宋体"/>
                <w:sz w:val="16"/>
              </w:rPr>
              <w:t>&gt;=95%</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77ABA">
            <w:pPr>
              <w:jc w:val="center"/>
            </w:pPr>
            <w:r>
              <w:rPr>
                <w:rFonts w:ascii="宋体" w:hAnsi="宋体" w:eastAsia="宋体"/>
                <w:sz w:val="16"/>
              </w:rPr>
              <w:t>工作计划</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FBFF1">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156B9">
            <w:pPr>
              <w:jc w:val="center"/>
            </w:pPr>
            <w:r>
              <w:rPr>
                <w:rFonts w:ascii="宋体" w:hAnsi="宋体" w:eastAsia="宋体"/>
                <w:sz w:val="16"/>
              </w:rPr>
              <w:t>100%</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235F1E75">
            <w:pPr>
              <w:jc w:val="center"/>
            </w:pPr>
            <w:r>
              <w:rPr>
                <w:rFonts w:ascii="宋体" w:hAnsi="宋体" w:eastAsia="宋体"/>
                <w:sz w:val="16"/>
              </w:rPr>
              <w:t>15</w:t>
            </w:r>
          </w:p>
        </w:tc>
      </w:tr>
      <w:bookmarkEnd w:id="0"/>
      <w:tr w14:paraId="33B3BC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E66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B8AE56"/>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A4B33">
            <w:pPr>
              <w:jc w:val="center"/>
            </w:pPr>
            <w:r>
              <w:rPr>
                <w:rFonts w:ascii="宋体" w:hAnsi="宋体" w:eastAsia="宋体"/>
                <w:sz w:val="16"/>
              </w:rPr>
              <w:t>通过精细化管理、合理化建议和节能环保措施</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D38A5">
            <w:pPr>
              <w:jc w:val="center"/>
            </w:pPr>
            <w:r>
              <w:rPr>
                <w:rFonts w:ascii="宋体" w:hAnsi="宋体" w:eastAsia="宋体"/>
                <w:sz w:val="16"/>
              </w:rPr>
              <w:t>&gt;=95%</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ED40A">
            <w:pPr>
              <w:jc w:val="center"/>
            </w:pPr>
            <w:r>
              <w:rPr>
                <w:rFonts w:ascii="宋体" w:hAnsi="宋体" w:eastAsia="宋体"/>
                <w:sz w:val="16"/>
              </w:rPr>
              <w:t>工作计划</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8DE4">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D5CA5">
            <w:pPr>
              <w:jc w:val="center"/>
            </w:pPr>
            <w:r>
              <w:rPr>
                <w:rFonts w:ascii="宋体" w:hAnsi="宋体" w:eastAsia="宋体"/>
                <w:sz w:val="16"/>
              </w:rPr>
              <w:t>100%</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65DF4549">
            <w:pPr>
              <w:jc w:val="center"/>
            </w:pPr>
            <w:r>
              <w:rPr>
                <w:rFonts w:ascii="宋体" w:hAnsi="宋体" w:eastAsia="宋体"/>
                <w:sz w:val="16"/>
              </w:rPr>
              <w:t>15</w:t>
            </w:r>
          </w:p>
        </w:tc>
      </w:tr>
      <w:tr w14:paraId="0CC39A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1CCF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A4B778"/>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08706">
            <w:pPr>
              <w:jc w:val="center"/>
            </w:pPr>
            <w:r>
              <w:rPr>
                <w:rFonts w:ascii="宋体" w:hAnsi="宋体" w:eastAsia="宋体"/>
                <w:sz w:val="16"/>
              </w:rPr>
              <w:t>推进政务服务“一网通办”、政务服务“一件事一次办”、不断完善政务服务“好差评”体系</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7A4EA">
            <w:pPr>
              <w:jc w:val="center"/>
            </w:pPr>
            <w:r>
              <w:rPr>
                <w:rFonts w:ascii="宋体" w:hAnsi="宋体" w:eastAsia="宋体"/>
                <w:sz w:val="16"/>
              </w:rPr>
              <w:t>&gt;=95%</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AE10">
            <w:pPr>
              <w:jc w:val="center"/>
            </w:pPr>
            <w:r>
              <w:rPr>
                <w:rFonts w:ascii="宋体" w:hAnsi="宋体" w:eastAsia="宋体"/>
                <w:sz w:val="16"/>
              </w:rPr>
              <w:t>工作计划</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5A5BE">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5F6D6">
            <w:pPr>
              <w:jc w:val="center"/>
            </w:pPr>
            <w:r>
              <w:rPr>
                <w:rFonts w:ascii="宋体" w:hAnsi="宋体" w:eastAsia="宋体"/>
                <w:sz w:val="16"/>
              </w:rPr>
              <w:t>100%</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733A1571">
            <w:pPr>
              <w:jc w:val="center"/>
            </w:pPr>
            <w:r>
              <w:rPr>
                <w:rFonts w:ascii="宋体" w:hAnsi="宋体" w:eastAsia="宋体"/>
                <w:sz w:val="16"/>
              </w:rPr>
              <w:t>15</w:t>
            </w:r>
          </w:p>
        </w:tc>
      </w:tr>
      <w:tr w14:paraId="5E095F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A247B">
            <w:bookmarkStart w:id="1" w:name="_GoBack" w:colFirst="6" w:colLast="7"/>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195E7D"/>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3562">
            <w:pPr>
              <w:jc w:val="center"/>
            </w:pPr>
            <w:r>
              <w:rPr>
                <w:rFonts w:ascii="宋体" w:hAnsi="宋体" w:eastAsia="宋体"/>
                <w:sz w:val="16"/>
              </w:rPr>
              <w:t>服务窗口规范化建设</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64CED">
            <w:pPr>
              <w:jc w:val="center"/>
            </w:pPr>
            <w:r>
              <w:rPr>
                <w:rFonts w:ascii="宋体" w:hAnsi="宋体" w:eastAsia="宋体"/>
                <w:sz w:val="16"/>
              </w:rPr>
              <w:t>&gt;=95%</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9291">
            <w:pPr>
              <w:jc w:val="center"/>
            </w:pPr>
            <w:r>
              <w:rPr>
                <w:rFonts w:ascii="宋体" w:hAnsi="宋体" w:eastAsia="宋体"/>
                <w:sz w:val="16"/>
              </w:rPr>
              <w:t>工作计划</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5BC5">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EF13">
            <w:pPr>
              <w:jc w:val="center"/>
            </w:pPr>
            <w:r>
              <w:rPr>
                <w:rFonts w:ascii="宋体" w:hAnsi="宋体" w:eastAsia="宋体"/>
                <w:sz w:val="16"/>
              </w:rPr>
              <w:t>100%</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5CC372EB">
            <w:pPr>
              <w:jc w:val="center"/>
            </w:pPr>
            <w:r>
              <w:rPr>
                <w:rFonts w:ascii="宋体" w:hAnsi="宋体" w:eastAsia="宋体"/>
                <w:sz w:val="16"/>
              </w:rPr>
              <w:t>15</w:t>
            </w:r>
          </w:p>
        </w:tc>
      </w:tr>
      <w:tr w14:paraId="71BF94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686E4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D3EC8">
            <w:pPr>
              <w:jc w:val="center"/>
            </w:pPr>
            <w:r>
              <w:rPr>
                <w:rFonts w:ascii="宋体" w:hAnsi="宋体" w:eastAsia="宋体"/>
                <w:sz w:val="16"/>
              </w:rPr>
              <w:t>数量指标</w:t>
            </w:r>
          </w:p>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0BEB">
            <w:pPr>
              <w:jc w:val="center"/>
            </w:pPr>
            <w:r>
              <w:rPr>
                <w:rFonts w:ascii="宋体" w:hAnsi="宋体" w:eastAsia="宋体"/>
                <w:sz w:val="16"/>
              </w:rPr>
              <w:t>一体化平台应用电子政务外网建设</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E76ED">
            <w:pPr>
              <w:jc w:val="center"/>
            </w:pPr>
            <w:r>
              <w:rPr>
                <w:rFonts w:ascii="宋体" w:hAnsi="宋体" w:eastAsia="宋体"/>
                <w:sz w:val="16"/>
              </w:rPr>
              <w:t>&gt;=44个村队</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BFAC2">
            <w:pPr>
              <w:jc w:val="center"/>
            </w:pPr>
            <w:r>
              <w:rPr>
                <w:rFonts w:ascii="宋体" w:hAnsi="宋体" w:eastAsia="宋体"/>
                <w:sz w:val="16"/>
              </w:rPr>
              <w:t>工作计划</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D560">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B96A2">
            <w:pPr>
              <w:jc w:val="center"/>
            </w:pPr>
            <w:r>
              <w:rPr>
                <w:rFonts w:ascii="宋体" w:hAnsi="宋体" w:eastAsia="宋体"/>
                <w:sz w:val="16"/>
              </w:rPr>
              <w:t>44个村队</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5A1323CB">
            <w:pPr>
              <w:jc w:val="center"/>
            </w:pPr>
            <w:r>
              <w:rPr>
                <w:rFonts w:ascii="宋体" w:hAnsi="宋体" w:eastAsia="宋体"/>
                <w:sz w:val="16"/>
              </w:rPr>
              <w:t>15</w:t>
            </w:r>
          </w:p>
        </w:tc>
      </w:tr>
      <w:tr w14:paraId="17AC19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72305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2DC01"/>
        </w:tc>
        <w:tc>
          <w:tcPr>
            <w:tcW w:w="18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C3D35">
            <w:pPr>
              <w:jc w:val="center"/>
            </w:pPr>
            <w:r>
              <w:rPr>
                <w:rFonts w:ascii="宋体" w:hAnsi="宋体" w:eastAsia="宋体"/>
                <w:sz w:val="16"/>
              </w:rPr>
              <w:t>组织开展“政务服务小课堂”场次</w:t>
            </w:r>
          </w:p>
        </w:tc>
        <w:tc>
          <w:tcPr>
            <w:tcW w:w="9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58380">
            <w:pPr>
              <w:jc w:val="center"/>
            </w:pPr>
            <w:r>
              <w:rPr>
                <w:rFonts w:ascii="宋体" w:hAnsi="宋体" w:eastAsia="宋体"/>
                <w:sz w:val="16"/>
              </w:rPr>
              <w:t>&gt;=12次</w:t>
            </w:r>
          </w:p>
        </w:tc>
        <w:tc>
          <w:tcPr>
            <w:tcW w:w="12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33103">
            <w:pPr>
              <w:jc w:val="center"/>
            </w:pPr>
            <w:r>
              <w:rPr>
                <w:rFonts w:ascii="宋体" w:hAnsi="宋体" w:eastAsia="宋体"/>
                <w:sz w:val="16"/>
              </w:rPr>
              <w:t>工作标准</w:t>
            </w:r>
          </w:p>
        </w:tc>
        <w:tc>
          <w:tcPr>
            <w:tcW w:w="9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790BD">
            <w:pPr>
              <w:jc w:val="center"/>
            </w:pPr>
            <w:r>
              <w:rPr>
                <w:rFonts w:ascii="宋体" w:hAnsi="宋体" w:eastAsia="宋体"/>
                <w:sz w:val="16"/>
              </w:rPr>
              <w:t>15</w:t>
            </w:r>
          </w:p>
        </w:tc>
        <w:tc>
          <w:tcPr>
            <w:tcW w:w="8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D4FD6">
            <w:pPr>
              <w:jc w:val="center"/>
            </w:pPr>
            <w:r>
              <w:rPr>
                <w:rFonts w:ascii="宋体" w:hAnsi="宋体" w:eastAsia="宋体"/>
                <w:sz w:val="16"/>
              </w:rPr>
              <w:t>12次</w:t>
            </w:r>
          </w:p>
        </w:tc>
        <w:tc>
          <w:tcPr>
            <w:tcW w:w="746" w:type="dxa"/>
            <w:tcBorders>
              <w:top w:val="single" w:color="auto" w:sz="10" w:space="0"/>
              <w:left w:val="single" w:color="auto" w:sz="10" w:space="0"/>
              <w:bottom w:val="single" w:color="auto" w:sz="10" w:space="0"/>
              <w:right w:val="single" w:color="auto" w:sz="10" w:space="0"/>
              <w:insideV w:val="single" w:sz="10" w:space="0"/>
            </w:tcBorders>
            <w:vAlign w:val="center"/>
          </w:tcPr>
          <w:p w14:paraId="240D45BC">
            <w:pPr>
              <w:jc w:val="center"/>
            </w:pPr>
            <w:r>
              <w:rPr>
                <w:rFonts w:ascii="宋体" w:hAnsi="宋体" w:eastAsia="宋体"/>
                <w:sz w:val="16"/>
              </w:rPr>
              <w:t>15</w:t>
            </w:r>
          </w:p>
        </w:tc>
      </w:tr>
    </w:tbl>
    <w:p w14:paraId="24F0913B">
      <w:r>
        <w:br w:type="page"/>
      </w:r>
    </w:p>
    <w:p w14:paraId="2D08988C">
      <w:pPr>
        <w:spacing w:line="640" w:lineRule="exact"/>
        <w:ind w:firstLine="640"/>
        <w:jc w:val="both"/>
        <w:outlineLvl w:val="2"/>
      </w:pPr>
      <w:r>
        <w:rPr>
          <w:rFonts w:ascii="黑体" w:hAnsi="黑体" w:eastAsia="黑体"/>
          <w:sz w:val="32"/>
        </w:rPr>
        <w:t>十二、其他需说明的事项</w:t>
      </w:r>
    </w:p>
    <w:p w14:paraId="3CB8C302">
      <w:pPr>
        <w:spacing w:line="580" w:lineRule="exact"/>
        <w:ind w:firstLine="640"/>
        <w:jc w:val="both"/>
      </w:pPr>
      <w:r>
        <w:rPr>
          <w:rFonts w:ascii="仿宋_GB2312" w:hAnsi="仿宋_GB2312" w:eastAsia="仿宋_GB2312"/>
          <w:b w:val="0"/>
          <w:sz w:val="32"/>
        </w:rPr>
        <w:t>本单位无其他需说明的事项。</w:t>
      </w:r>
    </w:p>
    <w:p w14:paraId="642E6B04">
      <w:r>
        <w:br w:type="page"/>
      </w:r>
    </w:p>
    <w:p w14:paraId="24A8942F">
      <w:pPr>
        <w:spacing w:line="240" w:lineRule="auto"/>
        <w:jc w:val="center"/>
        <w:outlineLvl w:val="1"/>
      </w:pPr>
      <w:r>
        <w:rPr>
          <w:rFonts w:ascii="黑体" w:hAnsi="黑体" w:eastAsia="黑体"/>
          <w:sz w:val="32"/>
        </w:rPr>
        <w:t>第三部分 专业名词解释</w:t>
      </w:r>
    </w:p>
    <w:p w14:paraId="421A76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895E6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61EC6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CB9D06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10D84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7B4BF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4902EB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AF62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86E49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57B778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6A01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E2957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312955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B3ABA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3F4FD2A">
      <w:r>
        <w:br w:type="page"/>
      </w:r>
    </w:p>
    <w:p w14:paraId="1D51392D">
      <w:pPr>
        <w:spacing w:line="240" w:lineRule="auto"/>
        <w:jc w:val="center"/>
        <w:outlineLvl w:val="1"/>
      </w:pPr>
      <w:r>
        <w:rPr>
          <w:rFonts w:ascii="黑体" w:hAnsi="黑体" w:eastAsia="黑体"/>
          <w:sz w:val="32"/>
        </w:rPr>
        <w:t>第四部分 部门决算报表（见附表）</w:t>
      </w:r>
    </w:p>
    <w:p w14:paraId="0978CB70">
      <w:pPr>
        <w:spacing w:line="240" w:lineRule="auto"/>
        <w:ind w:firstLine="640"/>
        <w:jc w:val="both"/>
      </w:pPr>
      <w:r>
        <w:rPr>
          <w:rFonts w:ascii="仿宋_GB2312" w:hAnsi="仿宋_GB2312" w:eastAsia="仿宋_GB2312"/>
          <w:b w:val="0"/>
          <w:sz w:val="32"/>
        </w:rPr>
        <w:t>一、《收入支出决算总表》</w:t>
      </w:r>
    </w:p>
    <w:p w14:paraId="3EFAE046">
      <w:pPr>
        <w:spacing w:line="240" w:lineRule="auto"/>
        <w:ind w:firstLine="640"/>
        <w:jc w:val="both"/>
      </w:pPr>
      <w:r>
        <w:rPr>
          <w:rFonts w:ascii="仿宋_GB2312" w:hAnsi="仿宋_GB2312" w:eastAsia="仿宋_GB2312"/>
          <w:b w:val="0"/>
          <w:sz w:val="32"/>
        </w:rPr>
        <w:t>二、《收入决算表》</w:t>
      </w:r>
    </w:p>
    <w:p w14:paraId="0EBDC7CF">
      <w:pPr>
        <w:spacing w:line="240" w:lineRule="auto"/>
        <w:ind w:firstLine="640"/>
        <w:jc w:val="both"/>
      </w:pPr>
      <w:r>
        <w:rPr>
          <w:rFonts w:ascii="仿宋_GB2312" w:hAnsi="仿宋_GB2312" w:eastAsia="仿宋_GB2312"/>
          <w:b w:val="0"/>
          <w:sz w:val="32"/>
        </w:rPr>
        <w:t>三、《支出决算表》</w:t>
      </w:r>
    </w:p>
    <w:p w14:paraId="319B2C48">
      <w:pPr>
        <w:spacing w:line="240" w:lineRule="auto"/>
        <w:ind w:firstLine="640"/>
        <w:jc w:val="both"/>
      </w:pPr>
      <w:r>
        <w:rPr>
          <w:rFonts w:ascii="仿宋_GB2312" w:hAnsi="仿宋_GB2312" w:eastAsia="仿宋_GB2312"/>
          <w:b w:val="0"/>
          <w:sz w:val="32"/>
        </w:rPr>
        <w:t>四、《财政拨款收入支出决算总表》</w:t>
      </w:r>
    </w:p>
    <w:p w14:paraId="7DB27BEE">
      <w:pPr>
        <w:spacing w:line="240" w:lineRule="auto"/>
        <w:ind w:firstLine="640"/>
        <w:jc w:val="both"/>
      </w:pPr>
      <w:r>
        <w:rPr>
          <w:rFonts w:ascii="仿宋_GB2312" w:hAnsi="仿宋_GB2312" w:eastAsia="仿宋_GB2312"/>
          <w:b w:val="0"/>
          <w:sz w:val="32"/>
        </w:rPr>
        <w:t>五、《一般公共预算财政拨款支出决算表》</w:t>
      </w:r>
    </w:p>
    <w:p w14:paraId="46D88C0E">
      <w:pPr>
        <w:spacing w:line="240" w:lineRule="auto"/>
        <w:ind w:firstLine="640"/>
        <w:jc w:val="both"/>
      </w:pPr>
      <w:r>
        <w:rPr>
          <w:rFonts w:ascii="仿宋_GB2312" w:hAnsi="仿宋_GB2312" w:eastAsia="仿宋_GB2312"/>
          <w:b w:val="0"/>
          <w:sz w:val="32"/>
        </w:rPr>
        <w:t>六、《一般公共预算财政拨款基本支出决算表》</w:t>
      </w:r>
    </w:p>
    <w:p w14:paraId="7ACC4BB4">
      <w:pPr>
        <w:spacing w:line="240" w:lineRule="auto"/>
        <w:ind w:firstLine="640"/>
        <w:jc w:val="both"/>
      </w:pPr>
      <w:r>
        <w:rPr>
          <w:rFonts w:ascii="仿宋_GB2312" w:hAnsi="仿宋_GB2312" w:eastAsia="仿宋_GB2312"/>
          <w:b w:val="0"/>
          <w:sz w:val="32"/>
        </w:rPr>
        <w:t>七、《政府性基金预算财政拨款收入支出决算表》</w:t>
      </w:r>
    </w:p>
    <w:p w14:paraId="7097990D">
      <w:pPr>
        <w:spacing w:line="240" w:lineRule="auto"/>
        <w:ind w:firstLine="640"/>
        <w:jc w:val="both"/>
      </w:pPr>
      <w:r>
        <w:rPr>
          <w:rFonts w:ascii="仿宋_GB2312" w:hAnsi="仿宋_GB2312" w:eastAsia="仿宋_GB2312"/>
          <w:b w:val="0"/>
          <w:sz w:val="32"/>
        </w:rPr>
        <w:t>八、《国有资本经营预算财政拨款收入支出决算表》</w:t>
      </w:r>
    </w:p>
    <w:p w14:paraId="4CE44E66">
      <w:pPr>
        <w:spacing w:line="240" w:lineRule="auto"/>
        <w:ind w:firstLine="640"/>
        <w:jc w:val="both"/>
      </w:pPr>
      <w:r>
        <w:rPr>
          <w:rFonts w:ascii="仿宋_GB2312" w:hAnsi="仿宋_GB2312" w:eastAsia="仿宋_GB2312"/>
          <w:b w:val="0"/>
          <w:sz w:val="32"/>
        </w:rPr>
        <w:t>九、《财政拨款“三公”经费支出决算表》</w:t>
      </w:r>
    </w:p>
    <w:p w14:paraId="4B127E3A">
      <w:pPr>
        <w:spacing w:line="240" w:lineRule="auto"/>
        <w:ind w:firstLine="640"/>
        <w:jc w:val="both"/>
      </w:pPr>
    </w:p>
    <w:p w14:paraId="093EB363">
      <w:pPr>
        <w:spacing w:line="240" w:lineRule="auto"/>
        <w:ind w:firstLine="640"/>
        <w:jc w:val="both"/>
      </w:pPr>
    </w:p>
    <w:p w14:paraId="076AABCA">
      <w:pPr>
        <w:spacing w:line="240" w:lineRule="auto"/>
        <w:ind w:firstLine="640"/>
        <w:jc w:val="both"/>
      </w:pPr>
    </w:p>
    <w:p w14:paraId="6E06E3F5">
      <w:pPr>
        <w:spacing w:line="240" w:lineRule="auto"/>
        <w:ind w:firstLine="640"/>
        <w:jc w:val="both"/>
      </w:pPr>
    </w:p>
    <w:p w14:paraId="649C4DE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E5F335-9A7B-45FD-842E-7D6371033B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4932B500-B55C-4F8E-8EE8-E928FA1D2AF2}"/>
  </w:font>
  <w:font w:name="楷体_GB2312">
    <w:panose1 w:val="02010609030101010101"/>
    <w:charset w:val="86"/>
    <w:family w:val="auto"/>
    <w:pitch w:val="default"/>
    <w:sig w:usb0="00000001" w:usb1="080E0000" w:usb2="00000000" w:usb3="00000000" w:csb0="00040000" w:csb1="00000000"/>
    <w:embedRegular r:id="rId3" w:fontKey="{E9A2A09A-FC05-4725-A193-F703B728D71B}"/>
  </w:font>
  <w:font w:name="方正小标宋_GBK">
    <w:panose1 w:val="02000000000000000000"/>
    <w:charset w:val="86"/>
    <w:family w:val="script"/>
    <w:pitch w:val="default"/>
    <w:sig w:usb0="A00002BF" w:usb1="38CF7CFA" w:usb2="00082016" w:usb3="00000000" w:csb0="00040001" w:csb1="00000000"/>
    <w:embedRegular r:id="rId4" w:fontKey="{4CEDAC75-FC9C-4CF8-B81A-986CB6EDD91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6E188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E90FA1"/>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817c2f4c-a08e-4ca9-bd3f-8cdbbd2d691b</errorID>
      <errorWord>2月31日</errorWord>
      <group>L1_Sensitive</group>
      <groupName>敏感问题</groupName>
      <ability>L2_UserSensitive</ability>
      <abilityName>自定义敏感词</abilityName>
      <candidateList/>
      <explain>来自自定义敏感词库。</explain>
      <paraID> 9F2F9A4</paraID>
      <start>8</start>
      <end>13</end>
      <status>unmodified</status>
      <modifiedWord/>
      <trackRevisions>false</trackRevisions>
    </reviewItem>
    <reviewItem>
      <errorID>86d78035-f7a3-42c4-b1d2-98f2a072c2c2</errorID>
      <errorWord>一体化</errorWord>
      <group>L1_Sensitive</group>
      <groupName>敏感问题</groupName>
      <ability>L2_UserSensitive</ability>
      <abilityName>自定义敏感词</abilityName>
      <candidateList/>
      <explain>来自自定义敏感词库。</explain>
      <paraID>38CF0BEB</paraID>
      <start>0</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370e02-8af8-4fe9-8f61-d831a9fe72a4}">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5617</Words>
  <Characters>6259</Characters>
  <Lines>0</Lines>
  <Paragraphs>0</Paragraphs>
  <TotalTime>13</TotalTime>
  <ScaleCrop>false</ScaleCrop>
  <LinksUpToDate>false</LinksUpToDate>
  <CharactersWithSpaces>6269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2025-11-07T10:01:03Z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