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bookmarkStart w:id="0" w:name="_GoBack"/>
      <w:bookmarkEnd w:id="0"/>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6B8B9FA">
      <w:r>
        <w:br w:type="page"/>
      </w:r>
    </w:p>
    <w:p w14:paraId="4F557A44">
      <w:pPr>
        <w:spacing w:line="640" w:lineRule="exact"/>
        <w:jc w:val="center"/>
        <w:outlineLvl w:val="1"/>
      </w:pPr>
      <w:r>
        <w:rPr>
          <w:rFonts w:ascii="黑体" w:hAnsi="黑体" w:eastAsia="黑体"/>
          <w:sz w:val="32"/>
        </w:rPr>
        <w:t>第一部分 单位概况</w:t>
      </w:r>
    </w:p>
    <w:p w14:paraId="6C83B0C8">
      <w:pPr>
        <w:spacing w:line="640" w:lineRule="exact"/>
        <w:ind w:firstLine="640"/>
        <w:jc w:val="both"/>
        <w:outlineLvl w:val="2"/>
      </w:pPr>
      <w:r>
        <w:rPr>
          <w:rFonts w:ascii="黑体" w:hAnsi="黑体" w:eastAsia="黑体"/>
          <w:sz w:val="32"/>
        </w:rPr>
        <w:t>一、主要职能</w:t>
      </w:r>
    </w:p>
    <w:p w14:paraId="2E3198B4">
      <w:pPr>
        <w:spacing w:line="580" w:lineRule="exact"/>
        <w:ind w:firstLine="640"/>
        <w:jc w:val="both"/>
      </w:pPr>
      <w:r>
        <w:rPr>
          <w:rFonts w:ascii="仿宋_GB2312" w:hAnsi="仿宋_GB2312" w:eastAsia="仿宋_GB2312"/>
          <w:sz w:val="32"/>
        </w:rPr>
        <w:t>（1）负责全县大中专毕业生、下岗失业人员复转退伍军人、农村富余劳动力、城镇新成长劳动力等技能培训和就业培训的组织实施工作。</w:t>
      </w:r>
    </w:p>
    <w:p w14:paraId="06F5FE69">
      <w:pPr>
        <w:spacing w:line="580" w:lineRule="exact"/>
        <w:ind w:firstLine="640"/>
        <w:jc w:val="both"/>
      </w:pPr>
      <w:r>
        <w:rPr>
          <w:rFonts w:ascii="仿宋_GB2312" w:hAnsi="仿宋_GB2312" w:eastAsia="仿宋_GB2312"/>
          <w:sz w:val="32"/>
        </w:rPr>
        <w:t>（2）负责开展全县农牧民科学技术培训工作。</w:t>
      </w:r>
    </w:p>
    <w:p w14:paraId="1D33887E">
      <w:pPr>
        <w:spacing w:line="580" w:lineRule="exact"/>
        <w:ind w:firstLine="640"/>
        <w:jc w:val="both"/>
      </w:pPr>
      <w:r>
        <w:rPr>
          <w:rFonts w:ascii="仿宋_GB2312" w:hAnsi="仿宋_GB2312" w:eastAsia="仿宋_GB2312"/>
          <w:sz w:val="32"/>
        </w:rPr>
        <w:t>（3）承办县委、县政府及主管部门交办的其他工作。</w:t>
      </w:r>
    </w:p>
    <w:p w14:paraId="6CD191D2">
      <w:pPr>
        <w:spacing w:line="640" w:lineRule="exact"/>
        <w:ind w:firstLine="640"/>
        <w:jc w:val="both"/>
        <w:outlineLvl w:val="2"/>
      </w:pPr>
      <w:r>
        <w:rPr>
          <w:rFonts w:ascii="黑体" w:hAnsi="黑体" w:eastAsia="黑体"/>
          <w:sz w:val="32"/>
        </w:rPr>
        <w:t>二、机构设置及人员情况</w:t>
      </w:r>
    </w:p>
    <w:p w14:paraId="254A53DB">
      <w:pPr>
        <w:spacing w:line="580" w:lineRule="exact"/>
        <w:ind w:firstLine="640"/>
        <w:jc w:val="both"/>
      </w:pPr>
      <w:r>
        <w:rPr>
          <w:rFonts w:ascii="仿宋_GB2312" w:hAnsi="仿宋_GB2312" w:eastAsia="仿宋_GB2312"/>
          <w:sz w:val="32"/>
        </w:rPr>
        <w:t>裕民县技工学校2024年度，实有人数17人，其中：在职人员17人，增加3人；离休人员0人，增加0人；退休人员0人,增加0人。</w:t>
      </w:r>
    </w:p>
    <w:p w14:paraId="78850B82">
      <w:pPr>
        <w:spacing w:line="580" w:lineRule="exact"/>
        <w:ind w:firstLine="640"/>
        <w:jc w:val="both"/>
      </w:pPr>
      <w:r>
        <w:rPr>
          <w:rFonts w:ascii="仿宋_GB2312" w:hAnsi="仿宋_GB2312" w:eastAsia="仿宋_GB2312"/>
          <w:sz w:val="32"/>
        </w:rPr>
        <w:t>裕民县技工学校无下属预算单位，下设6个科室，分别是：办公室、财务室、教务教学室、培训室、招生就业室（人力资源服务站）、总务室。</w:t>
      </w:r>
    </w:p>
    <w:p w14:paraId="70EBAD52">
      <w:r>
        <w:br w:type="page"/>
      </w:r>
    </w:p>
    <w:p w14:paraId="0324B875">
      <w:pPr>
        <w:spacing w:line="240" w:lineRule="auto"/>
        <w:jc w:val="center"/>
        <w:outlineLvl w:val="1"/>
      </w:pPr>
      <w:r>
        <w:rPr>
          <w:rFonts w:ascii="黑体" w:hAnsi="黑体" w:eastAsia="黑体"/>
          <w:sz w:val="32"/>
        </w:rPr>
        <w:t>第二部分 部门决算情况说明</w:t>
      </w:r>
    </w:p>
    <w:p w14:paraId="061719C5">
      <w:pPr>
        <w:spacing w:line="640" w:lineRule="exact"/>
        <w:ind w:firstLine="640"/>
        <w:jc w:val="both"/>
        <w:outlineLvl w:val="2"/>
      </w:pPr>
      <w:r>
        <w:rPr>
          <w:rFonts w:ascii="黑体" w:hAnsi="黑体" w:eastAsia="黑体"/>
          <w:sz w:val="32"/>
        </w:rPr>
        <w:t>一、收入支出决算总体情况说明</w:t>
      </w:r>
    </w:p>
    <w:p w14:paraId="6F4B0EBD">
      <w:pPr>
        <w:spacing w:line="580" w:lineRule="exact"/>
        <w:ind w:firstLine="640"/>
        <w:jc w:val="both"/>
      </w:pPr>
      <w:r>
        <w:rPr>
          <w:rFonts w:ascii="仿宋_GB2312" w:hAnsi="仿宋_GB2312" w:eastAsia="仿宋_GB2312"/>
          <w:b/>
          <w:sz w:val="32"/>
        </w:rPr>
        <w:t>2024年度收入总计410.93万元，</w:t>
      </w:r>
      <w:r>
        <w:rPr>
          <w:rFonts w:ascii="仿宋_GB2312" w:hAnsi="仿宋_GB2312" w:eastAsia="仿宋_GB2312"/>
          <w:b w:val="0"/>
          <w:sz w:val="32"/>
        </w:rPr>
        <w:t>其中：本年收入合计401.88万元，使用非财政拨款结余（含专用结余）0.00万元，年初结转和结余9.04万元。</w:t>
      </w:r>
    </w:p>
    <w:p w14:paraId="2A3EE3D6">
      <w:pPr>
        <w:spacing w:line="580" w:lineRule="exact"/>
        <w:ind w:firstLine="640"/>
        <w:jc w:val="both"/>
      </w:pPr>
      <w:r>
        <w:rPr>
          <w:rFonts w:ascii="仿宋_GB2312" w:hAnsi="仿宋_GB2312" w:eastAsia="仿宋_GB2312"/>
          <w:b/>
          <w:sz w:val="32"/>
        </w:rPr>
        <w:t>2024年度支出总计410.93万元，</w:t>
      </w:r>
      <w:r>
        <w:rPr>
          <w:rFonts w:ascii="仿宋_GB2312" w:hAnsi="仿宋_GB2312" w:eastAsia="仿宋_GB2312"/>
          <w:b w:val="0"/>
          <w:sz w:val="32"/>
        </w:rPr>
        <w:t>其中：本年支出合计318.95万元，结余分配0.00万元，年末结转和结余91.98万元。</w:t>
      </w:r>
    </w:p>
    <w:p w14:paraId="16036F4C">
      <w:pPr>
        <w:spacing w:line="580" w:lineRule="exact"/>
        <w:ind w:firstLine="640"/>
        <w:jc w:val="both"/>
      </w:pPr>
      <w:r>
        <w:rPr>
          <w:rFonts w:ascii="仿宋_GB2312" w:hAnsi="仿宋_GB2312" w:eastAsia="仿宋_GB2312"/>
          <w:b w:val="0"/>
          <w:sz w:val="32"/>
        </w:rPr>
        <w:t>收入支出总体与上年相比，增加24.83万元，增长6.43%，主要原因是：本年在职人员增加3人，在职人员工资调增、社保、公积金基数调增，人员经费增加。</w:t>
      </w:r>
    </w:p>
    <w:p w14:paraId="08C18BE3">
      <w:pPr>
        <w:spacing w:line="640" w:lineRule="exact"/>
        <w:ind w:firstLine="640"/>
        <w:jc w:val="both"/>
        <w:outlineLvl w:val="2"/>
      </w:pPr>
      <w:r>
        <w:rPr>
          <w:rFonts w:ascii="黑体" w:hAnsi="黑体" w:eastAsia="黑体"/>
          <w:sz w:val="32"/>
        </w:rPr>
        <w:t>二、收入决算情况说明</w:t>
      </w:r>
    </w:p>
    <w:p w14:paraId="089D996A">
      <w:pPr>
        <w:spacing w:line="580" w:lineRule="exact"/>
        <w:ind w:firstLine="640"/>
        <w:jc w:val="both"/>
      </w:pPr>
      <w:r>
        <w:rPr>
          <w:rFonts w:ascii="仿宋_GB2312" w:hAnsi="仿宋_GB2312" w:eastAsia="仿宋_GB2312"/>
          <w:b/>
          <w:sz w:val="32"/>
        </w:rPr>
        <w:t>本年收入401.88万元，</w:t>
      </w:r>
      <w:r>
        <w:rPr>
          <w:rFonts w:ascii="仿宋_GB2312" w:hAnsi="仿宋_GB2312" w:eastAsia="仿宋_GB2312"/>
          <w:b w:val="0"/>
          <w:sz w:val="32"/>
        </w:rPr>
        <w:t>其中：财政拨款收入267.63万元，占66.59%；上级补助收入0.00万元，占0.00%；事业收入0.00万元，占0.00%；经营收入0.00万元，占0.00%；附属单位上缴收入0.00万元，占0.00%；其他收入134.26万元，占33.41%。</w:t>
      </w:r>
    </w:p>
    <w:p w14:paraId="4A13C959">
      <w:pPr>
        <w:spacing w:line="640" w:lineRule="exact"/>
        <w:ind w:firstLine="640"/>
        <w:jc w:val="both"/>
        <w:outlineLvl w:val="2"/>
      </w:pPr>
      <w:r>
        <w:rPr>
          <w:rFonts w:ascii="黑体" w:hAnsi="黑体" w:eastAsia="黑体"/>
          <w:sz w:val="32"/>
        </w:rPr>
        <w:t>三、支出决算情况说明</w:t>
      </w:r>
    </w:p>
    <w:p w14:paraId="7A17E640">
      <w:pPr>
        <w:spacing w:line="580" w:lineRule="exact"/>
        <w:ind w:firstLine="640"/>
        <w:jc w:val="both"/>
      </w:pPr>
      <w:r>
        <w:rPr>
          <w:rFonts w:ascii="仿宋_GB2312" w:hAnsi="仿宋_GB2312" w:eastAsia="仿宋_GB2312"/>
          <w:b/>
          <w:sz w:val="32"/>
        </w:rPr>
        <w:t>本年支出318.95万元，</w:t>
      </w:r>
      <w:r>
        <w:rPr>
          <w:rFonts w:ascii="仿宋_GB2312" w:hAnsi="仿宋_GB2312" w:eastAsia="仿宋_GB2312"/>
          <w:b w:val="0"/>
          <w:sz w:val="32"/>
        </w:rPr>
        <w:t>其中：基本支出258.92万元，占81.18%；项目支出60.03万元，占18.82%；上缴上级支出0.00万元，占0.00%；经营支出0.00万元，占0.00%；对附属单位补助支出0.00万元，占0.00%。</w:t>
      </w:r>
    </w:p>
    <w:p w14:paraId="05A8CA5B">
      <w:pPr>
        <w:spacing w:line="640" w:lineRule="exact"/>
        <w:ind w:firstLine="640"/>
        <w:jc w:val="both"/>
        <w:outlineLvl w:val="2"/>
      </w:pPr>
      <w:r>
        <w:rPr>
          <w:rFonts w:ascii="黑体" w:hAnsi="黑体" w:eastAsia="黑体"/>
          <w:sz w:val="32"/>
        </w:rPr>
        <w:t>四、财政拨款收入支出决算总体情况说明</w:t>
      </w:r>
    </w:p>
    <w:p w14:paraId="0FBD09F7">
      <w:pPr>
        <w:spacing w:line="580" w:lineRule="exact"/>
        <w:ind w:firstLine="640"/>
        <w:jc w:val="both"/>
      </w:pPr>
      <w:r>
        <w:rPr>
          <w:rFonts w:ascii="仿宋_GB2312" w:hAnsi="仿宋_GB2312" w:eastAsia="仿宋_GB2312"/>
          <w:b/>
          <w:sz w:val="32"/>
        </w:rPr>
        <w:t>2024年度财政拨款收入总计267.63万元，</w:t>
      </w:r>
      <w:r>
        <w:rPr>
          <w:rFonts w:ascii="仿宋_GB2312" w:hAnsi="仿宋_GB2312" w:eastAsia="仿宋_GB2312"/>
          <w:b w:val="0"/>
          <w:sz w:val="32"/>
        </w:rPr>
        <w:t>其中：年初财政拨款结转和结余0.00万元，本年财政拨款收入267.63万元。</w:t>
      </w:r>
      <w:r>
        <w:rPr>
          <w:rFonts w:ascii="仿宋_GB2312" w:hAnsi="仿宋_GB2312" w:eastAsia="仿宋_GB2312"/>
          <w:b/>
          <w:sz w:val="32"/>
        </w:rPr>
        <w:t>财政拨款支出总计267.63万元，</w:t>
      </w:r>
      <w:r>
        <w:rPr>
          <w:rFonts w:ascii="仿宋_GB2312" w:hAnsi="仿宋_GB2312" w:eastAsia="仿宋_GB2312"/>
          <w:b w:val="0"/>
          <w:sz w:val="32"/>
        </w:rPr>
        <w:t>其中：年末财政拨款结转和结余0.00万元，本年财政拨款支出267.63万元。</w:t>
      </w:r>
    </w:p>
    <w:p w14:paraId="59D8D83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增加54.85万元，增长25.78%，主要原因是：本年在职人员增加3人，工资调增，社保、公积金基数调增，人员经费增加。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年初预算数252.23万元，决算数267.63万元，预决算差异率6.11%，主要原因是：年中追加新增人员工资</w:t>
      </w:r>
      <w:r>
        <w:rPr>
          <w:rFonts w:hint="eastAsia" w:ascii="仿宋_GB2312" w:hAnsi="仿宋_GB2312" w:eastAsia="仿宋_GB2312"/>
          <w:b w:val="0"/>
          <w:sz w:val="32"/>
          <w:lang w:eastAsia="zh-CN"/>
        </w:rPr>
        <w:t>、</w:t>
      </w:r>
      <w:r>
        <w:rPr>
          <w:rFonts w:ascii="仿宋_GB2312" w:hAnsi="仿宋_GB2312" w:eastAsia="仿宋_GB2312"/>
          <w:b w:val="0"/>
          <w:sz w:val="32"/>
        </w:rPr>
        <w:t>在职人员工资、社保、公积金基数调增部分资金，导致预决算存在差异。</w:t>
      </w:r>
    </w:p>
    <w:p w14:paraId="2EB4FB78">
      <w:pPr>
        <w:spacing w:line="640" w:lineRule="exact"/>
        <w:ind w:firstLine="640"/>
        <w:jc w:val="both"/>
        <w:outlineLvl w:val="2"/>
      </w:pPr>
      <w:r>
        <w:rPr>
          <w:rFonts w:ascii="黑体" w:hAnsi="黑体" w:eastAsia="黑体"/>
          <w:sz w:val="32"/>
        </w:rPr>
        <w:t>五、一般公共预算财政拨款支出决算情况说明</w:t>
      </w:r>
    </w:p>
    <w:p w14:paraId="71B64F83">
      <w:pPr>
        <w:spacing w:line="640" w:lineRule="exact"/>
        <w:ind w:firstLine="640"/>
        <w:jc w:val="both"/>
        <w:outlineLvl w:val="3"/>
      </w:pPr>
      <w:r>
        <w:rPr>
          <w:rFonts w:ascii="楷体_GB2312" w:hAnsi="楷体_GB2312" w:eastAsia="楷体_GB2312"/>
          <w:b/>
          <w:sz w:val="32"/>
        </w:rPr>
        <w:t>（一）一般公共预算财政拨款支出决算总体情况</w:t>
      </w:r>
    </w:p>
    <w:p w14:paraId="6AF54395">
      <w:pPr>
        <w:spacing w:line="580" w:lineRule="exact"/>
        <w:ind w:firstLine="640"/>
        <w:jc w:val="both"/>
      </w:pPr>
      <w:r>
        <w:rPr>
          <w:rFonts w:ascii="仿宋_GB2312" w:hAnsi="仿宋_GB2312" w:eastAsia="仿宋_GB2312"/>
          <w:b/>
          <w:sz w:val="32"/>
        </w:rPr>
        <w:t>2024年度一般公共预算财政拨款支出267.63万元，</w:t>
      </w:r>
      <w:r>
        <w:rPr>
          <w:rFonts w:ascii="仿宋_GB2312" w:hAnsi="仿宋_GB2312" w:eastAsia="仿宋_GB2312"/>
          <w:b w:val="0"/>
          <w:sz w:val="32"/>
        </w:rPr>
        <w:t>占本年支出合计的83.91%。</w:t>
      </w:r>
      <w:r>
        <w:rPr>
          <w:rFonts w:ascii="仿宋_GB2312" w:hAnsi="仿宋_GB2312" w:eastAsia="仿宋_GB2312"/>
          <w:b/>
          <w:sz w:val="32"/>
        </w:rPr>
        <w:t>与上年相比，</w:t>
      </w:r>
      <w:r>
        <w:rPr>
          <w:rFonts w:ascii="仿宋_GB2312" w:hAnsi="仿宋_GB2312" w:eastAsia="仿宋_GB2312"/>
          <w:b w:val="0"/>
          <w:sz w:val="32"/>
        </w:rPr>
        <w:t>增加54.85万元，增长25.78%，主要原因是：本年新招录人员增加3人，在职人员工资调增、社保、公积金基数调增，人员经费增加。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年初预算数252.23万元，决算数267.63万元，预决算差异率6.11%，主要原因是：年中追加新增人员工资，在职人员工资、社保、公积金基数调增部分资金，导致预决算存在差异。</w:t>
      </w:r>
    </w:p>
    <w:p w14:paraId="54F11C1F">
      <w:pPr>
        <w:spacing w:line="640" w:lineRule="exact"/>
        <w:ind w:firstLine="640"/>
        <w:jc w:val="both"/>
        <w:outlineLvl w:val="3"/>
      </w:pPr>
      <w:r>
        <w:rPr>
          <w:rFonts w:ascii="楷体_GB2312" w:hAnsi="楷体_GB2312" w:eastAsia="楷体_GB2312"/>
          <w:b/>
          <w:sz w:val="32"/>
        </w:rPr>
        <w:t>（二）一般公共预算财政拨款支出决算结构情况</w:t>
      </w:r>
    </w:p>
    <w:p w14:paraId="141912E0">
      <w:pPr>
        <w:spacing w:line="580" w:lineRule="exact"/>
        <w:ind w:firstLine="640"/>
        <w:jc w:val="both"/>
      </w:pPr>
      <w:r>
        <w:rPr>
          <w:rFonts w:ascii="仿宋_GB2312" w:hAnsi="仿宋_GB2312" w:eastAsia="仿宋_GB2312"/>
          <w:b w:val="0"/>
          <w:sz w:val="32"/>
        </w:rPr>
        <w:t>1.教育支出(类)214.10万元,占80.00%。</w:t>
      </w:r>
    </w:p>
    <w:p w14:paraId="491623CB">
      <w:pPr>
        <w:spacing w:line="580" w:lineRule="exact"/>
        <w:ind w:firstLine="640"/>
        <w:jc w:val="both"/>
      </w:pPr>
      <w:r>
        <w:rPr>
          <w:rFonts w:ascii="仿宋_GB2312" w:hAnsi="仿宋_GB2312" w:eastAsia="仿宋_GB2312"/>
          <w:b w:val="0"/>
          <w:sz w:val="32"/>
        </w:rPr>
        <w:t>2.社会保障和就业支出(类)24.89万元,占9.30%。</w:t>
      </w:r>
    </w:p>
    <w:p w14:paraId="0BA85346">
      <w:pPr>
        <w:spacing w:line="580" w:lineRule="exact"/>
        <w:ind w:firstLine="640"/>
        <w:jc w:val="both"/>
      </w:pPr>
      <w:r>
        <w:rPr>
          <w:rFonts w:ascii="仿宋_GB2312" w:hAnsi="仿宋_GB2312" w:eastAsia="仿宋_GB2312"/>
          <w:b w:val="0"/>
          <w:sz w:val="32"/>
        </w:rPr>
        <w:t>3.卫生健康支出(类)10.17万元,占3.80%。</w:t>
      </w:r>
    </w:p>
    <w:p w14:paraId="608E595B">
      <w:pPr>
        <w:spacing w:line="580" w:lineRule="exact"/>
        <w:ind w:firstLine="640"/>
        <w:jc w:val="both"/>
      </w:pPr>
      <w:r>
        <w:rPr>
          <w:rFonts w:ascii="仿宋_GB2312" w:hAnsi="仿宋_GB2312" w:eastAsia="仿宋_GB2312"/>
          <w:b w:val="0"/>
          <w:sz w:val="32"/>
        </w:rPr>
        <w:t>4.住房保障支出(类)18.47万元,占6.90%。</w:t>
      </w:r>
    </w:p>
    <w:p w14:paraId="7E2E6C54">
      <w:pPr>
        <w:spacing w:line="640" w:lineRule="exact"/>
        <w:ind w:firstLine="640"/>
        <w:jc w:val="both"/>
        <w:outlineLvl w:val="3"/>
      </w:pPr>
      <w:r>
        <w:rPr>
          <w:rFonts w:ascii="楷体_GB2312" w:hAnsi="楷体_GB2312" w:eastAsia="楷体_GB2312"/>
          <w:b/>
          <w:sz w:val="32"/>
        </w:rPr>
        <w:t>（三）一般公共预算财政拨款支出决算具体情况</w:t>
      </w:r>
    </w:p>
    <w:p w14:paraId="41F9AF2B">
      <w:pPr>
        <w:spacing w:line="580" w:lineRule="exact"/>
        <w:ind w:firstLine="640"/>
        <w:jc w:val="both"/>
      </w:pPr>
      <w:r>
        <w:rPr>
          <w:rFonts w:ascii="仿宋_GB2312" w:hAnsi="仿宋_GB2312" w:eastAsia="仿宋_GB2312"/>
          <w:b w:val="0"/>
          <w:sz w:val="32"/>
        </w:rPr>
        <w:t>1.教育支出(类)职业教育(款)技校教育(项):支出决算数为214.10万元，比上年决算增加42.31万元，增长24.63%,主要原因是：本年新招录人员增加3人，在职人员工资调增，人员经费增加。</w:t>
      </w:r>
    </w:p>
    <w:p w14:paraId="0737891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24.89万元，比上年决算增加6.34万元，增长34.18%,主要原因是：本年新招录人员增加3人，在职人员工资调增、社保基数调增，</w:t>
      </w:r>
      <w:r>
        <w:rPr>
          <w:rFonts w:hint="eastAsia" w:ascii="仿宋_GB2312" w:hAnsi="仿宋_GB2312" w:eastAsia="仿宋_GB2312"/>
          <w:b w:val="0"/>
          <w:sz w:val="32"/>
          <w:lang w:val="en-US" w:eastAsia="zh-CN"/>
        </w:rPr>
        <w:t>养老保险缴费</w:t>
      </w:r>
      <w:r>
        <w:rPr>
          <w:rFonts w:ascii="仿宋_GB2312" w:hAnsi="仿宋_GB2312" w:eastAsia="仿宋_GB2312"/>
          <w:b w:val="0"/>
          <w:sz w:val="32"/>
        </w:rPr>
        <w:t>增加。</w:t>
      </w:r>
    </w:p>
    <w:p w14:paraId="2D00750A">
      <w:pPr>
        <w:spacing w:line="580" w:lineRule="exact"/>
        <w:ind w:firstLine="640"/>
        <w:jc w:val="both"/>
      </w:pPr>
      <w:r>
        <w:rPr>
          <w:rFonts w:ascii="仿宋_GB2312" w:hAnsi="仿宋_GB2312" w:eastAsia="仿宋_GB2312"/>
          <w:b w:val="0"/>
          <w:sz w:val="32"/>
        </w:rPr>
        <w:t>3.卫生健康支出(类)行政事业单位医疗(款)事业单位医疗(项):支出决算数为10.17万元，比上年决算增加1.97万元，增长24.02%,主要原因是：本年新招录人员增加3人，在职人员工资调增，医疗基数调增，</w:t>
      </w:r>
      <w:r>
        <w:rPr>
          <w:rFonts w:hint="eastAsia" w:ascii="仿宋_GB2312" w:hAnsi="仿宋_GB2312" w:eastAsia="仿宋_GB2312"/>
          <w:b w:val="0"/>
          <w:sz w:val="32"/>
          <w:lang w:val="en-US" w:eastAsia="zh-CN"/>
        </w:rPr>
        <w:t>相应</w:t>
      </w:r>
      <w:r>
        <w:rPr>
          <w:rFonts w:ascii="仿宋_GB2312" w:hAnsi="仿宋_GB2312" w:eastAsia="仿宋_GB2312"/>
          <w:b w:val="0"/>
          <w:sz w:val="32"/>
        </w:rPr>
        <w:t>经费增加。</w:t>
      </w:r>
    </w:p>
    <w:p w14:paraId="637156D5">
      <w:pPr>
        <w:spacing w:line="580" w:lineRule="exact"/>
        <w:ind w:firstLine="640"/>
        <w:jc w:val="both"/>
      </w:pPr>
      <w:r>
        <w:rPr>
          <w:rFonts w:ascii="仿宋_GB2312" w:hAnsi="仿宋_GB2312" w:eastAsia="仿宋_GB2312"/>
          <w:b w:val="0"/>
          <w:sz w:val="32"/>
        </w:rPr>
        <w:t>4.住房保障支出(类)住房改革支出(款)住房公积金(项):支出决算数为18.47万元，比上年决算增加4.23万元，增长29.71%,主要原因是：本年新招录人员增加3人，在职人员工资调增，公积金基数调增，</w:t>
      </w:r>
      <w:r>
        <w:rPr>
          <w:rFonts w:hint="eastAsia" w:ascii="仿宋_GB2312" w:hAnsi="仿宋_GB2312" w:eastAsia="仿宋_GB2312"/>
          <w:b w:val="0"/>
          <w:sz w:val="32"/>
          <w:lang w:val="en-US" w:eastAsia="zh-CN"/>
        </w:rPr>
        <w:t>相应</w:t>
      </w:r>
      <w:r>
        <w:rPr>
          <w:rFonts w:ascii="仿宋_GB2312" w:hAnsi="仿宋_GB2312" w:eastAsia="仿宋_GB2312"/>
          <w:b w:val="0"/>
          <w:sz w:val="32"/>
        </w:rPr>
        <w:t>经费增加。</w:t>
      </w:r>
    </w:p>
    <w:p w14:paraId="67B9C416">
      <w:pPr>
        <w:spacing w:line="640" w:lineRule="exact"/>
        <w:ind w:firstLine="640"/>
        <w:jc w:val="both"/>
        <w:outlineLvl w:val="2"/>
      </w:pPr>
      <w:r>
        <w:rPr>
          <w:rFonts w:ascii="黑体" w:hAnsi="黑体" w:eastAsia="黑体"/>
          <w:sz w:val="32"/>
        </w:rPr>
        <w:t>六、一般公共预算财政拨款基本支出决算情况说明</w:t>
      </w:r>
    </w:p>
    <w:p w14:paraId="1EEB2F1D">
      <w:pPr>
        <w:spacing w:line="580" w:lineRule="exact"/>
        <w:ind w:firstLine="640"/>
        <w:jc w:val="both"/>
      </w:pPr>
      <w:r>
        <w:rPr>
          <w:rFonts w:ascii="仿宋_GB2312" w:hAnsi="仿宋_GB2312" w:eastAsia="仿宋_GB2312"/>
          <w:b w:val="0"/>
          <w:sz w:val="32"/>
        </w:rPr>
        <w:t>2024年度一般公共预算财政拨款基本支出258.92万元，其中：</w:t>
      </w:r>
      <w:r>
        <w:rPr>
          <w:rFonts w:ascii="仿宋_GB2312" w:hAnsi="仿宋_GB2312" w:eastAsia="仿宋_GB2312"/>
          <w:b/>
          <w:sz w:val="32"/>
        </w:rPr>
        <w:t>人员经费231.51万元，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14:paraId="08308734">
      <w:pPr>
        <w:spacing w:line="580" w:lineRule="exact"/>
        <w:ind w:firstLine="640"/>
        <w:jc w:val="both"/>
      </w:pPr>
      <w:r>
        <w:rPr>
          <w:rFonts w:ascii="仿宋_GB2312" w:hAnsi="仿宋_GB2312" w:eastAsia="仿宋_GB2312"/>
          <w:b/>
          <w:sz w:val="32"/>
        </w:rPr>
        <w:t>公用经费27.41万元，</w:t>
      </w:r>
      <w:r>
        <w:rPr>
          <w:rFonts w:ascii="仿宋_GB2312" w:hAnsi="仿宋_GB2312" w:eastAsia="仿宋_GB2312"/>
          <w:b w:val="0"/>
          <w:sz w:val="32"/>
        </w:rPr>
        <w:t>包括：办公费、水费、电费、邮电费、取暖费、差旅费、培训费、劳务费、工会经费、公务用车运行维护费、其他商品和服务支出。</w:t>
      </w:r>
    </w:p>
    <w:p w14:paraId="17E4404A">
      <w:pPr>
        <w:spacing w:line="640" w:lineRule="exact"/>
        <w:ind w:firstLine="640"/>
        <w:jc w:val="both"/>
        <w:outlineLvl w:val="2"/>
      </w:pPr>
      <w:r>
        <w:rPr>
          <w:rFonts w:ascii="黑体" w:hAnsi="黑体" w:eastAsia="黑体"/>
          <w:sz w:val="32"/>
        </w:rPr>
        <w:t>七、政府性基金预算财政拨款收入支出决算情况说明</w:t>
      </w:r>
    </w:p>
    <w:p w14:paraId="3DCABE7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1095CEC">
      <w:pPr>
        <w:spacing w:line="640" w:lineRule="exact"/>
        <w:ind w:firstLine="640"/>
        <w:jc w:val="both"/>
        <w:outlineLvl w:val="2"/>
      </w:pPr>
      <w:r>
        <w:rPr>
          <w:rFonts w:ascii="黑体" w:hAnsi="黑体" w:eastAsia="黑体"/>
          <w:sz w:val="32"/>
        </w:rPr>
        <w:t>八、国有资本经营预算财政拨款收入支出决算情况说明</w:t>
      </w:r>
    </w:p>
    <w:p w14:paraId="290CFB7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C4C4839">
      <w:pPr>
        <w:spacing w:line="640" w:lineRule="exact"/>
        <w:ind w:firstLine="640"/>
        <w:jc w:val="both"/>
        <w:outlineLvl w:val="2"/>
      </w:pPr>
      <w:r>
        <w:rPr>
          <w:rFonts w:ascii="黑体" w:hAnsi="黑体" w:eastAsia="黑体"/>
          <w:sz w:val="32"/>
        </w:rPr>
        <w:t>九、财政拨款“三公”经费支出决算情况说明</w:t>
      </w:r>
    </w:p>
    <w:p w14:paraId="0AAEB50C">
      <w:pPr>
        <w:spacing w:line="580" w:lineRule="exact"/>
        <w:ind w:firstLine="640"/>
        <w:jc w:val="both"/>
      </w:pPr>
      <w:r>
        <w:rPr>
          <w:rFonts w:ascii="仿宋_GB2312" w:hAnsi="仿宋_GB2312" w:eastAsia="仿宋_GB2312"/>
          <w:b/>
          <w:sz w:val="32"/>
        </w:rPr>
        <w:t>2024年度财政拨款“三公”经费支出0.29万元，</w:t>
      </w:r>
      <w:r>
        <w:rPr>
          <w:rFonts w:ascii="仿宋_GB2312" w:hAnsi="仿宋_GB2312" w:eastAsia="仿宋_GB2312"/>
          <w:b w:val="0"/>
          <w:sz w:val="32"/>
        </w:rPr>
        <w:t>比上年增加0.29万元，增长100.00%，主要原因是：本年调剂一辆公务用车，增加公务用车运行费。其中：因公出国（境）费支出0.00万元，占0.00%，比上年增加0.00万元，增长0.00%，主要原因是：2023年与2024年均未安排因公出国（境）费支出。公务用车购置及运行维护费支出0.29万元，占100.00%，比上年增加0.29万元，增长100.00%，主要原因是：本年调剂一辆公务用车，增加公务用车运行费。公务接待费支出0.00万元，占0.00%，比上年增加0.00万元，增长0.00%，主要原因是：2023年与2024年均未安排公务接待费支出。</w:t>
      </w:r>
    </w:p>
    <w:p w14:paraId="44BB8B9E">
      <w:pPr>
        <w:spacing w:line="580" w:lineRule="exact"/>
        <w:ind w:firstLine="640"/>
        <w:jc w:val="both"/>
      </w:pPr>
      <w:r>
        <w:rPr>
          <w:rFonts w:ascii="仿宋_GB2312" w:hAnsi="仿宋_GB2312" w:eastAsia="仿宋_GB2312"/>
          <w:b/>
          <w:sz w:val="32"/>
        </w:rPr>
        <w:t>具体情况如下：</w:t>
      </w:r>
    </w:p>
    <w:p w14:paraId="7ABD117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C2B55D">
      <w:pPr>
        <w:spacing w:line="580" w:lineRule="exact"/>
        <w:ind w:firstLine="640"/>
        <w:jc w:val="both"/>
      </w:pPr>
      <w:r>
        <w:rPr>
          <w:rFonts w:ascii="仿宋_GB2312" w:hAnsi="仿宋_GB2312" w:eastAsia="仿宋_GB2312"/>
          <w:b w:val="0"/>
          <w:sz w:val="32"/>
        </w:rPr>
        <w:t>公务用车购置及运行维护费0.29万元，其中：公务用车购置费0.00万元，公务用车运行维护费0.29万元。公务用车运行维护费开支内容包括车辆加油费、保险费。公务用车购置数0辆，公务用车保有量1辆。国有资产占用情况中固定资产车辆1辆，与公务用车保有量差异原因是：本单位固定资产车辆与公务用车保有量一致无差异。</w:t>
      </w:r>
    </w:p>
    <w:p w14:paraId="30BA596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B57F7A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财政拨款“三公”经费支出全年预算数0.60万元，决算数0.29万元，预决算差异率-51.67%，主要原因是：严格落实中央八项规定精神，厉行节约，减少</w:t>
      </w:r>
      <w:r>
        <w:rPr>
          <w:rFonts w:hint="eastAsia" w:ascii="仿宋_GB2312" w:hAnsi="仿宋_GB2312" w:eastAsia="仿宋_GB2312"/>
          <w:b w:val="0"/>
          <w:sz w:val="32"/>
          <w:lang w:val="en-US" w:eastAsia="zh-CN"/>
        </w:rPr>
        <w:t>公务用车运行维护</w:t>
      </w:r>
      <w:r>
        <w:rPr>
          <w:rFonts w:ascii="仿宋_GB2312" w:hAnsi="仿宋_GB2312" w:eastAsia="仿宋_GB2312"/>
          <w:b w:val="0"/>
          <w:sz w:val="32"/>
        </w:rPr>
        <w:t>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0.60万元，决算数0.29万元，预决算差异率-51.67%，主要原因是：严格落实中央八项规定精神，厉行节约，减少</w:t>
      </w:r>
      <w:r>
        <w:rPr>
          <w:rFonts w:hint="eastAsia" w:ascii="仿宋_GB2312" w:hAnsi="仿宋_GB2312" w:eastAsia="仿宋_GB2312"/>
          <w:b w:val="0"/>
          <w:sz w:val="32"/>
          <w:lang w:val="en-US" w:eastAsia="zh-CN"/>
        </w:rPr>
        <w:t>公务用车运行维护</w:t>
      </w:r>
      <w:r>
        <w:rPr>
          <w:rFonts w:ascii="仿宋_GB2312" w:hAnsi="仿宋_GB2312" w:eastAsia="仿宋_GB2312"/>
          <w:b w:val="0"/>
          <w:sz w:val="32"/>
        </w:rPr>
        <w:t>费支出。公务接待费全年预算数0.00万元，决算数0.00万元，预决算差异率0.00%，主要原因是：本单位无公务接待费。</w:t>
      </w:r>
    </w:p>
    <w:p w14:paraId="7AAD130B">
      <w:pPr>
        <w:spacing w:line="640" w:lineRule="exact"/>
        <w:ind w:firstLine="640"/>
        <w:jc w:val="both"/>
        <w:outlineLvl w:val="2"/>
      </w:pPr>
      <w:r>
        <w:rPr>
          <w:rFonts w:ascii="黑体" w:hAnsi="黑体" w:eastAsia="黑体"/>
          <w:sz w:val="32"/>
        </w:rPr>
        <w:t>十、其他重要事项的情况说明</w:t>
      </w:r>
    </w:p>
    <w:p w14:paraId="430CEF88">
      <w:pPr>
        <w:spacing w:line="640" w:lineRule="exact"/>
        <w:ind w:firstLine="640"/>
        <w:jc w:val="both"/>
        <w:outlineLvl w:val="3"/>
      </w:pPr>
      <w:r>
        <w:rPr>
          <w:rFonts w:ascii="楷体_GB2312" w:hAnsi="楷体_GB2312" w:eastAsia="楷体_GB2312"/>
          <w:b/>
          <w:sz w:val="32"/>
        </w:rPr>
        <w:t>（一）机关运行经费及公用经费支出情况</w:t>
      </w:r>
    </w:p>
    <w:p w14:paraId="57180970">
      <w:pPr>
        <w:spacing w:line="580" w:lineRule="exact"/>
        <w:ind w:firstLine="640"/>
        <w:jc w:val="both"/>
      </w:pPr>
      <w:r>
        <w:rPr>
          <w:rFonts w:ascii="仿宋_GB2312" w:hAnsi="仿宋_GB2312" w:eastAsia="仿宋_GB2312"/>
          <w:b w:val="0"/>
          <w:sz w:val="32"/>
        </w:rPr>
        <w:t>2024年度裕民县技工学校（事业单位）公用经费支出27.41万元，比上年减少1.86万元，下降6.35%，主要原因是：本年度单位节约用电、节约用水，费用上相对减少。</w:t>
      </w:r>
    </w:p>
    <w:p w14:paraId="5FD0BADB">
      <w:pPr>
        <w:spacing w:line="640" w:lineRule="exact"/>
        <w:ind w:firstLine="640"/>
        <w:jc w:val="both"/>
        <w:outlineLvl w:val="3"/>
      </w:pPr>
      <w:r>
        <w:rPr>
          <w:rFonts w:ascii="楷体_GB2312" w:hAnsi="楷体_GB2312" w:eastAsia="楷体_GB2312"/>
          <w:b/>
          <w:sz w:val="32"/>
        </w:rPr>
        <w:t>（二）政府采购情况</w:t>
      </w:r>
    </w:p>
    <w:p w14:paraId="6636CD08">
      <w:pPr>
        <w:spacing w:line="580" w:lineRule="exact"/>
        <w:ind w:firstLine="640"/>
        <w:jc w:val="both"/>
      </w:pPr>
      <w:r>
        <w:rPr>
          <w:rFonts w:ascii="仿宋_GB2312" w:hAnsi="仿宋_GB2312" w:eastAsia="仿宋_GB2312"/>
          <w:b w:val="0"/>
          <w:sz w:val="32"/>
        </w:rPr>
        <w:t>2024年度政府采购支出总额2.35万元，其中：政府采购货物支出2.06万元、政府采购工程支出0.00万元、政府采购服务支出0.29万元。</w:t>
      </w:r>
    </w:p>
    <w:p w14:paraId="6AD6A959">
      <w:pPr>
        <w:spacing w:line="580" w:lineRule="exact"/>
        <w:ind w:firstLine="640"/>
        <w:jc w:val="both"/>
      </w:pPr>
      <w:r>
        <w:rPr>
          <w:rFonts w:ascii="仿宋_GB2312" w:hAnsi="仿宋_GB2312" w:eastAsia="仿宋_GB2312"/>
          <w:b w:val="0"/>
          <w:sz w:val="32"/>
        </w:rPr>
        <w:t>授予中小企业合同金额1.76万元，占政府采购支出总额的74.89%，其中：授予小微企业合同金额1.76万元，占政府采购支出总额的74.89%。</w:t>
      </w:r>
    </w:p>
    <w:p w14:paraId="3551E9EE">
      <w:pPr>
        <w:spacing w:line="640" w:lineRule="exact"/>
        <w:ind w:firstLine="640"/>
        <w:jc w:val="both"/>
        <w:outlineLvl w:val="3"/>
      </w:pPr>
      <w:r>
        <w:rPr>
          <w:rFonts w:ascii="楷体_GB2312" w:hAnsi="楷体_GB2312" w:eastAsia="楷体_GB2312"/>
          <w:b/>
          <w:sz w:val="32"/>
        </w:rPr>
        <w:t>（三）国有资产占用情况说明</w:t>
      </w:r>
    </w:p>
    <w:p w14:paraId="631E7A93">
      <w:pPr>
        <w:spacing w:line="580" w:lineRule="exact"/>
        <w:ind w:firstLine="640"/>
        <w:jc w:val="both"/>
      </w:pPr>
      <w:r>
        <w:rPr>
          <w:rFonts w:ascii="仿宋_GB2312" w:hAnsi="仿宋_GB2312" w:eastAsia="仿宋_GB2312"/>
          <w:b w:val="0"/>
          <w:sz w:val="32"/>
        </w:rPr>
        <w:t>截至2024年12月31日，房屋0.00平方米，价值0.00万元。车辆1辆，价值4.50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5335434">
      <w:pPr>
        <w:spacing w:line="640" w:lineRule="exact"/>
        <w:ind w:firstLine="640"/>
        <w:jc w:val="both"/>
        <w:outlineLvl w:val="2"/>
      </w:pPr>
      <w:r>
        <w:rPr>
          <w:rFonts w:ascii="黑体" w:hAnsi="黑体" w:eastAsia="黑体"/>
          <w:sz w:val="32"/>
        </w:rPr>
        <w:t>十一、预算绩效的情况说明</w:t>
      </w:r>
    </w:p>
    <w:p w14:paraId="3B9D6E9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420.90万元，实际执行总额318.95万元；预算绩效评价项目3个，全年预算数60.03万元，全年执行数60.03万元。预算绩效管理取得的成效：一是资金使用效益提升通过设定清晰的绩效目标，强化“花钱必问效、无效必问责”的导向，推动资金向重点领域、高效项目倾斜，避免了资金闲置和浪费。二是管理流程规范化，从绩效目标设定、评价到结果应用，形成了全流程闭环管理，减少了预算编制的主观性和随意性，预算与实际需求的匹配度更高，项目执行中的偏差能被及时发现和纠正。发现的问题及原因：一是绩效目标设定不够科学，部分项目目标模糊、量化不足，与实际工作需求脱节，难以衡量成效，目标与预算金额匹配度低。二是绩效流于形式，多集中在过程性指标，跟踪不足，发现问题后整改不及时，预警作用未充分发挥。下一步改进措施：一是强化绩效目标源头管理，推动绩效目标与部门职能、发展规划深度衔接，要求目标具体、可量化、可考核，对不符合要求的予以退回修改，确保目标合理、预算合规。二是做实全过程绩效，确保自身单位制定整改方案并跟踪落实，建立“日常自查+定期报告”制度。三是提高自身思想认识，抛开惯性思维，提高主动性和积极性，确保绩效工作真实准确。具体附整体支出绩效自评表，项目支出绩效自评表和评价报告。</w:t>
      </w:r>
    </w:p>
    <w:p w14:paraId="1DCE2486">
      <w:r>
        <w:br w:type="page"/>
      </w:r>
    </w:p>
    <w:tbl>
      <w:tblPr>
        <w:tblStyle w:val="9"/>
        <w:tblW w:w="0" w:type="auto"/>
        <w:tblInd w:w="0" w:type="dxa"/>
        <w:tblLayout w:type="autofit"/>
        <w:tblCellMar>
          <w:top w:w="0" w:type="dxa"/>
          <w:left w:w="108" w:type="dxa"/>
          <w:bottom w:w="0" w:type="dxa"/>
          <w:right w:w="108" w:type="dxa"/>
        </w:tblCellMar>
      </w:tblPr>
      <w:tblGrid>
        <w:gridCol w:w="1105"/>
        <w:gridCol w:w="920"/>
        <w:gridCol w:w="1117"/>
        <w:gridCol w:w="1278"/>
        <w:gridCol w:w="1105"/>
        <w:gridCol w:w="1105"/>
        <w:gridCol w:w="1105"/>
        <w:gridCol w:w="1105"/>
      </w:tblGrid>
      <w:tr w14:paraId="5BED63B8">
        <w:tblPrEx>
          <w:tblCellMar>
            <w:top w:w="0" w:type="dxa"/>
            <w:left w:w="108" w:type="dxa"/>
            <w:bottom w:w="0" w:type="dxa"/>
            <w:right w:w="108" w:type="dxa"/>
          </w:tblCellMar>
        </w:tblPrEx>
        <w:tc>
          <w:tcPr>
            <w:tcW w:w="8840" w:type="dxa"/>
            <w:gridSpan w:val="8"/>
            <w:vAlign w:val="center"/>
          </w:tcPr>
          <w:p w14:paraId="5B419F59">
            <w:pPr>
              <w:jc w:val="center"/>
            </w:pPr>
            <w:r>
              <w:rPr>
                <w:rFonts w:ascii="宋体" w:hAnsi="宋体" w:eastAsia="宋体"/>
                <w:sz w:val="24"/>
              </w:rPr>
              <w:t>单位整体支出绩效自评表</w:t>
            </w:r>
          </w:p>
        </w:tc>
      </w:tr>
      <w:tr w14:paraId="7B9316ED">
        <w:tblPrEx>
          <w:tblCellMar>
            <w:top w:w="0" w:type="dxa"/>
            <w:left w:w="108" w:type="dxa"/>
            <w:bottom w:w="0" w:type="dxa"/>
            <w:right w:w="108" w:type="dxa"/>
          </w:tblCellMar>
        </w:tblPrEx>
        <w:tc>
          <w:tcPr>
            <w:tcW w:w="8840" w:type="dxa"/>
            <w:gridSpan w:val="8"/>
            <w:vAlign w:val="center"/>
          </w:tcPr>
          <w:p w14:paraId="76F684AC">
            <w:pPr>
              <w:jc w:val="center"/>
            </w:pPr>
            <w:r>
              <w:rPr>
                <w:rFonts w:ascii="宋体" w:hAnsi="宋体" w:eastAsia="宋体"/>
                <w:sz w:val="24"/>
              </w:rPr>
              <w:t>（2024年度）</w:t>
            </w:r>
          </w:p>
        </w:tc>
      </w:tr>
      <w:tr w14:paraId="7A189E1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CC92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F83E5A">
            <w:pPr>
              <w:jc w:val="center"/>
            </w:pPr>
            <w:r>
              <w:rPr>
                <w:rFonts w:ascii="宋体" w:hAnsi="宋体" w:eastAsia="宋体"/>
                <w:sz w:val="16"/>
              </w:rPr>
              <w:t>裕民县技工学校</w:t>
            </w:r>
          </w:p>
        </w:tc>
      </w:tr>
      <w:tr w14:paraId="7A4F4BF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66E5C">
            <w:pPr>
              <w:jc w:val="center"/>
            </w:pPr>
            <w:r>
              <w:rPr>
                <w:rFonts w:ascii="宋体" w:hAnsi="宋体" w:eastAsia="宋体"/>
                <w:sz w:val="16"/>
              </w:rPr>
              <w:t>部门资金（万元）</w:t>
            </w:r>
          </w:p>
        </w:tc>
        <w:tc>
          <w:tcPr>
            <w:tcW w:w="920" w:type="dxa"/>
            <w:tcBorders>
              <w:top w:val="single" w:color="auto" w:sz="10" w:space="0"/>
              <w:left w:val="single" w:color="auto" w:sz="10" w:space="0"/>
              <w:bottom w:val="single" w:color="auto" w:sz="10" w:space="0"/>
              <w:right w:val="single" w:color="auto" w:sz="10" w:space="0"/>
              <w:insideV w:val="single" w:sz="10" w:space="0"/>
            </w:tcBorders>
            <w:vAlign w:val="center"/>
          </w:tcPr>
          <w:p w14:paraId="26A08722">
            <w:pPr>
              <w:jc w:val="center"/>
            </w:pPr>
            <w:r>
              <w:rPr>
                <w:rFonts w:ascii="宋体" w:hAnsi="宋体" w:eastAsia="宋体"/>
                <w:sz w:val="16"/>
              </w:rPr>
              <w:t>资金来源</w:t>
            </w:r>
          </w:p>
        </w:tc>
        <w:tc>
          <w:tcPr>
            <w:tcW w:w="1117" w:type="dxa"/>
            <w:tcBorders>
              <w:top w:val="single" w:color="auto" w:sz="10" w:space="0"/>
              <w:left w:val="single" w:color="auto" w:sz="10" w:space="0"/>
              <w:bottom w:val="single" w:color="auto" w:sz="10" w:space="0"/>
              <w:right w:val="single" w:color="auto" w:sz="10" w:space="0"/>
              <w:insideV w:val="single" w:sz="10" w:space="0"/>
            </w:tcBorders>
            <w:vAlign w:val="center"/>
          </w:tcPr>
          <w:p w14:paraId="3B4446AA">
            <w:pPr>
              <w:jc w:val="center"/>
            </w:pPr>
            <w:r>
              <w:rPr>
                <w:rFonts w:ascii="宋体" w:hAnsi="宋体" w:eastAsia="宋体"/>
                <w:sz w:val="16"/>
              </w:rPr>
              <w:t>年初预算数</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1145546B">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772CB">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CF76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4159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49FBD">
            <w:pPr>
              <w:jc w:val="center"/>
            </w:pPr>
            <w:r>
              <w:rPr>
                <w:rFonts w:ascii="宋体" w:hAnsi="宋体" w:eastAsia="宋体"/>
                <w:sz w:val="16"/>
              </w:rPr>
              <w:t>得分</w:t>
            </w:r>
          </w:p>
        </w:tc>
      </w:tr>
      <w:tr w14:paraId="30EA40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E796E5"/>
        </w:tc>
        <w:tc>
          <w:tcPr>
            <w:tcW w:w="920" w:type="dxa"/>
            <w:tcBorders>
              <w:top w:val="single" w:color="auto" w:sz="10" w:space="0"/>
              <w:left w:val="single" w:color="auto" w:sz="10" w:space="0"/>
              <w:bottom w:val="single" w:color="auto" w:sz="10" w:space="0"/>
              <w:right w:val="single" w:color="auto" w:sz="10" w:space="0"/>
              <w:insideV w:val="single" w:sz="10" w:space="0"/>
            </w:tcBorders>
            <w:vAlign w:val="center"/>
          </w:tcPr>
          <w:p w14:paraId="64DC6B6F">
            <w:pPr>
              <w:jc w:val="center"/>
            </w:pPr>
            <w:r>
              <w:rPr>
                <w:rFonts w:ascii="宋体" w:hAnsi="宋体" w:eastAsia="宋体"/>
                <w:sz w:val="16"/>
              </w:rPr>
              <w:t>年度总资金</w:t>
            </w:r>
          </w:p>
        </w:tc>
        <w:tc>
          <w:tcPr>
            <w:tcW w:w="1117" w:type="dxa"/>
            <w:tcBorders>
              <w:top w:val="single" w:color="auto" w:sz="10" w:space="0"/>
              <w:left w:val="single" w:color="auto" w:sz="10" w:space="0"/>
              <w:bottom w:val="single" w:color="auto" w:sz="10" w:space="0"/>
              <w:right w:val="single" w:color="auto" w:sz="10" w:space="0"/>
              <w:insideV w:val="single" w:sz="10" w:space="0"/>
            </w:tcBorders>
            <w:vAlign w:val="center"/>
          </w:tcPr>
          <w:p w14:paraId="62923F6F">
            <w:pPr>
              <w:jc w:val="center"/>
            </w:pPr>
            <w:r>
              <w:rPr>
                <w:rFonts w:ascii="宋体" w:hAnsi="宋体" w:eastAsia="宋体"/>
                <w:sz w:val="16"/>
              </w:rPr>
              <w:t>381.27</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300DC1C7">
            <w:pPr>
              <w:jc w:val="center"/>
            </w:pPr>
            <w:r>
              <w:rPr>
                <w:rFonts w:ascii="宋体" w:hAnsi="宋体" w:eastAsia="宋体"/>
                <w:sz w:val="16"/>
              </w:rPr>
              <w:t>420.90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B9FA5">
            <w:pPr>
              <w:jc w:val="center"/>
            </w:pPr>
            <w:r>
              <w:rPr>
                <w:rFonts w:ascii="宋体" w:hAnsi="宋体" w:eastAsia="宋体"/>
                <w:sz w:val="16"/>
              </w:rPr>
              <w:t>318.95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B03D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BA1C1">
            <w:pPr>
              <w:jc w:val="center"/>
            </w:pPr>
            <w:r>
              <w:rPr>
                <w:rFonts w:ascii="宋体" w:hAnsi="宋体" w:eastAsia="宋体"/>
                <w:sz w:val="16"/>
              </w:rPr>
              <w:t>75.78%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77352">
            <w:pPr>
              <w:jc w:val="center"/>
            </w:pPr>
            <w:r>
              <w:rPr>
                <w:rFonts w:ascii="宋体" w:hAnsi="宋体" w:eastAsia="宋体"/>
                <w:sz w:val="16"/>
              </w:rPr>
              <w:t>7.6</w:t>
            </w:r>
          </w:p>
        </w:tc>
      </w:tr>
      <w:tr w14:paraId="1B7DB1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6314DD"/>
        </w:tc>
        <w:tc>
          <w:tcPr>
            <w:tcW w:w="920" w:type="dxa"/>
            <w:tcBorders>
              <w:top w:val="single" w:color="auto" w:sz="10" w:space="0"/>
              <w:left w:val="single" w:color="auto" w:sz="10" w:space="0"/>
              <w:bottom w:val="single" w:color="auto" w:sz="10" w:space="0"/>
              <w:right w:val="single" w:color="auto" w:sz="10" w:space="0"/>
              <w:insideV w:val="single" w:sz="10" w:space="0"/>
            </w:tcBorders>
            <w:vAlign w:val="center"/>
          </w:tcPr>
          <w:p w14:paraId="567D3C02">
            <w:pPr>
              <w:jc w:val="center"/>
            </w:pPr>
            <w:r>
              <w:rPr>
                <w:rFonts w:ascii="宋体" w:hAnsi="宋体" w:eastAsia="宋体"/>
                <w:sz w:val="16"/>
              </w:rPr>
              <w:t>其中:上级安排资金：（万元）</w:t>
            </w:r>
          </w:p>
        </w:tc>
        <w:tc>
          <w:tcPr>
            <w:tcW w:w="1117" w:type="dxa"/>
            <w:tcBorders>
              <w:top w:val="single" w:color="auto" w:sz="10" w:space="0"/>
              <w:left w:val="single" w:color="auto" w:sz="10" w:space="0"/>
              <w:bottom w:val="single" w:color="auto" w:sz="10" w:space="0"/>
              <w:right w:val="single" w:color="auto" w:sz="10" w:space="0"/>
              <w:insideV w:val="single" w:sz="10" w:space="0"/>
            </w:tcBorders>
            <w:vAlign w:val="center"/>
          </w:tcPr>
          <w:p w14:paraId="7BB03464">
            <w:pPr>
              <w:jc w:val="center"/>
            </w:pPr>
            <w:r>
              <w:rPr>
                <w:rFonts w:ascii="宋体" w:hAnsi="宋体" w:eastAsia="宋体"/>
                <w:sz w:val="16"/>
              </w:rPr>
              <w:t>0.00</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533BCAB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E71E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82D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52D0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64572">
            <w:pPr>
              <w:jc w:val="center"/>
            </w:pPr>
            <w:r>
              <w:rPr>
                <w:rFonts w:ascii="宋体" w:hAnsi="宋体" w:eastAsia="宋体"/>
                <w:sz w:val="16"/>
              </w:rPr>
              <w:t>-</w:t>
            </w:r>
          </w:p>
        </w:tc>
      </w:tr>
      <w:tr w14:paraId="63FCED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69FEAE"/>
        </w:tc>
        <w:tc>
          <w:tcPr>
            <w:tcW w:w="920" w:type="dxa"/>
            <w:tcBorders>
              <w:top w:val="single" w:color="auto" w:sz="10" w:space="0"/>
              <w:left w:val="single" w:color="auto" w:sz="10" w:space="0"/>
              <w:bottom w:val="single" w:color="auto" w:sz="10" w:space="0"/>
              <w:right w:val="single" w:color="auto" w:sz="10" w:space="0"/>
              <w:insideV w:val="single" w:sz="10" w:space="0"/>
            </w:tcBorders>
            <w:vAlign w:val="center"/>
          </w:tcPr>
          <w:p w14:paraId="3D8AA7E1">
            <w:pPr>
              <w:jc w:val="center"/>
            </w:pPr>
            <w:r>
              <w:rPr>
                <w:rFonts w:ascii="宋体" w:hAnsi="宋体" w:eastAsia="宋体"/>
                <w:sz w:val="16"/>
              </w:rPr>
              <w:t>本级安排资金：（万元）</w:t>
            </w:r>
          </w:p>
        </w:tc>
        <w:tc>
          <w:tcPr>
            <w:tcW w:w="1117" w:type="dxa"/>
            <w:tcBorders>
              <w:top w:val="single" w:color="auto" w:sz="10" w:space="0"/>
              <w:left w:val="single" w:color="auto" w:sz="10" w:space="0"/>
              <w:bottom w:val="single" w:color="auto" w:sz="10" w:space="0"/>
              <w:right w:val="single" w:color="auto" w:sz="10" w:space="0"/>
              <w:insideV w:val="single" w:sz="10" w:space="0"/>
            </w:tcBorders>
            <w:vAlign w:val="center"/>
          </w:tcPr>
          <w:p w14:paraId="29492230">
            <w:pPr>
              <w:jc w:val="center"/>
            </w:pPr>
            <w:r>
              <w:rPr>
                <w:rFonts w:ascii="宋体" w:hAnsi="宋体" w:eastAsia="宋体"/>
                <w:sz w:val="16"/>
              </w:rPr>
              <w:t>252.23</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5106B39B">
            <w:pPr>
              <w:jc w:val="center"/>
            </w:pPr>
            <w:r>
              <w:rPr>
                <w:rFonts w:ascii="宋体" w:hAnsi="宋体" w:eastAsia="宋体"/>
                <w:sz w:val="16"/>
              </w:rPr>
              <w:t>277.60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78DA2">
            <w:pPr>
              <w:jc w:val="center"/>
            </w:pPr>
            <w:r>
              <w:rPr>
                <w:rFonts w:ascii="宋体" w:hAnsi="宋体" w:eastAsia="宋体"/>
                <w:sz w:val="16"/>
              </w:rPr>
              <w:t>267.63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55AA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30C0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64534">
            <w:pPr>
              <w:jc w:val="center"/>
            </w:pPr>
            <w:r>
              <w:rPr>
                <w:rFonts w:ascii="宋体" w:hAnsi="宋体" w:eastAsia="宋体"/>
                <w:sz w:val="16"/>
              </w:rPr>
              <w:t>-</w:t>
            </w:r>
          </w:p>
        </w:tc>
      </w:tr>
      <w:tr w14:paraId="0C9BDD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8CEF81"/>
        </w:tc>
        <w:tc>
          <w:tcPr>
            <w:tcW w:w="920" w:type="dxa"/>
            <w:tcBorders>
              <w:top w:val="single" w:color="auto" w:sz="10" w:space="0"/>
              <w:left w:val="single" w:color="auto" w:sz="10" w:space="0"/>
              <w:bottom w:val="single" w:color="auto" w:sz="10" w:space="0"/>
              <w:right w:val="single" w:color="auto" w:sz="10" w:space="0"/>
              <w:insideV w:val="single" w:sz="10" w:space="0"/>
            </w:tcBorders>
            <w:vAlign w:val="center"/>
          </w:tcPr>
          <w:p w14:paraId="351C9866">
            <w:pPr>
              <w:jc w:val="center"/>
            </w:pPr>
            <w:r>
              <w:rPr>
                <w:rFonts w:ascii="宋体" w:hAnsi="宋体" w:eastAsia="宋体"/>
                <w:sz w:val="16"/>
              </w:rPr>
              <w:t>其他资金</w:t>
            </w:r>
          </w:p>
        </w:tc>
        <w:tc>
          <w:tcPr>
            <w:tcW w:w="1117" w:type="dxa"/>
            <w:tcBorders>
              <w:top w:val="single" w:color="auto" w:sz="10" w:space="0"/>
              <w:left w:val="single" w:color="auto" w:sz="10" w:space="0"/>
              <w:bottom w:val="single" w:color="auto" w:sz="10" w:space="0"/>
              <w:right w:val="single" w:color="auto" w:sz="10" w:space="0"/>
              <w:insideV w:val="single" w:sz="10" w:space="0"/>
            </w:tcBorders>
            <w:vAlign w:val="center"/>
          </w:tcPr>
          <w:p w14:paraId="17E31D62">
            <w:pPr>
              <w:jc w:val="center"/>
            </w:pPr>
            <w:r>
              <w:rPr>
                <w:rFonts w:ascii="宋体" w:hAnsi="宋体" w:eastAsia="宋体"/>
                <w:sz w:val="16"/>
              </w:rPr>
              <w:t>129.04</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7A73E534">
            <w:pPr>
              <w:jc w:val="center"/>
            </w:pPr>
            <w:r>
              <w:rPr>
                <w:rFonts w:ascii="宋体" w:hAnsi="宋体" w:eastAsia="宋体"/>
                <w:sz w:val="16"/>
              </w:rPr>
              <w:t>143.30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6A8BC">
            <w:pPr>
              <w:jc w:val="center"/>
            </w:pPr>
            <w:r>
              <w:rPr>
                <w:rFonts w:ascii="宋体" w:hAnsi="宋体" w:eastAsia="宋体"/>
                <w:sz w:val="16"/>
              </w:rPr>
              <w:t>51.32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76A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2C89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862BA">
            <w:pPr>
              <w:jc w:val="center"/>
            </w:pPr>
            <w:r>
              <w:rPr>
                <w:rFonts w:ascii="宋体" w:hAnsi="宋体" w:eastAsia="宋体"/>
                <w:sz w:val="16"/>
              </w:rPr>
              <w:t>-</w:t>
            </w:r>
          </w:p>
        </w:tc>
      </w:tr>
      <w:tr w14:paraId="6E2674C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6F92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23C92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DD56C7">
            <w:pPr>
              <w:jc w:val="center"/>
            </w:pPr>
            <w:r>
              <w:rPr>
                <w:rFonts w:ascii="宋体" w:hAnsi="宋体" w:eastAsia="宋体"/>
                <w:sz w:val="16"/>
              </w:rPr>
              <w:t>实际完成情况</w:t>
            </w:r>
          </w:p>
        </w:tc>
      </w:tr>
      <w:tr w14:paraId="091AD9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5EEEB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DAE018">
            <w:pPr>
              <w:jc w:val="both"/>
            </w:pPr>
            <w:r>
              <w:rPr>
                <w:rFonts w:ascii="宋体" w:hAnsi="宋体" w:eastAsia="宋体"/>
                <w:sz w:val="16"/>
              </w:rPr>
              <w:t>聚焦社会稳定和长治久安总目标，坚决贯彻落实上级党政关于开展职业技能培训的各项决策部署精神，立足我县实际，提出职业技能培训总体规划、专业设置等方案；加强学校师资队伍建设，积极开展教师培训培养，科学设置培训科目和实训内容，扎实开展城乡应用技术型人才培训，不断提升劳动力职业素质，拓宽就业创业渠道；加强学校师生、教育教学和就业安置服务管理，确保学校各项工作扎实有序开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234F4C">
            <w:pPr>
              <w:jc w:val="both"/>
            </w:pPr>
            <w:r>
              <w:rPr>
                <w:rFonts w:ascii="宋体" w:hAnsi="宋体" w:eastAsia="宋体"/>
                <w:sz w:val="16"/>
              </w:rPr>
              <w:t>2024年裕民县技工学校紧扣绩效目标奋进</w:t>
            </w:r>
            <w:r>
              <w:rPr>
                <w:rFonts w:hint="eastAsia" w:ascii="宋体" w:hAnsi="宋体"/>
                <w:sz w:val="16"/>
                <w:lang w:eastAsia="zh-CN"/>
              </w:rPr>
              <w:t>，在</w:t>
            </w:r>
            <w:r>
              <w:rPr>
                <w:rFonts w:ascii="宋体" w:hAnsi="宋体" w:eastAsia="宋体"/>
                <w:sz w:val="16"/>
              </w:rPr>
              <w:t>师资建设上，按计划送出4名教师外出培训交流，培训回校后助力教学升级。技能培训模块，初中级工短期培训精准发力，500人次的目标圆满完成，15班次培训班涵盖多元工种，实操扎实，学员满意度超90%；校企合作稳步推进，成功签订2家企业，共建实习就业基地，实习学员均获得企业好评。就业服务</w:t>
            </w:r>
            <w:r>
              <w:rPr>
                <w:rFonts w:hint="eastAsia" w:ascii="宋体" w:hAnsi="宋体"/>
                <w:sz w:val="16"/>
                <w:lang w:eastAsia="zh-CN"/>
              </w:rPr>
              <w:t>亮点</w:t>
            </w:r>
            <w:r>
              <w:rPr>
                <w:rFonts w:ascii="宋体" w:hAnsi="宋体" w:eastAsia="宋体"/>
                <w:sz w:val="16"/>
              </w:rPr>
              <w:t>突出，2场就业招聘会依工种召开，企业携100余岗位赴约，80人岗前培训扎实落地，学员就业成功率提升20%。</w:t>
            </w:r>
            <w:r>
              <w:rPr>
                <w:rFonts w:hint="eastAsia" w:ascii="宋体" w:hAnsi="宋体"/>
                <w:sz w:val="16"/>
                <w:lang w:eastAsia="zh-CN"/>
              </w:rPr>
              <w:t>明年</w:t>
            </w:r>
            <w:r>
              <w:rPr>
                <w:rFonts w:ascii="宋体" w:hAnsi="宋体" w:eastAsia="宋体"/>
                <w:sz w:val="16"/>
              </w:rPr>
              <w:t>我校将持续改进，为技能人才培育持续添力。</w:t>
            </w:r>
          </w:p>
        </w:tc>
      </w:tr>
      <w:tr w14:paraId="4FD1EF6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F2AFC">
            <w:pPr>
              <w:jc w:val="center"/>
            </w:pPr>
            <w:r>
              <w:rPr>
                <w:rFonts w:ascii="宋体" w:hAnsi="宋体" w:eastAsia="宋体"/>
                <w:sz w:val="16"/>
              </w:rPr>
              <w:t>一级指标</w:t>
            </w:r>
          </w:p>
        </w:tc>
        <w:tc>
          <w:tcPr>
            <w:tcW w:w="920" w:type="dxa"/>
            <w:tcBorders>
              <w:top w:val="single" w:color="auto" w:sz="10" w:space="0"/>
              <w:left w:val="single" w:color="auto" w:sz="10" w:space="0"/>
              <w:bottom w:val="single" w:color="auto" w:sz="10" w:space="0"/>
              <w:right w:val="single" w:color="auto" w:sz="10" w:space="0"/>
              <w:insideV w:val="single" w:sz="10" w:space="0"/>
            </w:tcBorders>
            <w:vAlign w:val="center"/>
          </w:tcPr>
          <w:p w14:paraId="4867D87B">
            <w:pPr>
              <w:jc w:val="center"/>
            </w:pPr>
            <w:r>
              <w:rPr>
                <w:rFonts w:ascii="宋体" w:hAnsi="宋体" w:eastAsia="宋体"/>
                <w:sz w:val="16"/>
              </w:rPr>
              <w:t>二级指标</w:t>
            </w:r>
          </w:p>
        </w:tc>
        <w:tc>
          <w:tcPr>
            <w:tcW w:w="1117" w:type="dxa"/>
            <w:tcBorders>
              <w:top w:val="single" w:color="auto" w:sz="10" w:space="0"/>
              <w:left w:val="single" w:color="auto" w:sz="10" w:space="0"/>
              <w:bottom w:val="single" w:color="auto" w:sz="10" w:space="0"/>
              <w:right w:val="single" w:color="auto" w:sz="10" w:space="0"/>
              <w:insideV w:val="single" w:sz="10" w:space="0"/>
            </w:tcBorders>
            <w:vAlign w:val="center"/>
          </w:tcPr>
          <w:p w14:paraId="1E911A4A">
            <w:pPr>
              <w:jc w:val="center"/>
            </w:pPr>
            <w:r>
              <w:rPr>
                <w:rFonts w:ascii="宋体" w:hAnsi="宋体" w:eastAsia="宋体"/>
                <w:sz w:val="16"/>
              </w:rPr>
              <w:t>三级指标</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4BF3D107">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1456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14FC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83ED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B2B2F">
            <w:pPr>
              <w:jc w:val="center"/>
            </w:pPr>
            <w:r>
              <w:rPr>
                <w:rFonts w:ascii="宋体" w:hAnsi="宋体" w:eastAsia="宋体"/>
                <w:sz w:val="16"/>
              </w:rPr>
              <w:t>得分</w:t>
            </w:r>
          </w:p>
        </w:tc>
      </w:tr>
      <w:tr w14:paraId="777FA47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D4722">
            <w:pPr>
              <w:jc w:val="center"/>
            </w:pPr>
            <w:r>
              <w:rPr>
                <w:rFonts w:ascii="宋体" w:hAnsi="宋体" w:eastAsia="宋体"/>
                <w:sz w:val="16"/>
              </w:rPr>
              <w:t>履职效能</w:t>
            </w:r>
          </w:p>
        </w:tc>
        <w:tc>
          <w:tcPr>
            <w:tcW w:w="9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CAD54">
            <w:pPr>
              <w:jc w:val="center"/>
            </w:pPr>
            <w:r>
              <w:rPr>
                <w:rFonts w:ascii="宋体" w:hAnsi="宋体" w:eastAsia="宋体"/>
                <w:sz w:val="16"/>
              </w:rPr>
              <w:t>数量指标</w:t>
            </w:r>
          </w:p>
        </w:tc>
        <w:tc>
          <w:tcPr>
            <w:tcW w:w="1117" w:type="dxa"/>
            <w:tcBorders>
              <w:top w:val="single" w:color="auto" w:sz="10" w:space="0"/>
              <w:left w:val="single" w:color="auto" w:sz="10" w:space="0"/>
              <w:bottom w:val="single" w:color="auto" w:sz="10" w:space="0"/>
              <w:right w:val="single" w:color="auto" w:sz="10" w:space="0"/>
              <w:insideV w:val="single" w:sz="10" w:space="0"/>
            </w:tcBorders>
            <w:vAlign w:val="center"/>
          </w:tcPr>
          <w:p w14:paraId="5E4F9CF2">
            <w:pPr>
              <w:jc w:val="center"/>
            </w:pPr>
            <w:r>
              <w:rPr>
                <w:rFonts w:ascii="宋体" w:hAnsi="宋体" w:eastAsia="宋体"/>
                <w:sz w:val="16"/>
              </w:rPr>
              <w:t>外出培训、交流交往教师数量</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09C0E3E7">
            <w:pPr>
              <w:jc w:val="center"/>
            </w:pPr>
            <w:r>
              <w:rPr>
                <w:rFonts w:ascii="宋体" w:hAnsi="宋体" w:eastAsia="宋体"/>
                <w:sz w:val="16"/>
              </w:rPr>
              <w:t>&gt;=5人/次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9C8A5">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5705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55AE1">
            <w:pPr>
              <w:jc w:val="center"/>
            </w:pPr>
            <w:r>
              <w:rPr>
                <w:rFonts w:ascii="宋体" w:hAnsi="宋体" w:eastAsia="宋体"/>
                <w:sz w:val="16"/>
              </w:rPr>
              <w: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BFA07">
            <w:pPr>
              <w:jc w:val="center"/>
            </w:pPr>
            <w:r>
              <w:rPr>
                <w:rFonts w:ascii="宋体" w:hAnsi="宋体" w:eastAsia="宋体"/>
                <w:sz w:val="16"/>
              </w:rPr>
              <w:t>12</w:t>
            </w:r>
          </w:p>
        </w:tc>
      </w:tr>
      <w:tr w14:paraId="444F22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835133"/>
        </w:tc>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63DD5A09"/>
        </w:tc>
        <w:tc>
          <w:tcPr>
            <w:tcW w:w="1117" w:type="dxa"/>
            <w:tcBorders>
              <w:top w:val="single" w:color="auto" w:sz="10" w:space="0"/>
              <w:left w:val="single" w:color="auto" w:sz="10" w:space="0"/>
              <w:bottom w:val="single" w:color="auto" w:sz="10" w:space="0"/>
              <w:right w:val="single" w:color="auto" w:sz="10" w:space="0"/>
              <w:insideV w:val="single" w:sz="10" w:space="0"/>
            </w:tcBorders>
            <w:vAlign w:val="center"/>
          </w:tcPr>
          <w:p w14:paraId="1F70B402">
            <w:pPr>
              <w:jc w:val="center"/>
            </w:pPr>
            <w:r>
              <w:rPr>
                <w:rFonts w:ascii="宋体" w:hAnsi="宋体" w:eastAsia="宋体"/>
                <w:sz w:val="16"/>
              </w:rPr>
              <w:t>开展初、中级工短期培训人次</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79A36EFF">
            <w:pPr>
              <w:jc w:val="center"/>
            </w:pPr>
            <w:r>
              <w:rPr>
                <w:rFonts w:ascii="宋体" w:hAnsi="宋体" w:eastAsia="宋体"/>
                <w:sz w:val="16"/>
              </w:rPr>
              <w:t>&gt;=500人/次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22844">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9360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EAE71">
            <w:pPr>
              <w:jc w:val="center"/>
            </w:pPr>
            <w:r>
              <w:rPr>
                <w:rFonts w:ascii="宋体" w:hAnsi="宋体" w:eastAsia="宋体"/>
                <w:sz w:val="16"/>
              </w:rPr>
              <w:t>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636BD">
            <w:pPr>
              <w:jc w:val="center"/>
            </w:pPr>
            <w:r>
              <w:rPr>
                <w:rFonts w:ascii="宋体" w:hAnsi="宋体" w:eastAsia="宋体"/>
                <w:sz w:val="16"/>
              </w:rPr>
              <w:t>15</w:t>
            </w:r>
          </w:p>
        </w:tc>
      </w:tr>
      <w:tr w14:paraId="51D31B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56108F"/>
        </w:tc>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1F412283"/>
        </w:tc>
        <w:tc>
          <w:tcPr>
            <w:tcW w:w="1117" w:type="dxa"/>
            <w:tcBorders>
              <w:top w:val="single" w:color="auto" w:sz="10" w:space="0"/>
              <w:left w:val="single" w:color="auto" w:sz="10" w:space="0"/>
              <w:bottom w:val="single" w:color="auto" w:sz="10" w:space="0"/>
              <w:right w:val="single" w:color="auto" w:sz="10" w:space="0"/>
              <w:insideV w:val="single" w:sz="10" w:space="0"/>
            </w:tcBorders>
            <w:vAlign w:val="center"/>
          </w:tcPr>
          <w:p w14:paraId="4066A53B">
            <w:pPr>
              <w:jc w:val="center"/>
            </w:pPr>
            <w:r>
              <w:rPr>
                <w:rFonts w:ascii="宋体" w:hAnsi="宋体" w:eastAsia="宋体"/>
                <w:sz w:val="16"/>
              </w:rPr>
              <w:t>签订校企合作企业数量</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3E58ABB9">
            <w:pPr>
              <w:jc w:val="center"/>
            </w:pPr>
            <w:r>
              <w:rPr>
                <w:rFonts w:ascii="宋体" w:hAnsi="宋体" w:eastAsia="宋体"/>
                <w:sz w:val="16"/>
              </w:rPr>
              <w:t>&gt;=2家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99869">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ED3A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D557C">
            <w:pPr>
              <w:jc w:val="center"/>
            </w:pPr>
            <w:r>
              <w:rPr>
                <w:rFonts w:ascii="宋体" w:hAnsi="宋体" w:eastAsia="宋体"/>
                <w:sz w:val="16"/>
              </w:rPr>
              <w:t>2家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54F90">
            <w:pPr>
              <w:jc w:val="center"/>
            </w:pPr>
            <w:r>
              <w:rPr>
                <w:rFonts w:ascii="宋体" w:hAnsi="宋体" w:eastAsia="宋体"/>
                <w:sz w:val="16"/>
              </w:rPr>
              <w:t>15</w:t>
            </w:r>
          </w:p>
        </w:tc>
      </w:tr>
      <w:tr w14:paraId="24BAE2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3FEDFB"/>
        </w:tc>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3014E4EA"/>
        </w:tc>
        <w:tc>
          <w:tcPr>
            <w:tcW w:w="1117" w:type="dxa"/>
            <w:tcBorders>
              <w:top w:val="single" w:color="auto" w:sz="10" w:space="0"/>
              <w:left w:val="single" w:color="auto" w:sz="10" w:space="0"/>
              <w:bottom w:val="single" w:color="auto" w:sz="10" w:space="0"/>
              <w:right w:val="single" w:color="auto" w:sz="10" w:space="0"/>
              <w:insideV w:val="single" w:sz="10" w:space="0"/>
            </w:tcBorders>
            <w:vAlign w:val="center"/>
          </w:tcPr>
          <w:p w14:paraId="712CD3EA">
            <w:pPr>
              <w:jc w:val="center"/>
            </w:pPr>
            <w:r>
              <w:rPr>
                <w:rFonts w:ascii="宋体" w:hAnsi="宋体" w:eastAsia="宋体"/>
                <w:sz w:val="16"/>
              </w:rPr>
              <w:t>每期技能培训班每个工种召开就业招聘会次数</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07D9F858">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9A93B">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57A1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A3E80">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E87D0">
            <w:pPr>
              <w:jc w:val="center"/>
            </w:pPr>
            <w:r>
              <w:rPr>
                <w:rFonts w:ascii="宋体" w:hAnsi="宋体" w:eastAsia="宋体"/>
                <w:sz w:val="16"/>
              </w:rPr>
              <w:t>15</w:t>
            </w:r>
          </w:p>
        </w:tc>
      </w:tr>
      <w:tr w14:paraId="6B46FD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A7DA33"/>
        </w:tc>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08F3D0A3"/>
        </w:tc>
        <w:tc>
          <w:tcPr>
            <w:tcW w:w="1117" w:type="dxa"/>
            <w:tcBorders>
              <w:top w:val="single" w:color="auto" w:sz="10" w:space="0"/>
              <w:left w:val="single" w:color="auto" w:sz="10" w:space="0"/>
              <w:bottom w:val="single" w:color="auto" w:sz="10" w:space="0"/>
              <w:right w:val="single" w:color="auto" w:sz="10" w:space="0"/>
              <w:insideV w:val="single" w:sz="10" w:space="0"/>
            </w:tcBorders>
            <w:vAlign w:val="center"/>
          </w:tcPr>
          <w:p w14:paraId="58406404">
            <w:pPr>
              <w:jc w:val="center"/>
            </w:pPr>
            <w:r>
              <w:rPr>
                <w:rFonts w:ascii="宋体" w:hAnsi="宋体" w:eastAsia="宋体"/>
                <w:sz w:val="16"/>
              </w:rPr>
              <w:t>举办各类培训班次数</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4C0F4A07">
            <w:pPr>
              <w:jc w:val="center"/>
            </w:pPr>
            <w:r>
              <w:rPr>
                <w:rFonts w:ascii="宋体" w:hAnsi="宋体" w:eastAsia="宋体"/>
                <w:sz w:val="16"/>
              </w:rPr>
              <w:t>&gt;=15次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3628B">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165E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32993">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29C04">
            <w:pPr>
              <w:jc w:val="center"/>
            </w:pPr>
            <w:r>
              <w:rPr>
                <w:rFonts w:ascii="宋体" w:hAnsi="宋体" w:eastAsia="宋体"/>
                <w:sz w:val="16"/>
              </w:rPr>
              <w:t>15</w:t>
            </w:r>
          </w:p>
        </w:tc>
      </w:tr>
      <w:tr w14:paraId="080BC9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EB28EC"/>
        </w:tc>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5FEC97B4"/>
        </w:tc>
        <w:tc>
          <w:tcPr>
            <w:tcW w:w="1117" w:type="dxa"/>
            <w:tcBorders>
              <w:top w:val="single" w:color="auto" w:sz="10" w:space="0"/>
              <w:left w:val="single" w:color="auto" w:sz="10" w:space="0"/>
              <w:bottom w:val="single" w:color="auto" w:sz="10" w:space="0"/>
              <w:right w:val="single" w:color="auto" w:sz="10" w:space="0"/>
              <w:insideV w:val="single" w:sz="10" w:space="0"/>
            </w:tcBorders>
            <w:vAlign w:val="center"/>
          </w:tcPr>
          <w:p w14:paraId="7B5C7BFC">
            <w:pPr>
              <w:jc w:val="center"/>
            </w:pPr>
            <w:r>
              <w:rPr>
                <w:rFonts w:ascii="宋体" w:hAnsi="宋体" w:eastAsia="宋体"/>
                <w:sz w:val="16"/>
              </w:rPr>
              <w:t>就业岗前培训人数</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39B04FE4">
            <w:pPr>
              <w:jc w:val="center"/>
            </w:pPr>
            <w:r>
              <w:rPr>
                <w:rFonts w:ascii="宋体" w:hAnsi="宋体" w:eastAsia="宋体"/>
                <w:sz w:val="16"/>
              </w:rPr>
              <w:t>&gt;=80人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B6FC2">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B069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989AD">
            <w:pPr>
              <w:jc w:val="center"/>
            </w:pPr>
            <w:r>
              <w:rPr>
                <w:rFonts w:ascii="宋体" w:hAnsi="宋体" w:eastAsia="宋体"/>
                <w:sz w:val="16"/>
              </w:rPr>
              <w:t>80人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9B5D9">
            <w:pPr>
              <w:jc w:val="center"/>
            </w:pPr>
            <w:r>
              <w:rPr>
                <w:rFonts w:ascii="宋体" w:hAnsi="宋体" w:eastAsia="宋体"/>
                <w:sz w:val="16"/>
              </w:rPr>
              <w:t>15</w:t>
            </w:r>
          </w:p>
        </w:tc>
      </w:tr>
    </w:tbl>
    <w:p w14:paraId="7DB33B4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133E42C6">
        <w:tblPrEx>
          <w:tblCellMar>
            <w:top w:w="0" w:type="dxa"/>
            <w:left w:w="108" w:type="dxa"/>
            <w:bottom w:w="0" w:type="dxa"/>
            <w:right w:w="108" w:type="dxa"/>
          </w:tblCellMar>
        </w:tblPrEx>
        <w:tc>
          <w:tcPr>
            <w:tcW w:w="8848" w:type="dxa"/>
            <w:gridSpan w:val="14"/>
            <w:vAlign w:val="center"/>
          </w:tcPr>
          <w:p w14:paraId="2EFFD5C9">
            <w:pPr>
              <w:jc w:val="center"/>
            </w:pPr>
            <w:r>
              <w:rPr>
                <w:rFonts w:ascii="宋体" w:hAnsi="宋体" w:eastAsia="宋体"/>
                <w:sz w:val="24"/>
              </w:rPr>
              <w:t>项目支出绩效自评表</w:t>
            </w:r>
          </w:p>
        </w:tc>
      </w:tr>
      <w:tr w14:paraId="5D2A1332">
        <w:tblPrEx>
          <w:tblCellMar>
            <w:top w:w="0" w:type="dxa"/>
            <w:left w:w="108" w:type="dxa"/>
            <w:bottom w:w="0" w:type="dxa"/>
            <w:right w:w="108" w:type="dxa"/>
          </w:tblCellMar>
        </w:tblPrEx>
        <w:tc>
          <w:tcPr>
            <w:tcW w:w="8848" w:type="dxa"/>
            <w:gridSpan w:val="14"/>
            <w:vAlign w:val="center"/>
          </w:tcPr>
          <w:p w14:paraId="5B1F84AA">
            <w:pPr>
              <w:jc w:val="center"/>
            </w:pPr>
            <w:r>
              <w:rPr>
                <w:rFonts w:ascii="宋体" w:hAnsi="宋体" w:eastAsia="宋体"/>
                <w:sz w:val="24"/>
              </w:rPr>
              <w:t>(2024年度)</w:t>
            </w:r>
          </w:p>
        </w:tc>
      </w:tr>
      <w:tr w14:paraId="36BD87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8E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DACADD">
            <w:pPr>
              <w:jc w:val="center"/>
            </w:pPr>
            <w:r>
              <w:rPr>
                <w:rFonts w:ascii="宋体" w:hAnsi="宋体" w:eastAsia="宋体"/>
                <w:sz w:val="16"/>
              </w:rPr>
              <w:t>2024年培训补贴项目</w:t>
            </w:r>
          </w:p>
        </w:tc>
      </w:tr>
      <w:tr w14:paraId="0D1BE8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DD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E7AAB">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6CF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71A366">
            <w:pPr>
              <w:jc w:val="center"/>
            </w:pPr>
            <w:r>
              <w:rPr>
                <w:rFonts w:ascii="宋体" w:hAnsi="宋体" w:eastAsia="宋体"/>
                <w:sz w:val="16"/>
              </w:rPr>
              <w:t>裕民县技工学校</w:t>
            </w:r>
          </w:p>
        </w:tc>
      </w:tr>
      <w:tr w14:paraId="55CA04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565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D63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EBC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B90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759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639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DA2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A2FFE">
            <w:pPr>
              <w:jc w:val="center"/>
            </w:pPr>
            <w:r>
              <w:rPr>
                <w:rFonts w:ascii="宋体" w:hAnsi="宋体" w:eastAsia="宋体"/>
                <w:sz w:val="16"/>
              </w:rPr>
              <w:t>得分</w:t>
            </w:r>
          </w:p>
        </w:tc>
      </w:tr>
      <w:tr w14:paraId="5DF4E6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25D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EA8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CB0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4BBE">
            <w:pPr>
              <w:jc w:val="center"/>
            </w:pPr>
            <w:r>
              <w:rPr>
                <w:rFonts w:ascii="宋体" w:hAnsi="宋体" w:eastAsia="宋体"/>
                <w:sz w:val="16"/>
              </w:rPr>
              <w:t>51.32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0E931">
            <w:pPr>
              <w:jc w:val="center"/>
            </w:pPr>
            <w:r>
              <w:rPr>
                <w:rFonts w:ascii="宋体" w:hAnsi="宋体" w:eastAsia="宋体"/>
                <w:sz w:val="16"/>
              </w:rPr>
              <w:t>51.32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5D2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CC8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8858">
            <w:pPr>
              <w:jc w:val="center"/>
            </w:pPr>
            <w:r>
              <w:rPr>
                <w:rFonts w:ascii="宋体" w:hAnsi="宋体" w:eastAsia="宋体"/>
                <w:sz w:val="16"/>
              </w:rPr>
              <w:t>10.00</w:t>
            </w:r>
          </w:p>
        </w:tc>
      </w:tr>
      <w:tr w14:paraId="699A5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E46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59A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A2D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341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32E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B81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F60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3B31">
            <w:pPr>
              <w:jc w:val="center"/>
            </w:pPr>
            <w:r>
              <w:rPr>
                <w:rFonts w:ascii="宋体" w:hAnsi="宋体" w:eastAsia="宋体"/>
                <w:sz w:val="16"/>
              </w:rPr>
              <w:t>—</w:t>
            </w:r>
          </w:p>
        </w:tc>
      </w:tr>
      <w:tr w14:paraId="4845E0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2BC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66B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392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57EDD">
            <w:pPr>
              <w:jc w:val="center"/>
            </w:pPr>
            <w:r>
              <w:rPr>
                <w:rFonts w:ascii="宋体" w:hAnsi="宋体" w:eastAsia="宋体"/>
                <w:sz w:val="16"/>
              </w:rPr>
              <w:t>51.32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34656">
            <w:pPr>
              <w:jc w:val="center"/>
            </w:pPr>
            <w:r>
              <w:rPr>
                <w:rFonts w:ascii="宋体" w:hAnsi="宋体" w:eastAsia="宋体"/>
                <w:sz w:val="16"/>
              </w:rPr>
              <w:t>51.32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DB3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CF0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5AA7">
            <w:pPr>
              <w:jc w:val="center"/>
            </w:pPr>
            <w:r>
              <w:rPr>
                <w:rFonts w:ascii="宋体" w:hAnsi="宋体" w:eastAsia="宋体"/>
                <w:sz w:val="16"/>
              </w:rPr>
              <w:t>—</w:t>
            </w:r>
          </w:p>
        </w:tc>
      </w:tr>
      <w:tr w14:paraId="4C2DCC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988D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F140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D917B5">
            <w:pPr>
              <w:jc w:val="center"/>
            </w:pPr>
            <w:r>
              <w:rPr>
                <w:rFonts w:ascii="宋体" w:hAnsi="宋体" w:eastAsia="宋体"/>
                <w:sz w:val="16"/>
              </w:rPr>
              <w:t>实际完成情况</w:t>
            </w:r>
          </w:p>
        </w:tc>
      </w:tr>
      <w:tr w14:paraId="68C16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4E7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74AFAC">
            <w:pPr>
              <w:jc w:val="both"/>
            </w:pPr>
            <w:r>
              <w:rPr>
                <w:rFonts w:ascii="宋体" w:hAnsi="宋体" w:eastAsia="宋体"/>
                <w:sz w:val="16"/>
              </w:rPr>
              <w:t>培训补贴，本年计划支出51.32万职业技能培训补贴，完成就业培训班20班次，培训人数550人，达成为我县就业技能提升提供保障效果。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2223EE">
            <w:pPr>
              <w:jc w:val="both"/>
            </w:pPr>
            <w:r>
              <w:rPr>
                <w:rFonts w:ascii="宋体" w:hAnsi="宋体" w:eastAsia="宋体"/>
                <w:sz w:val="16"/>
              </w:rPr>
              <w:t>2024年自有资金项目培训补贴实际支出51.32万元，完成就业培训班21班次，开班达标率达到100%，培训人数553人，培训学员通过考试均取得结业证书，有效提升受训学员合格率达到100%，项目总体完成率为100.78%，达到预期目标值。</w:t>
            </w:r>
          </w:p>
        </w:tc>
      </w:tr>
      <w:tr w14:paraId="47895C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27BB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EB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36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B83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9D6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D7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90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CED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B01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E7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82A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3EE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840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FA03">
            <w:pPr>
              <w:jc w:val="center"/>
            </w:pPr>
            <w:r>
              <w:rPr>
                <w:rFonts w:ascii="宋体" w:hAnsi="宋体" w:eastAsia="宋体"/>
                <w:sz w:val="16"/>
              </w:rPr>
              <w:t>偏差原因分析及改进措施</w:t>
            </w:r>
          </w:p>
        </w:tc>
      </w:tr>
      <w:tr w14:paraId="68E05C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B84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530F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E1E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967F">
            <w:pPr>
              <w:jc w:val="center"/>
            </w:pPr>
            <w:r>
              <w:rPr>
                <w:rFonts w:ascii="宋体" w:hAnsi="宋体" w:eastAsia="宋体"/>
                <w:sz w:val="16"/>
              </w:rPr>
              <w:t>开设培训班次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2C518">
            <w:pPr>
              <w:jc w:val="center"/>
            </w:pPr>
            <w:r>
              <w:rPr>
                <w:rFonts w:ascii="宋体" w:hAnsi="宋体" w:eastAsia="宋体"/>
                <w:sz w:val="16"/>
              </w:rPr>
              <w:t>&gt;=20班次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B3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319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9C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0A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A887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B5010">
            <w:pPr>
              <w:jc w:val="center"/>
            </w:pPr>
            <w:r>
              <w:rPr>
                <w:rFonts w:ascii="宋体" w:hAnsi="宋体" w:eastAsia="宋体"/>
                <w:sz w:val="16"/>
              </w:rPr>
              <w:t>21班次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728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6D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C461">
            <w:pPr>
              <w:jc w:val="center"/>
            </w:pPr>
            <w:r>
              <w:rPr>
                <w:rFonts w:ascii="宋体" w:hAnsi="宋体" w:eastAsia="宋体"/>
                <w:sz w:val="16"/>
              </w:rPr>
              <w:t>偏差原因：20%以内属于正常偏差</w:t>
            </w:r>
          </w:p>
        </w:tc>
      </w:tr>
      <w:tr w14:paraId="158FE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9BA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F8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A4C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84A6">
            <w:pPr>
              <w:jc w:val="center"/>
            </w:pPr>
            <w:r>
              <w:rPr>
                <w:rFonts w:ascii="宋体" w:hAnsi="宋体" w:eastAsia="宋体"/>
                <w:sz w:val="16"/>
              </w:rPr>
              <w:t>预计培训人员人数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2A24">
            <w:pPr>
              <w:jc w:val="center"/>
            </w:pPr>
            <w:r>
              <w:rPr>
                <w:rFonts w:ascii="宋体" w:hAnsi="宋体" w:eastAsia="宋体"/>
                <w:sz w:val="16"/>
              </w:rPr>
              <w:t>&gt;=550人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F7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EB0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FB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4D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872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D8866">
            <w:pPr>
              <w:jc w:val="center"/>
            </w:pPr>
            <w:r>
              <w:rPr>
                <w:rFonts w:ascii="宋体" w:hAnsi="宋体" w:eastAsia="宋体"/>
                <w:sz w:val="16"/>
              </w:rPr>
              <w:t>553人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007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32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B872">
            <w:pPr>
              <w:jc w:val="center"/>
            </w:pPr>
            <w:r>
              <w:rPr>
                <w:rFonts w:ascii="宋体" w:hAnsi="宋体" w:eastAsia="宋体"/>
                <w:sz w:val="16"/>
              </w:rPr>
              <w:t>偏差原因：20%以内属于正常偏差</w:t>
            </w:r>
          </w:p>
        </w:tc>
      </w:tr>
      <w:tr w14:paraId="53AB6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A33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A18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FBA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9717">
            <w:pPr>
              <w:jc w:val="center"/>
            </w:pPr>
            <w:r>
              <w:rPr>
                <w:rFonts w:ascii="宋体" w:hAnsi="宋体" w:eastAsia="宋体"/>
                <w:sz w:val="16"/>
              </w:rPr>
              <w:t>开班达标率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5F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57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45F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D0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78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431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14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3CB0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00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3328">
            <w:pPr>
              <w:jc w:val="center"/>
            </w:pPr>
            <w:r>
              <w:rPr>
                <w:rFonts w:ascii="宋体" w:hAnsi="宋体" w:eastAsia="宋体"/>
                <w:sz w:val="16"/>
              </w:rPr>
              <w:t>偏差原因：20%以内属于正常偏差</w:t>
            </w:r>
          </w:p>
        </w:tc>
      </w:tr>
      <w:tr w14:paraId="0A7AA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F44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242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7A0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AD6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41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A1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9622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E1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1A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14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6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701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C1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6D7AE">
            <w:pPr>
              <w:jc w:val="center"/>
            </w:pPr>
          </w:p>
        </w:tc>
      </w:tr>
      <w:tr w14:paraId="3D587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EF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FE4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C6F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2A1A">
            <w:pPr>
              <w:jc w:val="center"/>
            </w:pPr>
            <w:r>
              <w:rPr>
                <w:rFonts w:ascii="宋体" w:hAnsi="宋体" w:eastAsia="宋体"/>
                <w:sz w:val="16"/>
              </w:rPr>
              <w:t>开班时间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A6B6">
            <w:pPr>
              <w:jc w:val="center"/>
            </w:pPr>
            <w:r>
              <w:rPr>
                <w:rFonts w:ascii="宋体" w:hAnsi="宋体" w:eastAsia="宋体"/>
                <w:sz w:val="16"/>
              </w:rPr>
              <w:t>2024年1月-2024年12月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2DD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F6F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102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8F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E88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A253">
            <w:pPr>
              <w:jc w:val="center"/>
            </w:pPr>
            <w:r>
              <w:rPr>
                <w:rFonts w:ascii="宋体" w:hAnsi="宋体" w:eastAsia="宋体"/>
                <w:sz w:val="16"/>
              </w:rPr>
              <w:t>2024年1月-2024年12月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B95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06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87A5">
            <w:pPr>
              <w:jc w:val="center"/>
            </w:pPr>
          </w:p>
        </w:tc>
      </w:tr>
      <w:tr w14:paraId="03CAB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57E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61D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5ED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0CA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96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5D2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C54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287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08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53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A7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5CD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FC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A665C">
            <w:pPr>
              <w:jc w:val="center"/>
            </w:pPr>
          </w:p>
        </w:tc>
      </w:tr>
      <w:tr w14:paraId="14105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41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4B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10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359C">
            <w:pPr>
              <w:jc w:val="center"/>
            </w:pPr>
            <w:r>
              <w:rPr>
                <w:rFonts w:ascii="宋体" w:hAnsi="宋体" w:eastAsia="宋体"/>
                <w:sz w:val="16"/>
              </w:rPr>
              <w:t>职业技能培训补贴支出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C822">
            <w:pPr>
              <w:jc w:val="center"/>
            </w:pPr>
            <w:r>
              <w:rPr>
                <w:rFonts w:ascii="宋体" w:hAnsi="宋体" w:eastAsia="宋体"/>
                <w:sz w:val="16"/>
              </w:rPr>
              <w:t>&lt;=51.32万元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82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1F5C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651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1A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89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241C">
            <w:pPr>
              <w:jc w:val="center"/>
            </w:pPr>
            <w:r>
              <w:rPr>
                <w:rFonts w:ascii="宋体" w:hAnsi="宋体" w:eastAsia="宋体"/>
                <w:sz w:val="16"/>
              </w:rPr>
              <w:t>51.32万元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CDD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46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2779">
            <w:pPr>
              <w:jc w:val="center"/>
            </w:pPr>
          </w:p>
        </w:tc>
      </w:tr>
      <w:tr w14:paraId="1F453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8A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B1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E5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233D">
            <w:pPr>
              <w:jc w:val="center"/>
            </w:pPr>
            <w:r>
              <w:rPr>
                <w:rFonts w:ascii="宋体" w:hAnsi="宋体" w:eastAsia="宋体"/>
                <w:sz w:val="16"/>
              </w:rPr>
              <w:t>提升参训人员就业技能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966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266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081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C42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20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BAC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54F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C96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54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C6A5">
            <w:pPr>
              <w:jc w:val="center"/>
            </w:pPr>
          </w:p>
        </w:tc>
      </w:tr>
      <w:tr w14:paraId="1F7C22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54E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5D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E2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38C2">
            <w:pPr>
              <w:jc w:val="center"/>
            </w:pPr>
            <w:r>
              <w:rPr>
                <w:rFonts w:ascii="宋体" w:hAnsi="宋体" w:eastAsia="宋体"/>
                <w:sz w:val="16"/>
              </w:rPr>
              <w:t>培训学员满意度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BAD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D1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D262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F3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2BF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5155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6881">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D66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C9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F0E3">
            <w:pPr>
              <w:jc w:val="center"/>
            </w:pPr>
            <w:r>
              <w:rPr>
                <w:rFonts w:ascii="宋体" w:hAnsi="宋体" w:eastAsia="宋体"/>
                <w:sz w:val="16"/>
              </w:rPr>
              <w:t>偏差原因：20%以内属于正常偏差</w:t>
            </w:r>
          </w:p>
        </w:tc>
      </w:tr>
      <w:tr w14:paraId="1A129C7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FE2F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019A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F1C2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6C6D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33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E205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1427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16FC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3D7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74A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D700F6"/>
        </w:tc>
      </w:tr>
    </w:tbl>
    <w:p w14:paraId="71ABA1C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D18D972">
        <w:tblPrEx>
          <w:tblCellMar>
            <w:top w:w="0" w:type="dxa"/>
            <w:left w:w="108" w:type="dxa"/>
            <w:bottom w:w="0" w:type="dxa"/>
            <w:right w:w="108" w:type="dxa"/>
          </w:tblCellMar>
        </w:tblPrEx>
        <w:tc>
          <w:tcPr>
            <w:tcW w:w="8848" w:type="dxa"/>
            <w:gridSpan w:val="14"/>
            <w:vAlign w:val="center"/>
          </w:tcPr>
          <w:p w14:paraId="6FAF88AE">
            <w:pPr>
              <w:jc w:val="center"/>
            </w:pPr>
            <w:r>
              <w:rPr>
                <w:rFonts w:ascii="宋体" w:hAnsi="宋体" w:eastAsia="宋体"/>
                <w:sz w:val="24"/>
              </w:rPr>
              <w:t>项目支出绩效自评表</w:t>
            </w:r>
          </w:p>
        </w:tc>
      </w:tr>
      <w:tr w14:paraId="73530F0C">
        <w:tblPrEx>
          <w:tblCellMar>
            <w:top w:w="0" w:type="dxa"/>
            <w:left w:w="108" w:type="dxa"/>
            <w:bottom w:w="0" w:type="dxa"/>
            <w:right w:w="108" w:type="dxa"/>
          </w:tblCellMar>
        </w:tblPrEx>
        <w:tc>
          <w:tcPr>
            <w:tcW w:w="8848" w:type="dxa"/>
            <w:gridSpan w:val="14"/>
            <w:vAlign w:val="center"/>
          </w:tcPr>
          <w:p w14:paraId="6C006793">
            <w:pPr>
              <w:jc w:val="center"/>
            </w:pPr>
            <w:r>
              <w:rPr>
                <w:rFonts w:ascii="宋体" w:hAnsi="宋体" w:eastAsia="宋体"/>
                <w:sz w:val="24"/>
              </w:rPr>
              <w:t>(2024年度)</w:t>
            </w:r>
          </w:p>
        </w:tc>
      </w:tr>
      <w:tr w14:paraId="2E13F8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0C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8419B9">
            <w:pPr>
              <w:jc w:val="center"/>
            </w:pPr>
            <w:r>
              <w:rPr>
                <w:rFonts w:ascii="宋体" w:hAnsi="宋体" w:eastAsia="宋体"/>
                <w:sz w:val="16"/>
              </w:rPr>
              <w:t>拨付校园绿化、学校办公区域购置和农牧民培训餐费项目</w:t>
            </w:r>
          </w:p>
        </w:tc>
      </w:tr>
      <w:tr w14:paraId="652E16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5B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C45B35">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55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7AA76E">
            <w:pPr>
              <w:jc w:val="center"/>
            </w:pPr>
            <w:r>
              <w:rPr>
                <w:rFonts w:ascii="宋体" w:hAnsi="宋体" w:eastAsia="宋体"/>
                <w:sz w:val="16"/>
              </w:rPr>
              <w:t>裕民县技工学校</w:t>
            </w:r>
          </w:p>
        </w:tc>
      </w:tr>
      <w:tr w14:paraId="1B78D3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803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943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7DE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C99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98A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A3A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1CE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B925">
            <w:pPr>
              <w:jc w:val="center"/>
            </w:pPr>
            <w:r>
              <w:rPr>
                <w:rFonts w:ascii="宋体" w:hAnsi="宋体" w:eastAsia="宋体"/>
                <w:sz w:val="16"/>
              </w:rPr>
              <w:t>得分</w:t>
            </w:r>
          </w:p>
        </w:tc>
      </w:tr>
      <w:tr w14:paraId="694C9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D8B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2C1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3827A">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8524D">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8758E">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5CD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F47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0CA4">
            <w:pPr>
              <w:jc w:val="center"/>
            </w:pPr>
            <w:r>
              <w:rPr>
                <w:rFonts w:ascii="宋体" w:hAnsi="宋体" w:eastAsia="宋体"/>
                <w:sz w:val="16"/>
              </w:rPr>
              <w:t>10.00</w:t>
            </w:r>
          </w:p>
        </w:tc>
      </w:tr>
      <w:tr w14:paraId="68CA9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CFB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198F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87B88">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DDB93">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67D82">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ABC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0F5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2FEE">
            <w:pPr>
              <w:jc w:val="center"/>
            </w:pPr>
            <w:r>
              <w:rPr>
                <w:rFonts w:ascii="宋体" w:hAnsi="宋体" w:eastAsia="宋体"/>
                <w:sz w:val="16"/>
              </w:rPr>
              <w:t>—</w:t>
            </w:r>
          </w:p>
        </w:tc>
      </w:tr>
      <w:tr w14:paraId="18BD5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F91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BB18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00A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A19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14B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9BE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3DA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B5EF">
            <w:pPr>
              <w:jc w:val="center"/>
            </w:pPr>
            <w:r>
              <w:rPr>
                <w:rFonts w:ascii="宋体" w:hAnsi="宋体" w:eastAsia="宋体"/>
                <w:sz w:val="16"/>
              </w:rPr>
              <w:t>—</w:t>
            </w:r>
          </w:p>
        </w:tc>
      </w:tr>
      <w:tr w14:paraId="0A5010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1BC4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CA07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CF19AB">
            <w:pPr>
              <w:jc w:val="center"/>
            </w:pPr>
            <w:r>
              <w:rPr>
                <w:rFonts w:ascii="宋体" w:hAnsi="宋体" w:eastAsia="宋体"/>
                <w:sz w:val="16"/>
              </w:rPr>
              <w:t>实际完成情况</w:t>
            </w:r>
          </w:p>
        </w:tc>
      </w:tr>
      <w:tr w14:paraId="7D6B6E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52A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12A73">
            <w:pPr>
              <w:jc w:val="both"/>
            </w:pPr>
            <w:r>
              <w:rPr>
                <w:rFonts w:ascii="宋体" w:hAnsi="宋体" w:eastAsia="宋体"/>
                <w:sz w:val="16"/>
              </w:rPr>
              <w:t>拨付校园绿化、学校办公区域购置和农牧民培训餐费项目，总金额3.53万元，在解决往年欠款的同时，专项用于就业培训环境优化及相关配套支出，通过校园绿化营造舒适学习氛围，种植四种以上品种的绿化植物，办公区域购置满足教学物资存储需求，合理安排农牧民培训餐费，全方位助力提升农牧民就业培训质量，增强其就业技能，推动当地就业工作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32B33E">
            <w:pPr>
              <w:jc w:val="both"/>
            </w:pPr>
            <w:r>
              <w:rPr>
                <w:rFonts w:ascii="宋体" w:hAnsi="宋体" w:eastAsia="宋体"/>
                <w:sz w:val="16"/>
              </w:rPr>
              <w:t>拨付校园绿化、学校办公区域购置和农牧民培训餐费项目,本年度实际完成总资金3.53万元的支出，其中校园绿化3.44万元，农牧民培训餐费0.09万元；完成校园内4种绿化种植以及六种花卉盆栽，达到营造舒适学习氛围目标；培训农牧民人数30人，保障农牧民培训的生活需求，</w:t>
            </w:r>
            <w:r>
              <w:rPr>
                <w:rFonts w:hint="eastAsia" w:ascii="宋体" w:hAnsi="宋体"/>
                <w:sz w:val="16"/>
                <w:lang w:eastAsia="zh-CN"/>
              </w:rPr>
              <w:t>提升</w:t>
            </w:r>
            <w:r>
              <w:rPr>
                <w:rFonts w:ascii="宋体" w:hAnsi="宋体" w:eastAsia="宋体"/>
                <w:sz w:val="16"/>
              </w:rPr>
              <w:t>就业技能水平，推动本县的发展。</w:t>
            </w:r>
          </w:p>
        </w:tc>
      </w:tr>
      <w:tr w14:paraId="30B605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136D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67C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823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5D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C857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CD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83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768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A62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0E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BB7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143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F190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2527">
            <w:pPr>
              <w:jc w:val="center"/>
            </w:pPr>
            <w:r>
              <w:rPr>
                <w:rFonts w:ascii="宋体" w:hAnsi="宋体" w:eastAsia="宋体"/>
                <w:sz w:val="16"/>
              </w:rPr>
              <w:t>偏差原因分析及改进措施</w:t>
            </w:r>
          </w:p>
        </w:tc>
      </w:tr>
      <w:tr w14:paraId="470EB7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3087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A1C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653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99171">
            <w:pPr>
              <w:jc w:val="center"/>
            </w:pPr>
            <w:r>
              <w:rPr>
                <w:rFonts w:ascii="宋体" w:hAnsi="宋体" w:eastAsia="宋体"/>
                <w:sz w:val="16"/>
              </w:rPr>
              <w:t>绿化所涉植物品种数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A365">
            <w:pPr>
              <w:jc w:val="center"/>
            </w:pPr>
            <w:r>
              <w:rPr>
                <w:rFonts w:ascii="宋体" w:hAnsi="宋体" w:eastAsia="宋体"/>
                <w:sz w:val="16"/>
              </w:rPr>
              <w:t>&gt;=4种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586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A0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67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DE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81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3D40">
            <w:pPr>
              <w:jc w:val="center"/>
            </w:pPr>
            <w:r>
              <w:rPr>
                <w:rFonts w:ascii="宋体" w:hAnsi="宋体" w:eastAsia="宋体"/>
                <w:sz w:val="16"/>
              </w:rPr>
              <w:t>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423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36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253D">
            <w:pPr>
              <w:jc w:val="center"/>
            </w:pPr>
          </w:p>
        </w:tc>
      </w:tr>
      <w:tr w14:paraId="1AF46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362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0AE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93E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A703">
            <w:pPr>
              <w:jc w:val="center"/>
            </w:pPr>
            <w:r>
              <w:rPr>
                <w:rFonts w:ascii="宋体" w:hAnsi="宋体" w:eastAsia="宋体"/>
                <w:sz w:val="16"/>
              </w:rPr>
              <w:t>农牧民培训人数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A8F8">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D9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AAA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3C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94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81B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DD79">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010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D3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9086">
            <w:pPr>
              <w:jc w:val="center"/>
            </w:pPr>
          </w:p>
        </w:tc>
      </w:tr>
      <w:tr w14:paraId="665970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7E2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9C0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510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A226">
            <w:pPr>
              <w:jc w:val="center"/>
            </w:pPr>
            <w:r>
              <w:rPr>
                <w:rFonts w:ascii="宋体" w:hAnsi="宋体" w:eastAsia="宋体"/>
                <w:sz w:val="16"/>
              </w:rPr>
              <w:t>培训人员出勤率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5C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EDC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9FE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45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D6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D8E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EBF6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F03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16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CC96">
            <w:pPr>
              <w:jc w:val="center"/>
            </w:pPr>
          </w:p>
        </w:tc>
      </w:tr>
      <w:tr w14:paraId="72C13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18B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FF6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651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9D5B">
            <w:pPr>
              <w:jc w:val="center"/>
            </w:pPr>
            <w:r>
              <w:rPr>
                <w:rFonts w:ascii="宋体" w:hAnsi="宋体" w:eastAsia="宋体"/>
                <w:sz w:val="16"/>
              </w:rPr>
              <w:t>绿植成活率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C0A5">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44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D5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53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B9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0B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5B7D">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5AC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6A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3A0A">
            <w:pPr>
              <w:jc w:val="center"/>
            </w:pPr>
          </w:p>
        </w:tc>
      </w:tr>
      <w:tr w14:paraId="138A0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BDC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ABE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96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3EC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FD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627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80C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3F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EC7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7B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804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791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AE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829F">
            <w:pPr>
              <w:jc w:val="center"/>
            </w:pPr>
          </w:p>
        </w:tc>
      </w:tr>
      <w:tr w14:paraId="6749FB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66B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17E1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D67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563D">
            <w:pPr>
              <w:jc w:val="center"/>
            </w:pPr>
            <w:r>
              <w:rPr>
                <w:rFonts w:ascii="宋体" w:hAnsi="宋体" w:eastAsia="宋体"/>
                <w:sz w:val="16"/>
              </w:rPr>
              <w:t>拨付校园绿化金额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F92DF">
            <w:pPr>
              <w:jc w:val="center"/>
            </w:pPr>
            <w:r>
              <w:rPr>
                <w:rFonts w:ascii="宋体" w:hAnsi="宋体" w:eastAsia="宋体"/>
                <w:sz w:val="16"/>
              </w:rPr>
              <w:t>&lt;=3.44万元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43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C69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99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7F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A6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1561">
            <w:pPr>
              <w:jc w:val="center"/>
            </w:pPr>
            <w:r>
              <w:rPr>
                <w:rFonts w:ascii="宋体" w:hAnsi="宋体" w:eastAsia="宋体"/>
                <w:sz w:val="16"/>
              </w:rPr>
              <w:t>3.44万元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317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52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90D8">
            <w:pPr>
              <w:jc w:val="center"/>
            </w:pPr>
          </w:p>
        </w:tc>
      </w:tr>
      <w:tr w14:paraId="5BB033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AE1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91D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69C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377A">
            <w:pPr>
              <w:jc w:val="center"/>
            </w:pPr>
            <w:r>
              <w:rPr>
                <w:rFonts w:ascii="宋体" w:hAnsi="宋体" w:eastAsia="宋体"/>
                <w:sz w:val="16"/>
              </w:rPr>
              <w:t>农牧民培训餐费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B13AA">
            <w:pPr>
              <w:jc w:val="center"/>
            </w:pPr>
            <w:r>
              <w:rPr>
                <w:rFonts w:ascii="宋体" w:hAnsi="宋体" w:eastAsia="宋体"/>
                <w:sz w:val="16"/>
              </w:rPr>
              <w:t>&lt;=0.09万元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E1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FF5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74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18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A2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EA4F">
            <w:pPr>
              <w:jc w:val="center"/>
            </w:pPr>
            <w:r>
              <w:rPr>
                <w:rFonts w:ascii="宋体" w:hAnsi="宋体" w:eastAsia="宋体"/>
                <w:sz w:val="16"/>
              </w:rPr>
              <w:t>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36B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DC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3880">
            <w:pPr>
              <w:jc w:val="center"/>
            </w:pPr>
          </w:p>
        </w:tc>
      </w:tr>
      <w:tr w14:paraId="653A0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CA4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DCA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70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5942">
            <w:pPr>
              <w:jc w:val="center"/>
            </w:pPr>
            <w:r>
              <w:rPr>
                <w:rFonts w:ascii="宋体" w:hAnsi="宋体" w:eastAsia="宋体"/>
                <w:sz w:val="16"/>
              </w:rPr>
              <w:t>有效改善校园环境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EB13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B00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81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EF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5B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3A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674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F29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DE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B4E4">
            <w:pPr>
              <w:jc w:val="center"/>
            </w:pPr>
          </w:p>
        </w:tc>
      </w:tr>
      <w:tr w14:paraId="13A51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31D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46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9E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444F">
            <w:pPr>
              <w:jc w:val="center"/>
            </w:pPr>
            <w:r>
              <w:rPr>
                <w:rFonts w:ascii="宋体" w:hAnsi="宋体" w:eastAsia="宋体"/>
                <w:sz w:val="16"/>
              </w:rPr>
              <w:t>受训学员满意度（%）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B9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A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F9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BE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3A8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96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AA4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60D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2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70A3">
            <w:pPr>
              <w:jc w:val="center"/>
            </w:pPr>
          </w:p>
        </w:tc>
      </w:tr>
      <w:tr w14:paraId="0F2E5A4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FE43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F6BE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A7FD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66A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60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8A4B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0B70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C8B1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0DCA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109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E3ABA8"/>
        </w:tc>
      </w:tr>
    </w:tbl>
    <w:p w14:paraId="1A79E5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F732CA0">
        <w:tblPrEx>
          <w:tblCellMar>
            <w:top w:w="0" w:type="dxa"/>
            <w:left w:w="108" w:type="dxa"/>
            <w:bottom w:w="0" w:type="dxa"/>
            <w:right w:w="108" w:type="dxa"/>
          </w:tblCellMar>
        </w:tblPrEx>
        <w:tc>
          <w:tcPr>
            <w:tcW w:w="8848" w:type="dxa"/>
            <w:gridSpan w:val="14"/>
            <w:vAlign w:val="center"/>
          </w:tcPr>
          <w:p w14:paraId="1ECF8EA5">
            <w:pPr>
              <w:jc w:val="center"/>
            </w:pPr>
            <w:r>
              <w:rPr>
                <w:rFonts w:ascii="宋体" w:hAnsi="宋体" w:eastAsia="宋体"/>
                <w:sz w:val="24"/>
              </w:rPr>
              <w:t>项目支出绩效自评表</w:t>
            </w:r>
          </w:p>
        </w:tc>
      </w:tr>
      <w:tr w14:paraId="4BB4AD59">
        <w:tblPrEx>
          <w:tblCellMar>
            <w:top w:w="0" w:type="dxa"/>
            <w:left w:w="108" w:type="dxa"/>
            <w:bottom w:w="0" w:type="dxa"/>
            <w:right w:w="108" w:type="dxa"/>
          </w:tblCellMar>
        </w:tblPrEx>
        <w:tc>
          <w:tcPr>
            <w:tcW w:w="8848" w:type="dxa"/>
            <w:gridSpan w:val="14"/>
            <w:vAlign w:val="center"/>
          </w:tcPr>
          <w:p w14:paraId="2889A761">
            <w:pPr>
              <w:jc w:val="center"/>
            </w:pPr>
            <w:r>
              <w:rPr>
                <w:rFonts w:ascii="宋体" w:hAnsi="宋体" w:eastAsia="宋体"/>
                <w:sz w:val="24"/>
              </w:rPr>
              <w:t>(2024年度)</w:t>
            </w:r>
          </w:p>
        </w:tc>
      </w:tr>
      <w:tr w14:paraId="4F405D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83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FDE439">
            <w:pPr>
              <w:jc w:val="center"/>
            </w:pPr>
            <w:r>
              <w:rPr>
                <w:rFonts w:ascii="宋体" w:hAnsi="宋体" w:eastAsia="宋体"/>
                <w:sz w:val="16"/>
              </w:rPr>
              <w:t>裕民县技工学校防空地下室易地建设费用项目</w:t>
            </w:r>
          </w:p>
        </w:tc>
      </w:tr>
      <w:tr w14:paraId="4FD253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4F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75FC2D">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49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212F78">
            <w:pPr>
              <w:jc w:val="center"/>
            </w:pPr>
            <w:r>
              <w:rPr>
                <w:rFonts w:ascii="宋体" w:hAnsi="宋体" w:eastAsia="宋体"/>
                <w:sz w:val="16"/>
              </w:rPr>
              <w:t>裕民县技工学校</w:t>
            </w:r>
          </w:p>
        </w:tc>
      </w:tr>
      <w:tr w14:paraId="5D9EBF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30A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3FC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19F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138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1F0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29B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9D3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C93E">
            <w:pPr>
              <w:jc w:val="center"/>
            </w:pPr>
            <w:r>
              <w:rPr>
                <w:rFonts w:ascii="宋体" w:hAnsi="宋体" w:eastAsia="宋体"/>
                <w:sz w:val="16"/>
              </w:rPr>
              <w:t>得分</w:t>
            </w:r>
          </w:p>
        </w:tc>
      </w:tr>
      <w:tr w14:paraId="5D8CD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901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E4D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9B7DD">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E7F0E">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2F230">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FA7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012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95D8">
            <w:pPr>
              <w:jc w:val="center"/>
            </w:pPr>
            <w:r>
              <w:rPr>
                <w:rFonts w:ascii="宋体" w:hAnsi="宋体" w:eastAsia="宋体"/>
                <w:sz w:val="16"/>
              </w:rPr>
              <w:t>10.00</w:t>
            </w:r>
          </w:p>
        </w:tc>
      </w:tr>
      <w:tr w14:paraId="54A14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650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70F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CFC02">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D4A67">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C988A">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3A4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77C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5736">
            <w:pPr>
              <w:jc w:val="center"/>
            </w:pPr>
            <w:r>
              <w:rPr>
                <w:rFonts w:ascii="宋体" w:hAnsi="宋体" w:eastAsia="宋体"/>
                <w:sz w:val="16"/>
              </w:rPr>
              <w:t>—</w:t>
            </w:r>
          </w:p>
        </w:tc>
      </w:tr>
      <w:tr w14:paraId="578A3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491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19B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F79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A3D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2C6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010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BF2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2B24">
            <w:pPr>
              <w:jc w:val="center"/>
            </w:pPr>
            <w:r>
              <w:rPr>
                <w:rFonts w:ascii="宋体" w:hAnsi="宋体" w:eastAsia="宋体"/>
                <w:sz w:val="16"/>
              </w:rPr>
              <w:t>—</w:t>
            </w:r>
          </w:p>
        </w:tc>
      </w:tr>
      <w:tr w14:paraId="06576F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A090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7388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889570">
            <w:pPr>
              <w:jc w:val="center"/>
            </w:pPr>
            <w:r>
              <w:rPr>
                <w:rFonts w:ascii="宋体" w:hAnsi="宋体" w:eastAsia="宋体"/>
                <w:sz w:val="16"/>
              </w:rPr>
              <w:t>实际完成情况</w:t>
            </w:r>
          </w:p>
        </w:tc>
      </w:tr>
      <w:tr w14:paraId="08F7D0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827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DE7329">
            <w:pPr>
              <w:jc w:val="both"/>
            </w:pPr>
            <w:r>
              <w:rPr>
                <w:rFonts w:ascii="宋体" w:hAnsi="宋体" w:eastAsia="宋体"/>
                <w:sz w:val="16"/>
              </w:rPr>
              <w:t>根据关于印发《新疆维吾尔自治区人民防空工程建设行政审批管理规定（试行）》的通知，进一步规范人民防空工程建设行政审批管理，结合我县实际，将按一定要求修建防空地下室共计2个项目，总概算预计5.18万元，及时跟进资金到位，严格落实。</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B5D174">
            <w:pPr>
              <w:jc w:val="both"/>
            </w:pPr>
            <w:r>
              <w:rPr>
                <w:rFonts w:ascii="宋体" w:hAnsi="宋体" w:eastAsia="宋体"/>
                <w:sz w:val="16"/>
              </w:rPr>
              <w:t>裕民县技工学校防空地下室易地建设费用项目，按照文件通知严格落实，实际完成总资金5.18万元支出，确保了实训基地建设项目与食堂建设项目的标准施工，保障了校园综合功能完善，兼顾战时防护需求，</w:t>
            </w:r>
          </w:p>
        </w:tc>
      </w:tr>
      <w:tr w14:paraId="184765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DF37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8E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13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B6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F78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C5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A0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517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E95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4D3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B94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25E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08A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FFCE">
            <w:pPr>
              <w:jc w:val="center"/>
            </w:pPr>
            <w:r>
              <w:rPr>
                <w:rFonts w:ascii="宋体" w:hAnsi="宋体" w:eastAsia="宋体"/>
                <w:sz w:val="16"/>
              </w:rPr>
              <w:t>偏差原因分析及改进措施</w:t>
            </w:r>
          </w:p>
        </w:tc>
      </w:tr>
      <w:tr w14:paraId="2CF32A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EDE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63EE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5B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5F12D">
            <w:pPr>
              <w:jc w:val="center"/>
            </w:pPr>
            <w:r>
              <w:rPr>
                <w:rFonts w:ascii="宋体" w:hAnsi="宋体" w:eastAsia="宋体"/>
                <w:sz w:val="16"/>
              </w:rPr>
              <w:t>防空地下室易地建设项目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0C5C">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14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60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46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02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C28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83F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800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07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99D2">
            <w:pPr>
              <w:jc w:val="center"/>
            </w:pPr>
          </w:p>
        </w:tc>
      </w:tr>
      <w:tr w14:paraId="2FC49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29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B03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ED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D6C0">
            <w:pPr>
              <w:jc w:val="center"/>
            </w:pPr>
            <w:r>
              <w:rPr>
                <w:rFonts w:ascii="宋体" w:hAnsi="宋体" w:eastAsia="宋体"/>
                <w:sz w:val="16"/>
              </w:rPr>
              <w:t>经费使用准确率（%）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CA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FC3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3D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B4E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63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2F2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820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1B22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0A4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F89CF">
            <w:pPr>
              <w:jc w:val="center"/>
            </w:pPr>
          </w:p>
        </w:tc>
      </w:tr>
      <w:tr w14:paraId="458BA3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26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4D4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C4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EB6A">
            <w:pPr>
              <w:jc w:val="center"/>
            </w:pPr>
            <w:r>
              <w:rPr>
                <w:rFonts w:ascii="宋体" w:hAnsi="宋体" w:eastAsia="宋体"/>
                <w:sz w:val="16"/>
              </w:rPr>
              <w:t>项目按期完工率（%）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AB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E4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526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AC5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1F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817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C9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820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BBC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914A">
            <w:pPr>
              <w:jc w:val="center"/>
            </w:pPr>
          </w:p>
        </w:tc>
      </w:tr>
      <w:tr w14:paraId="6F521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13E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8AFC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EA5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3756">
            <w:pPr>
              <w:jc w:val="center"/>
            </w:pPr>
            <w:r>
              <w:rPr>
                <w:rFonts w:ascii="宋体" w:hAnsi="宋体" w:eastAsia="宋体"/>
                <w:sz w:val="16"/>
              </w:rPr>
              <w:t>实训基地建设项目资金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CBF5E">
            <w:pPr>
              <w:jc w:val="center"/>
            </w:pPr>
            <w:r>
              <w:rPr>
                <w:rFonts w:ascii="宋体" w:hAnsi="宋体" w:eastAsia="宋体"/>
                <w:sz w:val="16"/>
              </w:rPr>
              <w:t>&lt;=3.68万元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D8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7C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B1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D4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3D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6B61">
            <w:pPr>
              <w:jc w:val="center"/>
            </w:pPr>
            <w:r>
              <w:rPr>
                <w:rFonts w:ascii="宋体" w:hAnsi="宋体" w:eastAsia="宋体"/>
                <w:sz w:val="16"/>
              </w:rPr>
              <w:t>3.68万元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572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79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A6A7">
            <w:pPr>
              <w:jc w:val="center"/>
            </w:pPr>
          </w:p>
        </w:tc>
      </w:tr>
      <w:tr w14:paraId="2C548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F49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0D1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70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BB97">
            <w:pPr>
              <w:jc w:val="center"/>
            </w:pPr>
            <w:r>
              <w:rPr>
                <w:rFonts w:ascii="宋体" w:hAnsi="宋体" w:eastAsia="宋体"/>
                <w:sz w:val="16"/>
              </w:rPr>
              <w:t>食堂建设项目资金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AC53">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93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B71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D5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D8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CA5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7E38">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15B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11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9B33">
            <w:pPr>
              <w:jc w:val="center"/>
            </w:pPr>
          </w:p>
        </w:tc>
      </w:tr>
      <w:tr w14:paraId="33F1A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8B5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B4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0A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8230">
            <w:pPr>
              <w:jc w:val="center"/>
            </w:pPr>
            <w:r>
              <w:rPr>
                <w:rFonts w:ascii="宋体" w:hAnsi="宋体" w:eastAsia="宋体"/>
                <w:sz w:val="16"/>
              </w:rPr>
              <w:t>有效提升培训学员技能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A36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F7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9B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8D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02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3AD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F14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578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9C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B458">
            <w:pPr>
              <w:jc w:val="center"/>
            </w:pPr>
          </w:p>
        </w:tc>
      </w:tr>
      <w:tr w14:paraId="5B8F3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E2B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44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87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7433">
            <w:pPr>
              <w:jc w:val="center"/>
            </w:pPr>
            <w:r>
              <w:rPr>
                <w:rFonts w:ascii="宋体" w:hAnsi="宋体" w:eastAsia="宋体"/>
                <w:sz w:val="16"/>
              </w:rPr>
              <w:t>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9D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DF0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5B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CE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8E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5108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3EC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D87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E4E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82AD">
            <w:pPr>
              <w:jc w:val="center"/>
            </w:pPr>
          </w:p>
        </w:tc>
      </w:tr>
      <w:tr w14:paraId="4918A8F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C85B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4D92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C781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A0DE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E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B213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0637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2324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DCA9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A13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A274ED"/>
        </w:tc>
      </w:tr>
    </w:tbl>
    <w:p w14:paraId="08C950CA">
      <w:r>
        <w:br w:type="page"/>
      </w:r>
    </w:p>
    <w:p w14:paraId="338FABC2">
      <w:pPr>
        <w:spacing w:line="640" w:lineRule="exact"/>
        <w:ind w:firstLine="640"/>
        <w:jc w:val="both"/>
        <w:outlineLvl w:val="2"/>
      </w:pPr>
      <w:r>
        <w:rPr>
          <w:rFonts w:ascii="黑体" w:hAnsi="黑体" w:eastAsia="黑体"/>
          <w:sz w:val="32"/>
        </w:rPr>
        <w:t>十二、其他需说明的事项</w:t>
      </w:r>
    </w:p>
    <w:p w14:paraId="4F21CF4F">
      <w:pPr>
        <w:spacing w:line="580" w:lineRule="exact"/>
        <w:ind w:firstLine="640"/>
        <w:jc w:val="both"/>
      </w:pPr>
      <w:r>
        <w:rPr>
          <w:rFonts w:ascii="仿宋_GB2312" w:hAnsi="仿宋_GB2312" w:eastAsia="仿宋_GB2312"/>
          <w:b w:val="0"/>
          <w:sz w:val="32"/>
        </w:rPr>
        <w:t>本单位无其他需说明的事项。</w:t>
      </w:r>
    </w:p>
    <w:p w14:paraId="2648B1C4">
      <w:r>
        <w:br w:type="page"/>
      </w:r>
    </w:p>
    <w:p w14:paraId="5DA1B205">
      <w:pPr>
        <w:spacing w:line="240" w:lineRule="auto"/>
        <w:jc w:val="center"/>
        <w:outlineLvl w:val="1"/>
      </w:pPr>
      <w:r>
        <w:rPr>
          <w:rFonts w:ascii="黑体" w:hAnsi="黑体" w:eastAsia="黑体"/>
          <w:sz w:val="32"/>
        </w:rPr>
        <w:t>第三部分 专业名词解释</w:t>
      </w:r>
    </w:p>
    <w:p w14:paraId="333110C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4FC7F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B59AFA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2C152F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621180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4A2D1F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E19AEB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97AA5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67306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9AB6CE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9B433F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8FBFE7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A0B960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0B27C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68742B2">
      <w:r>
        <w:br w:type="page"/>
      </w:r>
    </w:p>
    <w:p w14:paraId="3A167AE8">
      <w:pPr>
        <w:spacing w:line="240" w:lineRule="auto"/>
        <w:jc w:val="center"/>
        <w:outlineLvl w:val="1"/>
      </w:pPr>
      <w:r>
        <w:rPr>
          <w:rFonts w:ascii="黑体" w:hAnsi="黑体" w:eastAsia="黑体"/>
          <w:sz w:val="32"/>
        </w:rPr>
        <w:t>第四部分 部门决算报表（见附表）</w:t>
      </w:r>
    </w:p>
    <w:p w14:paraId="54636379">
      <w:pPr>
        <w:spacing w:line="240" w:lineRule="auto"/>
        <w:ind w:firstLine="640"/>
        <w:jc w:val="both"/>
      </w:pPr>
      <w:r>
        <w:rPr>
          <w:rFonts w:ascii="仿宋_GB2312" w:hAnsi="仿宋_GB2312" w:eastAsia="仿宋_GB2312"/>
          <w:b w:val="0"/>
          <w:sz w:val="32"/>
        </w:rPr>
        <w:t>一、《收入支出决算总表》</w:t>
      </w:r>
    </w:p>
    <w:p w14:paraId="17E784DB">
      <w:pPr>
        <w:spacing w:line="240" w:lineRule="auto"/>
        <w:ind w:firstLine="640"/>
        <w:jc w:val="both"/>
      </w:pPr>
      <w:r>
        <w:rPr>
          <w:rFonts w:ascii="仿宋_GB2312" w:hAnsi="仿宋_GB2312" w:eastAsia="仿宋_GB2312"/>
          <w:b w:val="0"/>
          <w:sz w:val="32"/>
        </w:rPr>
        <w:t>二、《收入决算表》</w:t>
      </w:r>
    </w:p>
    <w:p w14:paraId="1CCE5334">
      <w:pPr>
        <w:spacing w:line="240" w:lineRule="auto"/>
        <w:ind w:firstLine="640"/>
        <w:jc w:val="both"/>
      </w:pPr>
      <w:r>
        <w:rPr>
          <w:rFonts w:ascii="仿宋_GB2312" w:hAnsi="仿宋_GB2312" w:eastAsia="仿宋_GB2312"/>
          <w:b w:val="0"/>
          <w:sz w:val="32"/>
        </w:rPr>
        <w:t>三、《支出决算表》</w:t>
      </w:r>
    </w:p>
    <w:p w14:paraId="443CB90F">
      <w:pPr>
        <w:spacing w:line="240" w:lineRule="auto"/>
        <w:ind w:firstLine="640"/>
        <w:jc w:val="both"/>
      </w:pPr>
      <w:r>
        <w:rPr>
          <w:rFonts w:ascii="仿宋_GB2312" w:hAnsi="仿宋_GB2312" w:eastAsia="仿宋_GB2312"/>
          <w:b w:val="0"/>
          <w:sz w:val="32"/>
        </w:rPr>
        <w:t>四、《财政拨款收入支出决算总表》</w:t>
      </w:r>
    </w:p>
    <w:p w14:paraId="0D6920CB">
      <w:pPr>
        <w:spacing w:line="240" w:lineRule="auto"/>
        <w:ind w:firstLine="640"/>
        <w:jc w:val="both"/>
      </w:pPr>
      <w:r>
        <w:rPr>
          <w:rFonts w:ascii="仿宋_GB2312" w:hAnsi="仿宋_GB2312" w:eastAsia="仿宋_GB2312"/>
          <w:b w:val="0"/>
          <w:sz w:val="32"/>
        </w:rPr>
        <w:t>五、《一般公共预算财政拨款支出决算表》</w:t>
      </w:r>
    </w:p>
    <w:p w14:paraId="30A17B06">
      <w:pPr>
        <w:spacing w:line="240" w:lineRule="auto"/>
        <w:ind w:firstLine="640"/>
        <w:jc w:val="both"/>
      </w:pPr>
      <w:r>
        <w:rPr>
          <w:rFonts w:ascii="仿宋_GB2312" w:hAnsi="仿宋_GB2312" w:eastAsia="仿宋_GB2312"/>
          <w:b w:val="0"/>
          <w:sz w:val="32"/>
        </w:rPr>
        <w:t>六、《一般公共预算财政拨款基本支出决算表》</w:t>
      </w:r>
    </w:p>
    <w:p w14:paraId="436F20B3">
      <w:pPr>
        <w:spacing w:line="240" w:lineRule="auto"/>
        <w:ind w:firstLine="640"/>
        <w:jc w:val="both"/>
      </w:pPr>
      <w:r>
        <w:rPr>
          <w:rFonts w:ascii="仿宋_GB2312" w:hAnsi="仿宋_GB2312" w:eastAsia="仿宋_GB2312"/>
          <w:b w:val="0"/>
          <w:sz w:val="32"/>
        </w:rPr>
        <w:t>七、《政府性基金预算财政拨款收入支出决算表》</w:t>
      </w:r>
    </w:p>
    <w:p w14:paraId="67BD256D">
      <w:pPr>
        <w:spacing w:line="240" w:lineRule="auto"/>
        <w:ind w:firstLine="640"/>
        <w:jc w:val="both"/>
      </w:pPr>
      <w:r>
        <w:rPr>
          <w:rFonts w:ascii="仿宋_GB2312" w:hAnsi="仿宋_GB2312" w:eastAsia="仿宋_GB2312"/>
          <w:b w:val="0"/>
          <w:sz w:val="32"/>
        </w:rPr>
        <w:t>八、《国有资本经营预算财政拨款收入支出决算表》</w:t>
      </w:r>
    </w:p>
    <w:p w14:paraId="1B414125">
      <w:pPr>
        <w:spacing w:line="240" w:lineRule="auto"/>
        <w:ind w:firstLine="640"/>
        <w:jc w:val="both"/>
      </w:pPr>
      <w:r>
        <w:rPr>
          <w:rFonts w:ascii="仿宋_GB2312" w:hAnsi="仿宋_GB2312" w:eastAsia="仿宋_GB2312"/>
          <w:b w:val="0"/>
          <w:sz w:val="32"/>
        </w:rPr>
        <w:t>九、《财政拨款“三公”经费支出决算表》</w:t>
      </w:r>
    </w:p>
    <w:p w14:paraId="4B1EDF3D">
      <w:pPr>
        <w:spacing w:line="240" w:lineRule="auto"/>
        <w:ind w:firstLine="640"/>
        <w:jc w:val="both"/>
      </w:pPr>
    </w:p>
    <w:p w14:paraId="35617DE9">
      <w:pPr>
        <w:spacing w:line="240" w:lineRule="auto"/>
        <w:ind w:firstLine="640"/>
        <w:jc w:val="both"/>
      </w:pPr>
    </w:p>
    <w:p w14:paraId="3F27FCB5">
      <w:pPr>
        <w:spacing w:line="240" w:lineRule="auto"/>
        <w:ind w:firstLine="640"/>
        <w:jc w:val="both"/>
      </w:pPr>
    </w:p>
    <w:p w14:paraId="370E4653">
      <w:pPr>
        <w:spacing w:line="240" w:lineRule="auto"/>
        <w:ind w:firstLine="640"/>
        <w:jc w:val="both"/>
      </w:pPr>
    </w:p>
    <w:p w14:paraId="45F0E69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DCC6818"/>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863F96"/>
    <w:rsid w:val="3D5275AC"/>
    <w:rsid w:val="3E87208A"/>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fbe500-39e5-4506-9f51-4e84a9f2da39}">
  <ds:schemaRefs/>
</ds:datastoreItem>
</file>

<file path=docProps/app.xml><?xml version="1.0" encoding="utf-8"?>
<Properties xmlns="http://schemas.openxmlformats.org/officeDocument/2006/extended-properties" xmlns:vt="http://schemas.openxmlformats.org/officeDocument/2006/docPropsVTypes">
  <Template>Normal.dotm</Template>
  <Pages>24</Pages>
  <Words>4227</Words>
  <Characters>4816</Characters>
  <Lines>0</Lines>
  <Paragraphs>0</Paragraphs>
  <TotalTime>1</TotalTime>
  <ScaleCrop>false</ScaleCrop>
  <LinksUpToDate>false</LinksUpToDate>
  <CharactersWithSpaces>4824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2025-11-07T09:48:44Z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