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A168A">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2F0F4E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AC2C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3D67D7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D8E9F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AD9E9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4EE4C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662E73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48186C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0A5A9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5D107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A8EFA8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3CBD2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CBB3B0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D850C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5485A4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F2A2A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4A2908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0DFD30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CEF118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7D378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E212E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63D8F6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E999E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14771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F61990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BC9624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267B2E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65D96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9239A3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000A8DD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BCA62F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E068CA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7757F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8175D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DECE0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5FFD0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1DB6F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71C9D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9F246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5FBF3C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589DB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0F4EFF">
      <w:r>
        <w:br w:type="page"/>
      </w:r>
    </w:p>
    <w:p w14:paraId="253AAF9F">
      <w:pPr>
        <w:spacing w:line="640" w:lineRule="exact"/>
        <w:jc w:val="center"/>
        <w:outlineLvl w:val="1"/>
      </w:pPr>
      <w:r>
        <w:rPr>
          <w:rFonts w:ascii="黑体" w:hAnsi="黑体" w:eastAsia="黑体"/>
          <w:sz w:val="32"/>
        </w:rPr>
        <w:t>第一部分 单位概况</w:t>
      </w:r>
    </w:p>
    <w:p w14:paraId="4978495F">
      <w:pPr>
        <w:spacing w:line="640" w:lineRule="exact"/>
        <w:ind w:firstLine="640"/>
        <w:jc w:val="both"/>
        <w:outlineLvl w:val="2"/>
      </w:pPr>
      <w:r>
        <w:rPr>
          <w:rFonts w:ascii="黑体" w:hAnsi="黑体" w:eastAsia="黑体"/>
          <w:sz w:val="32"/>
        </w:rPr>
        <w:t>一、主要职能</w:t>
      </w:r>
    </w:p>
    <w:p w14:paraId="259FC29F">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1.负责城市困难职工帮扶计划、措施的制定及督促落实。</w:t>
      </w:r>
    </w:p>
    <w:p w14:paraId="4B68AE22">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2.对城市困难职工进行统计、审核，建立健全帮扶工作动态管理档案。</w:t>
      </w:r>
    </w:p>
    <w:p w14:paraId="3130DE5C">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3.对城市困难职工开展生活救助。</w:t>
      </w:r>
    </w:p>
    <w:p w14:paraId="49172D24">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4.协助政府做好困难职工及其家庭成员、农民工的就业援助工作。</w:t>
      </w:r>
    </w:p>
    <w:p w14:paraId="08140CDF">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5.对乡、镇、社区联合工会帮扶站工作进行指导、协调、监督。</w:t>
      </w:r>
    </w:p>
    <w:p w14:paraId="37A4EDE2">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6.积极争取党政、社会各界的支持，筹措帮扶资金。</w:t>
      </w:r>
    </w:p>
    <w:p w14:paraId="272005F3">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7.积极开展涉及职工权益的相关法律、规定宣传指导，参与涉及劳动关系的劳动仲裁、劳动调解及劳动法律监督检查。</w:t>
      </w:r>
    </w:p>
    <w:p w14:paraId="0C196737">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8.对困难职工、农民工经本人申请，开展免费的法律援助。</w:t>
      </w:r>
    </w:p>
    <w:p w14:paraId="5E88B4DF">
      <w:pPr>
        <w:spacing w:line="580" w:lineRule="exact"/>
        <w:ind w:firstLine="640"/>
        <w:jc w:val="both"/>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9.完成主管部门交办的其他事项。</w:t>
      </w:r>
    </w:p>
    <w:p w14:paraId="1406048D">
      <w:pPr>
        <w:spacing w:line="640" w:lineRule="exact"/>
        <w:ind w:firstLine="640"/>
        <w:jc w:val="both"/>
        <w:outlineLvl w:val="2"/>
      </w:pPr>
      <w:r>
        <w:rPr>
          <w:rFonts w:ascii="黑体" w:hAnsi="黑体" w:eastAsia="黑体"/>
          <w:sz w:val="32"/>
        </w:rPr>
        <w:t>二、机构设置及人员情况</w:t>
      </w:r>
    </w:p>
    <w:p w14:paraId="69BAEEAA">
      <w:pPr>
        <w:spacing w:line="580" w:lineRule="exact"/>
        <w:ind w:firstLine="640"/>
        <w:jc w:val="both"/>
      </w:pPr>
      <w:r>
        <w:rPr>
          <w:rFonts w:ascii="仿宋_GB2312" w:hAnsi="仿宋_GB2312" w:eastAsia="仿宋_GB2312"/>
          <w:sz w:val="32"/>
        </w:rPr>
        <w:t>裕民县总工会2024年度，实有人数17人，其中：在职人员8人，增加2人；离休人员0人，增加0人；退休人员9人,减少1人。</w:t>
      </w:r>
    </w:p>
    <w:p w14:paraId="33457B83">
      <w:pPr>
        <w:spacing w:line="580" w:lineRule="exact"/>
        <w:ind w:firstLine="640"/>
        <w:jc w:val="both"/>
      </w:pPr>
      <w:r>
        <w:rPr>
          <w:rFonts w:ascii="仿宋_GB2312" w:hAnsi="仿宋_GB2312" w:eastAsia="仿宋_GB2312"/>
          <w:sz w:val="32"/>
        </w:rPr>
        <w:t>裕民县总工会无下属预算单位，下设3个科室，分别是：办公室、财务室、业务室。</w:t>
      </w:r>
    </w:p>
    <w:p w14:paraId="36FA1817">
      <w:r>
        <w:br w:type="page"/>
      </w:r>
    </w:p>
    <w:p w14:paraId="2AB35C0B">
      <w:pPr>
        <w:spacing w:line="240" w:lineRule="auto"/>
        <w:jc w:val="center"/>
        <w:outlineLvl w:val="1"/>
      </w:pPr>
      <w:r>
        <w:rPr>
          <w:rFonts w:ascii="黑体" w:hAnsi="黑体" w:eastAsia="黑体"/>
          <w:sz w:val="32"/>
        </w:rPr>
        <w:t>第二部分 部门决算情况说明</w:t>
      </w:r>
    </w:p>
    <w:p w14:paraId="661071AF">
      <w:pPr>
        <w:spacing w:line="640" w:lineRule="exact"/>
        <w:ind w:firstLine="640"/>
        <w:jc w:val="both"/>
        <w:outlineLvl w:val="2"/>
      </w:pPr>
      <w:r>
        <w:rPr>
          <w:rFonts w:ascii="黑体" w:hAnsi="黑体" w:eastAsia="黑体"/>
          <w:sz w:val="32"/>
        </w:rPr>
        <w:t>一、收入支出决算总体情况说明</w:t>
      </w:r>
    </w:p>
    <w:p w14:paraId="68728B40">
      <w:pPr>
        <w:spacing w:line="580" w:lineRule="exact"/>
        <w:ind w:firstLine="640"/>
        <w:jc w:val="both"/>
      </w:pPr>
      <w:r>
        <w:rPr>
          <w:rFonts w:ascii="仿宋_GB2312" w:hAnsi="仿宋_GB2312" w:eastAsia="仿宋_GB2312"/>
          <w:b/>
          <w:sz w:val="32"/>
        </w:rPr>
        <w:t>2024年度收入总计151.82万元，</w:t>
      </w:r>
      <w:r>
        <w:rPr>
          <w:rFonts w:ascii="仿宋_GB2312" w:hAnsi="仿宋_GB2312" w:eastAsia="仿宋_GB2312"/>
          <w:b w:val="0"/>
          <w:sz w:val="32"/>
        </w:rPr>
        <w:t>其中：本年收入合计151.82万元，使用非财政拨款结余（含专用结余）0.00万元，年初结转和结余0.00万元。</w:t>
      </w:r>
    </w:p>
    <w:p w14:paraId="4221D4A8">
      <w:pPr>
        <w:spacing w:line="580" w:lineRule="exact"/>
        <w:ind w:firstLine="640"/>
        <w:jc w:val="both"/>
      </w:pPr>
      <w:r>
        <w:rPr>
          <w:rFonts w:ascii="仿宋_GB2312" w:hAnsi="仿宋_GB2312" w:eastAsia="仿宋_GB2312"/>
          <w:b/>
          <w:sz w:val="32"/>
        </w:rPr>
        <w:t>2024年度支出总计151.82万元，</w:t>
      </w:r>
      <w:r>
        <w:rPr>
          <w:rFonts w:ascii="仿宋_GB2312" w:hAnsi="仿宋_GB2312" w:eastAsia="仿宋_GB2312"/>
          <w:b w:val="0"/>
          <w:sz w:val="32"/>
        </w:rPr>
        <w:t>其中：本年支出合计151.82万元，结余分配0.00万元，年末结转和结余0.00万元。</w:t>
      </w:r>
    </w:p>
    <w:p w14:paraId="739457C0">
      <w:pPr>
        <w:spacing w:line="580" w:lineRule="exact"/>
        <w:ind w:firstLine="640"/>
        <w:jc w:val="both"/>
      </w:pPr>
      <w:r>
        <w:rPr>
          <w:rFonts w:ascii="仿宋_GB2312" w:hAnsi="仿宋_GB2312" w:eastAsia="仿宋_GB2312"/>
          <w:b w:val="0"/>
          <w:sz w:val="32"/>
        </w:rPr>
        <w:t>收入支出总体与上年相比，增加10.64万元，增长7.54%，主要原因是：本年退休人员</w:t>
      </w:r>
      <w:r>
        <w:rPr>
          <w:rFonts w:hint="eastAsia" w:ascii="仿宋_GB2312" w:hAnsi="仿宋_GB2312" w:eastAsia="仿宋_GB2312"/>
          <w:b w:val="0"/>
          <w:sz w:val="32"/>
          <w:lang w:val="en-US" w:eastAsia="zh-CN"/>
        </w:rPr>
        <w:t>增加及</w:t>
      </w:r>
      <w:r>
        <w:rPr>
          <w:rFonts w:ascii="仿宋_GB2312" w:hAnsi="仿宋_GB2312" w:eastAsia="仿宋_GB2312"/>
          <w:b w:val="0"/>
          <w:sz w:val="32"/>
        </w:rPr>
        <w:t>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p>
    <w:p w14:paraId="711DF22F">
      <w:pPr>
        <w:spacing w:line="640" w:lineRule="exact"/>
        <w:ind w:firstLine="640"/>
        <w:jc w:val="both"/>
        <w:outlineLvl w:val="2"/>
      </w:pPr>
      <w:r>
        <w:rPr>
          <w:rFonts w:ascii="黑体" w:hAnsi="黑体" w:eastAsia="黑体"/>
          <w:sz w:val="32"/>
        </w:rPr>
        <w:t>二、收入决算情况说明</w:t>
      </w:r>
    </w:p>
    <w:p w14:paraId="5206EDA2">
      <w:pPr>
        <w:spacing w:line="580" w:lineRule="exact"/>
        <w:ind w:firstLine="640"/>
        <w:jc w:val="both"/>
      </w:pPr>
      <w:r>
        <w:rPr>
          <w:rFonts w:ascii="仿宋_GB2312" w:hAnsi="仿宋_GB2312" w:eastAsia="仿宋_GB2312"/>
          <w:b/>
          <w:sz w:val="32"/>
        </w:rPr>
        <w:t>本年收入151.82万元，</w:t>
      </w:r>
      <w:r>
        <w:rPr>
          <w:rFonts w:ascii="仿宋_GB2312" w:hAnsi="仿宋_GB2312" w:eastAsia="仿宋_GB2312"/>
          <w:b w:val="0"/>
          <w:sz w:val="32"/>
        </w:rPr>
        <w:t>其中：财政拨款收入151.82万元，占100.00%；上级补助收入0.00万元，占0.00%；事业收入0.00万元，占0.00%；经营收入0.00万元，占0.00%；附属单位上缴收入0.00万元，占0.00%；其他收入0.00万元，占0.00%。</w:t>
      </w:r>
    </w:p>
    <w:p w14:paraId="732B459C">
      <w:pPr>
        <w:spacing w:line="640" w:lineRule="exact"/>
        <w:ind w:firstLine="640"/>
        <w:jc w:val="both"/>
        <w:outlineLvl w:val="2"/>
      </w:pPr>
      <w:r>
        <w:rPr>
          <w:rFonts w:ascii="黑体" w:hAnsi="黑体" w:eastAsia="黑体"/>
          <w:sz w:val="32"/>
        </w:rPr>
        <w:t>三、支出决算情况说明</w:t>
      </w:r>
    </w:p>
    <w:p w14:paraId="0889992B">
      <w:pPr>
        <w:spacing w:line="580" w:lineRule="exact"/>
        <w:ind w:firstLine="640"/>
        <w:jc w:val="both"/>
      </w:pPr>
      <w:r>
        <w:rPr>
          <w:rFonts w:ascii="仿宋_GB2312" w:hAnsi="仿宋_GB2312" w:eastAsia="仿宋_GB2312"/>
          <w:b/>
          <w:sz w:val="32"/>
        </w:rPr>
        <w:t>本年支出151.82万元，</w:t>
      </w:r>
      <w:r>
        <w:rPr>
          <w:rFonts w:ascii="仿宋_GB2312" w:hAnsi="仿宋_GB2312" w:eastAsia="仿宋_GB2312"/>
          <w:b w:val="0"/>
          <w:sz w:val="32"/>
        </w:rPr>
        <w:t>其中：基本支出151.82万元，占100.00%；项目支出0.00万元，占0.00%；上缴上级支出0.00万元，占0.00%；经营支出0.00万元，占0.00%；对附属单位补助支出0.00万元，占0.00%。</w:t>
      </w:r>
    </w:p>
    <w:p w14:paraId="0C1564D8">
      <w:pPr>
        <w:spacing w:line="640" w:lineRule="exact"/>
        <w:ind w:firstLine="640"/>
        <w:jc w:val="both"/>
        <w:outlineLvl w:val="2"/>
      </w:pPr>
      <w:r>
        <w:rPr>
          <w:rFonts w:ascii="黑体" w:hAnsi="黑体" w:eastAsia="黑体"/>
          <w:sz w:val="32"/>
        </w:rPr>
        <w:t>四、财政拨款收入支出决算总体情况说明</w:t>
      </w:r>
    </w:p>
    <w:p w14:paraId="332FD11C">
      <w:pPr>
        <w:spacing w:line="580" w:lineRule="exact"/>
        <w:ind w:firstLine="640"/>
        <w:jc w:val="both"/>
      </w:pPr>
      <w:r>
        <w:rPr>
          <w:rFonts w:ascii="仿宋_GB2312" w:hAnsi="仿宋_GB2312" w:eastAsia="仿宋_GB2312"/>
          <w:b/>
          <w:sz w:val="32"/>
        </w:rPr>
        <w:t>2024年度财政拨款收入总计151.82万元，</w:t>
      </w:r>
      <w:r>
        <w:rPr>
          <w:rFonts w:ascii="仿宋_GB2312" w:hAnsi="仿宋_GB2312" w:eastAsia="仿宋_GB2312"/>
          <w:b w:val="0"/>
          <w:sz w:val="32"/>
        </w:rPr>
        <w:t>其中：年初财政拨款结转和结余0.00万元，本年财政拨款收入151.82万元。</w:t>
      </w:r>
      <w:r>
        <w:rPr>
          <w:rFonts w:ascii="仿宋_GB2312" w:hAnsi="仿宋_GB2312" w:eastAsia="仿宋_GB2312"/>
          <w:b/>
          <w:sz w:val="32"/>
        </w:rPr>
        <w:t>财政拨款支出总计151.82万元，</w:t>
      </w:r>
      <w:r>
        <w:rPr>
          <w:rFonts w:ascii="仿宋_GB2312" w:hAnsi="仿宋_GB2312" w:eastAsia="仿宋_GB2312"/>
          <w:b w:val="0"/>
          <w:sz w:val="32"/>
        </w:rPr>
        <w:t>其中：年末财政拨款结转和结余0.00万元，本年财政拨款支出151.82万元。</w:t>
      </w:r>
    </w:p>
    <w:p w14:paraId="5C619A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增加10.64万元，增长7.54%，主要原因是：本年退休人员</w:t>
      </w:r>
      <w:r>
        <w:rPr>
          <w:rFonts w:hint="eastAsia" w:ascii="仿宋_GB2312" w:hAnsi="仿宋_GB2312" w:eastAsia="仿宋_GB2312"/>
          <w:b w:val="0"/>
          <w:sz w:val="32"/>
          <w:lang w:val="en-US" w:eastAsia="zh-CN"/>
        </w:rPr>
        <w:t>增加及</w:t>
      </w:r>
      <w:r>
        <w:rPr>
          <w:rFonts w:ascii="仿宋_GB2312" w:hAnsi="仿宋_GB2312" w:eastAsia="仿宋_GB2312"/>
          <w:b w:val="0"/>
          <w:sz w:val="32"/>
        </w:rPr>
        <w:t>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14:paraId="4F9B2A2F">
      <w:pPr>
        <w:spacing w:line="640" w:lineRule="exact"/>
        <w:ind w:firstLine="640"/>
        <w:jc w:val="both"/>
        <w:outlineLvl w:val="2"/>
      </w:pPr>
      <w:r>
        <w:rPr>
          <w:rFonts w:ascii="黑体" w:hAnsi="黑体" w:eastAsia="黑体"/>
          <w:sz w:val="32"/>
        </w:rPr>
        <w:t>五、一般公共预算财政拨款支出决算情况说明</w:t>
      </w:r>
    </w:p>
    <w:p w14:paraId="22BB49D0">
      <w:pPr>
        <w:spacing w:line="640" w:lineRule="exact"/>
        <w:ind w:firstLine="640"/>
        <w:jc w:val="both"/>
        <w:outlineLvl w:val="3"/>
      </w:pPr>
      <w:r>
        <w:rPr>
          <w:rFonts w:ascii="楷体_GB2312" w:hAnsi="楷体_GB2312" w:eastAsia="楷体_GB2312"/>
          <w:b/>
          <w:sz w:val="32"/>
        </w:rPr>
        <w:t>（一）一般公共预算财政拨款支出决算总体情况</w:t>
      </w:r>
    </w:p>
    <w:p w14:paraId="4DCAD95F">
      <w:pPr>
        <w:spacing w:line="580" w:lineRule="exact"/>
        <w:ind w:firstLine="640"/>
        <w:jc w:val="both"/>
      </w:pPr>
      <w:r>
        <w:rPr>
          <w:rFonts w:ascii="仿宋_GB2312" w:hAnsi="仿宋_GB2312" w:eastAsia="仿宋_GB2312"/>
          <w:b/>
          <w:sz w:val="32"/>
        </w:rPr>
        <w:t>2024年度一般公共预算财政拨款支出151.82万元，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增加10.64万元，增长7.54%，主要原因是：本年退休人员</w:t>
      </w:r>
      <w:r>
        <w:rPr>
          <w:rFonts w:hint="eastAsia" w:ascii="仿宋_GB2312" w:hAnsi="仿宋_GB2312" w:eastAsia="仿宋_GB2312"/>
          <w:b w:val="0"/>
          <w:sz w:val="32"/>
          <w:lang w:val="en-US" w:eastAsia="zh-CN"/>
        </w:rPr>
        <w:t>增加及</w:t>
      </w:r>
      <w:r>
        <w:rPr>
          <w:rFonts w:ascii="仿宋_GB2312" w:hAnsi="仿宋_GB2312" w:eastAsia="仿宋_GB2312"/>
          <w:b w:val="0"/>
          <w:sz w:val="32"/>
        </w:rPr>
        <w:t>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14:paraId="26F9661A">
      <w:pPr>
        <w:spacing w:line="640" w:lineRule="exact"/>
        <w:ind w:firstLine="640"/>
        <w:jc w:val="both"/>
        <w:outlineLvl w:val="3"/>
      </w:pPr>
      <w:r>
        <w:rPr>
          <w:rFonts w:ascii="楷体_GB2312" w:hAnsi="楷体_GB2312" w:eastAsia="楷体_GB2312"/>
          <w:b/>
          <w:sz w:val="32"/>
        </w:rPr>
        <w:t>（二）一般公共预算财政拨款支出决算结构情况</w:t>
      </w:r>
    </w:p>
    <w:p w14:paraId="0358BCE3">
      <w:pPr>
        <w:spacing w:line="580" w:lineRule="exact"/>
        <w:ind w:firstLine="640"/>
        <w:jc w:val="both"/>
      </w:pPr>
      <w:r>
        <w:rPr>
          <w:rFonts w:ascii="仿宋_GB2312" w:hAnsi="仿宋_GB2312" w:eastAsia="仿宋_GB2312"/>
          <w:b w:val="0"/>
          <w:sz w:val="32"/>
        </w:rPr>
        <w:t>1.一般公共服务支出(类)98.40万元,占64.81%。</w:t>
      </w:r>
    </w:p>
    <w:p w14:paraId="072079B9">
      <w:pPr>
        <w:spacing w:line="580" w:lineRule="exact"/>
        <w:ind w:firstLine="640"/>
        <w:jc w:val="both"/>
      </w:pPr>
      <w:r>
        <w:rPr>
          <w:rFonts w:ascii="仿宋_GB2312" w:hAnsi="仿宋_GB2312" w:eastAsia="仿宋_GB2312"/>
          <w:b w:val="0"/>
          <w:sz w:val="32"/>
        </w:rPr>
        <w:t>2.社会保障和就业支出(类)39.02万元,占25.70%。</w:t>
      </w:r>
    </w:p>
    <w:p w14:paraId="597C7D17">
      <w:pPr>
        <w:spacing w:line="580" w:lineRule="exact"/>
        <w:ind w:firstLine="640"/>
        <w:jc w:val="both"/>
      </w:pPr>
      <w:r>
        <w:rPr>
          <w:rFonts w:ascii="仿宋_GB2312" w:hAnsi="仿宋_GB2312" w:eastAsia="仿宋_GB2312"/>
          <w:b w:val="0"/>
          <w:sz w:val="32"/>
        </w:rPr>
        <w:t>3.卫生健康支出(类)5.85万元,占3.85%。</w:t>
      </w:r>
    </w:p>
    <w:p w14:paraId="229E7524">
      <w:pPr>
        <w:spacing w:line="580" w:lineRule="exact"/>
        <w:ind w:firstLine="640"/>
        <w:jc w:val="both"/>
      </w:pPr>
      <w:r>
        <w:rPr>
          <w:rFonts w:ascii="仿宋_GB2312" w:hAnsi="仿宋_GB2312" w:eastAsia="仿宋_GB2312"/>
          <w:b w:val="0"/>
          <w:sz w:val="32"/>
        </w:rPr>
        <w:t>4.住房保障支出(类)8.55万元,占5.63%。</w:t>
      </w:r>
    </w:p>
    <w:p w14:paraId="5B4DD914">
      <w:pPr>
        <w:spacing w:line="640" w:lineRule="exact"/>
        <w:ind w:firstLine="640"/>
        <w:jc w:val="both"/>
        <w:outlineLvl w:val="3"/>
      </w:pPr>
      <w:r>
        <w:rPr>
          <w:rFonts w:ascii="楷体_GB2312" w:hAnsi="楷体_GB2312" w:eastAsia="楷体_GB2312"/>
          <w:b/>
          <w:sz w:val="32"/>
        </w:rPr>
        <w:t>（三）一般公共预算财政拨款支出决算具体情况</w:t>
      </w:r>
    </w:p>
    <w:p w14:paraId="55534C3F">
      <w:pPr>
        <w:spacing w:line="580" w:lineRule="exact"/>
        <w:ind w:firstLine="640"/>
        <w:jc w:val="both"/>
      </w:pPr>
      <w:r>
        <w:rPr>
          <w:rFonts w:ascii="仿宋_GB2312" w:hAnsi="仿宋_GB2312" w:eastAsia="仿宋_GB2312"/>
          <w:b w:val="0"/>
          <w:sz w:val="32"/>
        </w:rPr>
        <w:t>1.一般公共服务支出(类)群众团体事务(款)行政运行(项):支出决算数为98.40万元，比上年决算减少8.61万元，下降8.05%,主要原因是：本年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w:t>
      </w:r>
      <w:r>
        <w:rPr>
          <w:rFonts w:hint="default" w:ascii="仿宋_GB2312" w:hAnsi="宋体" w:eastAsia="仿宋_GB2312" w:cs="宋体"/>
          <w:color w:val="auto"/>
          <w:kern w:val="0"/>
          <w:sz w:val="32"/>
          <w:szCs w:val="32"/>
          <w:lang w:val="en-US" w:eastAsia="zh-CN"/>
        </w:rPr>
        <w:t>调入调出，</w:t>
      </w:r>
      <w:r>
        <w:rPr>
          <w:rFonts w:ascii="仿宋_GB2312" w:hAnsi="仿宋_GB2312" w:eastAsia="仿宋_GB2312"/>
          <w:b w:val="0"/>
          <w:sz w:val="32"/>
        </w:rPr>
        <w:t>人员职级不同</w:t>
      </w:r>
      <w:r>
        <w:rPr>
          <w:rFonts w:hint="eastAsia" w:ascii="仿宋_GB2312" w:hAnsi="仿宋_GB2312" w:eastAsia="仿宋_GB2312"/>
          <w:b w:val="0"/>
          <w:sz w:val="32"/>
          <w:lang w:eastAsia="zh-CN"/>
        </w:rPr>
        <w:t>，</w:t>
      </w:r>
      <w:r>
        <w:rPr>
          <w:rFonts w:hint="eastAsia" w:ascii="仿宋_GB2312" w:hAnsi="宋体" w:eastAsia="仿宋_GB2312" w:cs="宋体"/>
          <w:color w:val="auto"/>
          <w:kern w:val="0"/>
          <w:sz w:val="32"/>
          <w:szCs w:val="32"/>
          <w:lang w:val="en-US" w:eastAsia="zh-CN"/>
        </w:rPr>
        <w:t>工资</w:t>
      </w:r>
      <w:r>
        <w:rPr>
          <w:rFonts w:hint="default" w:ascii="仿宋_GB2312" w:hAnsi="宋体" w:eastAsia="仿宋_GB2312" w:cs="宋体"/>
          <w:color w:val="auto"/>
          <w:kern w:val="0"/>
          <w:sz w:val="32"/>
          <w:szCs w:val="32"/>
          <w:lang w:val="en-US" w:eastAsia="zh-CN"/>
        </w:rPr>
        <w:t>基数</w:t>
      </w:r>
      <w:r>
        <w:rPr>
          <w:rFonts w:hint="eastAsia" w:ascii="仿宋_GB2312" w:hAnsi="宋体" w:eastAsia="仿宋_GB2312" w:cs="宋体"/>
          <w:color w:val="auto"/>
          <w:kern w:val="0"/>
          <w:sz w:val="32"/>
          <w:szCs w:val="32"/>
          <w:lang w:val="en-US" w:eastAsia="zh-CN"/>
        </w:rPr>
        <w:t>不同</w:t>
      </w:r>
      <w:r>
        <w:rPr>
          <w:rFonts w:ascii="仿宋_GB2312" w:hAnsi="仿宋_GB2312" w:eastAsia="仿宋_GB2312"/>
          <w:b w:val="0"/>
          <w:sz w:val="32"/>
        </w:rPr>
        <w:t>，人员津贴补贴减少。</w:t>
      </w:r>
    </w:p>
    <w:p w14:paraId="3E6793A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2.社会保障和就业支出(类)行政事业单位养老支出(款)行政单位离退休(项):支出决算数为28.26万元，比上年决算增加21.85万元，增长340.87%,主要原因是：本年退休人员</w:t>
      </w:r>
      <w:r>
        <w:rPr>
          <w:rFonts w:hint="eastAsia" w:ascii="仿宋_GB2312" w:hAnsi="仿宋_GB2312" w:eastAsia="仿宋_GB2312"/>
          <w:b w:val="0"/>
          <w:sz w:val="32"/>
          <w:lang w:val="en-US" w:eastAsia="zh-CN"/>
        </w:rPr>
        <w:t>增加及</w:t>
      </w:r>
      <w:r>
        <w:rPr>
          <w:rFonts w:ascii="仿宋_GB2312" w:hAnsi="仿宋_GB2312" w:eastAsia="仿宋_GB2312"/>
          <w:b w:val="0"/>
          <w:sz w:val="32"/>
        </w:rPr>
        <w:t>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p>
    <w:p w14:paraId="7C66E41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10.76万元，比上年决算减少1.06万元，下降8.97%,主要原因是：本年人员变动，人员职级不同，缴费基数不同，单位基本养老保险缴费较上年减少。</w:t>
      </w:r>
    </w:p>
    <w:p w14:paraId="2C766731">
      <w:pPr>
        <w:spacing w:line="580" w:lineRule="exact"/>
        <w:ind w:firstLine="640"/>
        <w:jc w:val="both"/>
      </w:pPr>
      <w:r>
        <w:rPr>
          <w:rFonts w:ascii="仿宋_GB2312" w:hAnsi="仿宋_GB2312" w:eastAsia="仿宋_GB2312"/>
          <w:b w:val="0"/>
          <w:sz w:val="32"/>
        </w:rPr>
        <w:t>4.卫生健康支出(类)行政事业单位医疗(款)行政单位医疗(项):支出决算数为4.54万元，比上年决算减少0.75万元，下降14.18%,主要原因是：本年人员变动，人员职级不同，缴费基数不同，行政单位医疗缴费支出减少。</w:t>
      </w:r>
    </w:p>
    <w:p w14:paraId="71352FC3">
      <w:pPr>
        <w:spacing w:line="580" w:lineRule="exact"/>
        <w:ind w:firstLine="640"/>
        <w:jc w:val="both"/>
      </w:pPr>
      <w:r>
        <w:rPr>
          <w:rFonts w:ascii="仿宋_GB2312" w:hAnsi="仿宋_GB2312" w:eastAsia="仿宋_GB2312"/>
          <w:b w:val="0"/>
          <w:sz w:val="32"/>
        </w:rPr>
        <w:t>5.卫生健康支出(类)行政事业单位医疗(款)公务员医疗补助(项):支出决算数为1.31万元，比上年决算减少0.04万元，下降2.96%,主要原因是：本年人员变动，人员职级不同，缴费基数不同，公务员医疗补助经费减少。</w:t>
      </w:r>
    </w:p>
    <w:p w14:paraId="3A2CDCB1">
      <w:pPr>
        <w:spacing w:line="580" w:lineRule="exact"/>
        <w:ind w:firstLine="640"/>
        <w:jc w:val="both"/>
      </w:pPr>
      <w:r>
        <w:rPr>
          <w:rFonts w:ascii="仿宋_GB2312" w:hAnsi="仿宋_GB2312" w:eastAsia="仿宋_GB2312"/>
          <w:b w:val="0"/>
          <w:sz w:val="32"/>
        </w:rPr>
        <w:t>6.住房保障支出(类)住房改革支出(款)住房公积金(项):支出决算数为8.55万元，比上年决算减少0.76万元，下降8.16%,主要原因是：本年人员变动，人员职级不同，缴费基数不同，住房公积金缴费支出减少。</w:t>
      </w:r>
    </w:p>
    <w:p w14:paraId="3713AD95">
      <w:pPr>
        <w:spacing w:line="640" w:lineRule="exact"/>
        <w:ind w:firstLine="640"/>
        <w:jc w:val="both"/>
        <w:outlineLvl w:val="2"/>
      </w:pPr>
      <w:r>
        <w:rPr>
          <w:rFonts w:ascii="黑体" w:hAnsi="黑体" w:eastAsia="黑体"/>
          <w:sz w:val="32"/>
        </w:rPr>
        <w:t>六、一般公共预算财政拨款基本支出决算情况说明</w:t>
      </w:r>
    </w:p>
    <w:p w14:paraId="71C3D314">
      <w:pPr>
        <w:spacing w:line="580" w:lineRule="exact"/>
        <w:ind w:firstLine="640"/>
        <w:jc w:val="both"/>
      </w:pPr>
      <w:r>
        <w:rPr>
          <w:rFonts w:ascii="仿宋_GB2312" w:hAnsi="仿宋_GB2312" w:eastAsia="仿宋_GB2312"/>
          <w:b w:val="0"/>
          <w:sz w:val="32"/>
        </w:rPr>
        <w:t>2024年度一般公共预算财政拨款基本支出151.82万元，其中：</w:t>
      </w:r>
      <w:r>
        <w:rPr>
          <w:rFonts w:ascii="仿宋_GB2312" w:hAnsi="仿宋_GB2312" w:eastAsia="仿宋_GB2312"/>
          <w:b/>
          <w:sz w:val="32"/>
        </w:rPr>
        <w:t>人员经费130.74万元，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w:t>
      </w:r>
    </w:p>
    <w:p w14:paraId="7DDA6059">
      <w:pPr>
        <w:spacing w:line="580" w:lineRule="exact"/>
        <w:ind w:firstLine="640"/>
        <w:jc w:val="both"/>
      </w:pPr>
      <w:r>
        <w:rPr>
          <w:rFonts w:ascii="仿宋_GB2312" w:hAnsi="仿宋_GB2312" w:eastAsia="仿宋_GB2312"/>
          <w:b/>
          <w:sz w:val="32"/>
        </w:rPr>
        <w:t>公用经费21.07万元，</w:t>
      </w:r>
      <w:r>
        <w:rPr>
          <w:rFonts w:ascii="仿宋_GB2312" w:hAnsi="仿宋_GB2312" w:eastAsia="仿宋_GB2312"/>
          <w:b w:val="0"/>
          <w:sz w:val="32"/>
        </w:rPr>
        <w:t>包括：取暖费、工会经费。</w:t>
      </w:r>
    </w:p>
    <w:p w14:paraId="5FFF49FD">
      <w:pPr>
        <w:spacing w:line="640" w:lineRule="exact"/>
        <w:ind w:firstLine="640"/>
        <w:jc w:val="both"/>
        <w:outlineLvl w:val="2"/>
      </w:pPr>
      <w:r>
        <w:rPr>
          <w:rFonts w:ascii="黑体" w:hAnsi="黑体" w:eastAsia="黑体"/>
          <w:sz w:val="32"/>
        </w:rPr>
        <w:t>七、政府性基金预算财政拨款收入支出决算情况说明</w:t>
      </w:r>
    </w:p>
    <w:p w14:paraId="785345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CD47349">
      <w:pPr>
        <w:spacing w:line="640" w:lineRule="exact"/>
        <w:ind w:firstLine="640"/>
        <w:jc w:val="both"/>
        <w:outlineLvl w:val="2"/>
      </w:pPr>
      <w:r>
        <w:rPr>
          <w:rFonts w:ascii="黑体" w:hAnsi="黑体" w:eastAsia="黑体"/>
          <w:sz w:val="32"/>
        </w:rPr>
        <w:t>八、国有资本经营预算财政拨款收入支出决算情况说明</w:t>
      </w:r>
    </w:p>
    <w:p w14:paraId="0BCB9C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832AA4">
      <w:pPr>
        <w:spacing w:line="640" w:lineRule="exact"/>
        <w:ind w:firstLine="640"/>
        <w:jc w:val="both"/>
        <w:outlineLvl w:val="2"/>
      </w:pPr>
      <w:r>
        <w:rPr>
          <w:rFonts w:ascii="黑体" w:hAnsi="黑体" w:eastAsia="黑体"/>
          <w:sz w:val="32"/>
        </w:rPr>
        <w:t>九、财政拨款“三公”经费支出决算情况说明</w:t>
      </w:r>
    </w:p>
    <w:p w14:paraId="4B19EF5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68623F">
      <w:pPr>
        <w:spacing w:line="580" w:lineRule="exact"/>
        <w:ind w:firstLine="640"/>
        <w:jc w:val="both"/>
      </w:pPr>
      <w:r>
        <w:rPr>
          <w:rFonts w:ascii="仿宋_GB2312" w:hAnsi="仿宋_GB2312" w:eastAsia="仿宋_GB2312"/>
          <w:b/>
          <w:sz w:val="32"/>
        </w:rPr>
        <w:t>具体情况如下：</w:t>
      </w:r>
    </w:p>
    <w:p w14:paraId="5813DC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D68C4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42E8E9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97E7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92A536">
      <w:pPr>
        <w:spacing w:line="640" w:lineRule="exact"/>
        <w:ind w:firstLine="640"/>
        <w:jc w:val="both"/>
        <w:outlineLvl w:val="2"/>
      </w:pPr>
      <w:r>
        <w:rPr>
          <w:rFonts w:ascii="黑体" w:hAnsi="黑体" w:eastAsia="黑体"/>
          <w:sz w:val="32"/>
        </w:rPr>
        <w:t>十、其他重要事项的情况说明</w:t>
      </w:r>
    </w:p>
    <w:p w14:paraId="506A43EF">
      <w:pPr>
        <w:spacing w:line="640" w:lineRule="exact"/>
        <w:ind w:firstLine="640"/>
        <w:jc w:val="both"/>
        <w:outlineLvl w:val="3"/>
      </w:pPr>
      <w:r>
        <w:rPr>
          <w:rFonts w:ascii="楷体_GB2312" w:hAnsi="楷体_GB2312" w:eastAsia="楷体_GB2312"/>
          <w:b/>
          <w:sz w:val="32"/>
        </w:rPr>
        <w:t>（一）机关运行经费及公用经费支出情况</w:t>
      </w:r>
    </w:p>
    <w:p w14:paraId="53A21E5F">
      <w:pPr>
        <w:spacing w:line="580" w:lineRule="exact"/>
        <w:ind w:firstLine="640"/>
        <w:jc w:val="both"/>
      </w:pPr>
      <w:r>
        <w:rPr>
          <w:rFonts w:ascii="仿宋_GB2312" w:hAnsi="仿宋_GB2312" w:eastAsia="仿宋_GB2312"/>
          <w:b w:val="0"/>
          <w:sz w:val="32"/>
        </w:rPr>
        <w:t>2024年度裕民县总工会（行政单位和参照公务员法管理事业单位）机关运行经费支出21.07万元，比上年减少0.10万元，下降0.47%，主要原因是：严格控制公用经费，合理节约办公用品，减少不必要开支。</w:t>
      </w:r>
    </w:p>
    <w:p w14:paraId="684D0646">
      <w:pPr>
        <w:spacing w:line="640" w:lineRule="exact"/>
        <w:ind w:firstLine="640"/>
        <w:jc w:val="both"/>
        <w:outlineLvl w:val="3"/>
      </w:pPr>
      <w:r>
        <w:rPr>
          <w:rFonts w:ascii="楷体_GB2312" w:hAnsi="楷体_GB2312" w:eastAsia="楷体_GB2312"/>
          <w:b/>
          <w:sz w:val="32"/>
        </w:rPr>
        <w:t>（二）政府采购情况</w:t>
      </w:r>
    </w:p>
    <w:p w14:paraId="6257A01D">
      <w:pPr>
        <w:spacing w:line="580" w:lineRule="exact"/>
        <w:ind w:firstLine="640"/>
        <w:jc w:val="both"/>
      </w:pPr>
      <w:r>
        <w:rPr>
          <w:rFonts w:ascii="仿宋_GB2312" w:hAnsi="仿宋_GB2312" w:eastAsia="仿宋_GB2312"/>
          <w:b w:val="0"/>
          <w:sz w:val="32"/>
        </w:rPr>
        <w:t>2024年度政府采购支出总额35.63万元，其中：政府采购货物支出25.62万元、政府采购工程支出10.01万元、政府采购服务支出0.00万元。</w:t>
      </w:r>
    </w:p>
    <w:p w14:paraId="41C8BAB9">
      <w:pPr>
        <w:spacing w:line="580" w:lineRule="exact"/>
        <w:ind w:firstLine="640"/>
        <w:jc w:val="both"/>
      </w:pPr>
      <w:r>
        <w:rPr>
          <w:rFonts w:ascii="仿宋_GB2312" w:hAnsi="仿宋_GB2312" w:eastAsia="仿宋_GB2312"/>
          <w:b w:val="0"/>
          <w:sz w:val="32"/>
        </w:rPr>
        <w:t>授予中小企业合同金额35.63万元，占政府采购支出总额的100.00%，其中：授予小微企业合同金额35.63万元，占政府采购支出总额的100.00%。</w:t>
      </w:r>
    </w:p>
    <w:p w14:paraId="1C94E234">
      <w:pPr>
        <w:spacing w:line="640" w:lineRule="exact"/>
        <w:ind w:firstLine="640"/>
        <w:jc w:val="both"/>
        <w:outlineLvl w:val="3"/>
      </w:pPr>
      <w:r>
        <w:rPr>
          <w:rFonts w:ascii="楷体_GB2312" w:hAnsi="楷体_GB2312" w:eastAsia="楷体_GB2312"/>
          <w:b/>
          <w:sz w:val="32"/>
        </w:rPr>
        <w:t>（三）国有资产占用情况说明</w:t>
      </w:r>
    </w:p>
    <w:p w14:paraId="1793C55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D675D9C">
      <w:pPr>
        <w:spacing w:line="640" w:lineRule="exact"/>
        <w:ind w:firstLine="640"/>
        <w:jc w:val="both"/>
        <w:outlineLvl w:val="2"/>
      </w:pPr>
      <w:r>
        <w:rPr>
          <w:rFonts w:ascii="黑体" w:hAnsi="黑体" w:eastAsia="黑体"/>
          <w:sz w:val="32"/>
        </w:rPr>
        <w:t>十一、预算绩效的情况说明</w:t>
      </w:r>
    </w:p>
    <w:p w14:paraId="2DE3819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151.82万元，实际执行总额151.82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1A0E484A">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D42F0BA">
        <w:tblPrEx>
          <w:tblCellMar>
            <w:top w:w="0" w:type="dxa"/>
            <w:left w:w="108" w:type="dxa"/>
            <w:bottom w:w="0" w:type="dxa"/>
            <w:right w:w="108" w:type="dxa"/>
          </w:tblCellMar>
        </w:tblPrEx>
        <w:tc>
          <w:tcPr>
            <w:tcW w:w="8840" w:type="dxa"/>
            <w:gridSpan w:val="8"/>
            <w:vAlign w:val="center"/>
          </w:tcPr>
          <w:p w14:paraId="3DA333C5">
            <w:pPr>
              <w:jc w:val="center"/>
            </w:pPr>
            <w:r>
              <w:rPr>
                <w:rFonts w:ascii="宋体" w:hAnsi="宋体" w:eastAsia="宋体"/>
                <w:sz w:val="24"/>
              </w:rPr>
              <w:t>单位整体支出绩效自评表</w:t>
            </w:r>
          </w:p>
        </w:tc>
      </w:tr>
      <w:tr w14:paraId="221AA9C5">
        <w:tblPrEx>
          <w:tblCellMar>
            <w:top w:w="0" w:type="dxa"/>
            <w:left w:w="108" w:type="dxa"/>
            <w:bottom w:w="0" w:type="dxa"/>
            <w:right w:w="108" w:type="dxa"/>
          </w:tblCellMar>
        </w:tblPrEx>
        <w:tc>
          <w:tcPr>
            <w:tcW w:w="8840" w:type="dxa"/>
            <w:gridSpan w:val="8"/>
            <w:vAlign w:val="center"/>
          </w:tcPr>
          <w:p w14:paraId="597001C4">
            <w:pPr>
              <w:jc w:val="center"/>
            </w:pPr>
            <w:r>
              <w:rPr>
                <w:rFonts w:ascii="宋体" w:hAnsi="宋体" w:eastAsia="宋体"/>
                <w:sz w:val="24"/>
              </w:rPr>
              <w:t>（2024年度）</w:t>
            </w:r>
          </w:p>
        </w:tc>
      </w:tr>
      <w:tr w14:paraId="30F9696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C8FA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9B6CD">
            <w:pPr>
              <w:jc w:val="center"/>
            </w:pPr>
            <w:r>
              <w:rPr>
                <w:rFonts w:ascii="宋体" w:hAnsi="宋体" w:eastAsia="宋体"/>
                <w:sz w:val="16"/>
              </w:rPr>
              <w:t>裕民县总工会</w:t>
            </w:r>
          </w:p>
        </w:tc>
      </w:tr>
      <w:tr w14:paraId="57362F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F143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C3E9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1135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8645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9002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AC8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65FF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F8217">
            <w:pPr>
              <w:jc w:val="center"/>
            </w:pPr>
            <w:r>
              <w:rPr>
                <w:rFonts w:ascii="宋体" w:hAnsi="宋体" w:eastAsia="宋体"/>
                <w:sz w:val="16"/>
              </w:rPr>
              <w:t>得分</w:t>
            </w:r>
          </w:p>
        </w:tc>
      </w:tr>
      <w:tr w14:paraId="0B88A1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314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618F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FE790">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971DE">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B10AC">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040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80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50AB8">
            <w:pPr>
              <w:jc w:val="center"/>
            </w:pPr>
            <w:r>
              <w:rPr>
                <w:rFonts w:ascii="宋体" w:hAnsi="宋体" w:eastAsia="宋体"/>
                <w:sz w:val="16"/>
              </w:rPr>
              <w:t>10</w:t>
            </w:r>
          </w:p>
        </w:tc>
      </w:tr>
      <w:tr w14:paraId="2713AA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D28C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0EDA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738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9B0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2E5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799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0E0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C0CA8">
            <w:pPr>
              <w:jc w:val="center"/>
            </w:pPr>
            <w:r>
              <w:rPr>
                <w:rFonts w:ascii="宋体" w:hAnsi="宋体" w:eastAsia="宋体"/>
                <w:sz w:val="16"/>
              </w:rPr>
              <w:t>-</w:t>
            </w:r>
          </w:p>
        </w:tc>
      </w:tr>
      <w:tr w14:paraId="6055BA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BEB7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FD20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52D52">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A6431">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5EFE3">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FDA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D63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4A836">
            <w:pPr>
              <w:jc w:val="center"/>
            </w:pPr>
            <w:r>
              <w:rPr>
                <w:rFonts w:ascii="宋体" w:hAnsi="宋体" w:eastAsia="宋体"/>
                <w:sz w:val="16"/>
              </w:rPr>
              <w:t>-</w:t>
            </w:r>
          </w:p>
        </w:tc>
      </w:tr>
      <w:tr w14:paraId="5799DA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43B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7078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7EF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1682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3A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C36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06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C176B">
            <w:pPr>
              <w:jc w:val="center"/>
            </w:pPr>
            <w:r>
              <w:rPr>
                <w:rFonts w:ascii="宋体" w:hAnsi="宋体" w:eastAsia="宋体"/>
                <w:sz w:val="16"/>
              </w:rPr>
              <w:t>-</w:t>
            </w:r>
          </w:p>
        </w:tc>
      </w:tr>
      <w:tr w14:paraId="7922D2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AC9D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B0E58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300F93">
            <w:pPr>
              <w:jc w:val="center"/>
            </w:pPr>
            <w:r>
              <w:rPr>
                <w:rFonts w:ascii="宋体" w:hAnsi="宋体" w:eastAsia="宋体"/>
                <w:sz w:val="16"/>
              </w:rPr>
              <w:t>实际完成情况</w:t>
            </w:r>
          </w:p>
        </w:tc>
      </w:tr>
      <w:tr w14:paraId="02AF37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B1486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9A6051">
            <w:pPr>
              <w:jc w:val="both"/>
            </w:pPr>
            <w:r>
              <w:rPr>
                <w:rFonts w:ascii="宋体" w:hAnsi="宋体" w:eastAsia="宋体"/>
                <w:sz w:val="16"/>
              </w:rPr>
              <w:t>保障裕民县总工会各项工作运行顺畅，履行好工作职责，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1.保证单位人员工资足额按时发放，保证单位人员社保、养老、公积金按时足额上缴，切实发挥工会困难职工帮扶职能作用；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2.保证单位日常公用经费开支正常；</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D65AD3">
            <w:pPr>
              <w:jc w:val="both"/>
            </w:pPr>
            <w:r>
              <w:rPr>
                <w:rFonts w:ascii="宋体" w:hAnsi="宋体" w:eastAsia="宋体"/>
                <w:sz w:val="16"/>
              </w:rPr>
              <w:t>1.经费管理与使用：经费预算执行率100%，资金使用合规率100%，无违规支出。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2.组织工会干部业务培训1场，培训职工130人，实现工会财务工作人员业务能力提升，促进了工会财务工作的开展。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3.开展文体活动6次，参与职工达1000余人次，促进了职工间的相互交流与合作，提高了干部职工干事创业的积极性，丰富了工作之余的生活。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4.开展困难职工帮扶2次，全年帮扶困难职工家庭4户9人，发放慰问金10.3224万元，实现建档困难职工动态清零。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5.开展职工慰问4次，覆盖人群包括坚守一线、从事高危、高温工作、新业态就业者等职工，让职工感受到组织的关怀，从而增强其归属感，激发职工的工作热情和干劲。</w:t>
            </w:r>
          </w:p>
        </w:tc>
      </w:tr>
      <w:tr w14:paraId="229116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3AAC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8097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C085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E7A9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4723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E84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038F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82AE8">
            <w:pPr>
              <w:jc w:val="center"/>
            </w:pPr>
            <w:r>
              <w:rPr>
                <w:rFonts w:ascii="宋体" w:hAnsi="宋体" w:eastAsia="宋体"/>
                <w:sz w:val="16"/>
              </w:rPr>
              <w:t>得分</w:t>
            </w:r>
          </w:p>
        </w:tc>
      </w:tr>
      <w:tr w14:paraId="3F90C6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C3F9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E565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4E67D">
            <w:pPr>
              <w:jc w:val="center"/>
            </w:pPr>
            <w:r>
              <w:rPr>
                <w:rFonts w:ascii="宋体" w:hAnsi="宋体" w:eastAsia="宋体"/>
                <w:sz w:val="16"/>
              </w:rPr>
              <w:t>工会干部业务培训场次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0D5F5">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F124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90F4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98BF1">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69168">
            <w:pPr>
              <w:jc w:val="center"/>
            </w:pPr>
            <w:r>
              <w:rPr>
                <w:rFonts w:ascii="宋体" w:hAnsi="宋体" w:eastAsia="宋体"/>
                <w:sz w:val="16"/>
              </w:rPr>
              <w:t>15</w:t>
            </w:r>
          </w:p>
        </w:tc>
      </w:tr>
      <w:tr w14:paraId="4379EA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C62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B5B6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A900">
            <w:pPr>
              <w:jc w:val="center"/>
            </w:pPr>
            <w:r>
              <w:rPr>
                <w:rFonts w:ascii="宋体" w:hAnsi="宋体" w:eastAsia="宋体"/>
                <w:sz w:val="16"/>
              </w:rPr>
              <w:t>开展文体活动次数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64637">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B164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7D47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3F51A">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8DC09">
            <w:pPr>
              <w:jc w:val="center"/>
            </w:pPr>
            <w:r>
              <w:rPr>
                <w:rFonts w:ascii="宋体" w:hAnsi="宋体" w:eastAsia="宋体"/>
                <w:sz w:val="16"/>
              </w:rPr>
              <w:t>15</w:t>
            </w:r>
          </w:p>
        </w:tc>
      </w:tr>
      <w:tr w14:paraId="1F2F8B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6F8C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B48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82A0D">
            <w:pPr>
              <w:jc w:val="center"/>
            </w:pPr>
            <w:r>
              <w:rPr>
                <w:rFonts w:ascii="宋体" w:hAnsi="宋体" w:eastAsia="宋体"/>
                <w:sz w:val="16"/>
              </w:rPr>
              <w:t>开展困难职工帮扶次数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6B055">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D72A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34E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34E50">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223AB">
            <w:pPr>
              <w:jc w:val="center"/>
            </w:pPr>
            <w:r>
              <w:rPr>
                <w:rFonts w:ascii="宋体" w:hAnsi="宋体" w:eastAsia="宋体"/>
                <w:sz w:val="16"/>
              </w:rPr>
              <w:t>15</w:t>
            </w:r>
          </w:p>
        </w:tc>
      </w:tr>
      <w:tr w14:paraId="0C8026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FA3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C21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F0D41">
            <w:pPr>
              <w:jc w:val="center"/>
            </w:pPr>
            <w:r>
              <w:rPr>
                <w:rFonts w:ascii="宋体" w:hAnsi="宋体" w:eastAsia="宋体"/>
                <w:sz w:val="16"/>
              </w:rPr>
              <w:t>开展职工慰问次数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41A27">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8C9C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4B05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92A16">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EA7A1">
            <w:pPr>
              <w:jc w:val="center"/>
            </w:pPr>
            <w:r>
              <w:rPr>
                <w:rFonts w:ascii="宋体" w:hAnsi="宋体" w:eastAsia="宋体"/>
                <w:sz w:val="16"/>
              </w:rPr>
              <w:t>15</w:t>
            </w:r>
          </w:p>
        </w:tc>
      </w:tr>
      <w:tr w14:paraId="0A034A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A51B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414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34C6D">
            <w:pPr>
              <w:jc w:val="center"/>
            </w:pPr>
            <w:r>
              <w:rPr>
                <w:rFonts w:ascii="宋体" w:hAnsi="宋体" w:eastAsia="宋体"/>
                <w:sz w:val="16"/>
              </w:rPr>
              <w:t>经费保障率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FF6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269A6">
            <w:pPr>
              <w:jc w:val="center"/>
            </w:pPr>
            <w:r>
              <w:rPr>
                <w:rFonts w:ascii="宋体" w:hAnsi="宋体" w:eastAsia="宋体"/>
                <w:sz w:val="16"/>
              </w:rPr>
              <w:t>政策文件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3F1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963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B9F8F">
            <w:pPr>
              <w:jc w:val="center"/>
            </w:pPr>
            <w:r>
              <w:rPr>
                <w:rFonts w:ascii="宋体" w:hAnsi="宋体" w:eastAsia="宋体"/>
                <w:sz w:val="16"/>
              </w:rPr>
              <w:t>15</w:t>
            </w:r>
          </w:p>
        </w:tc>
      </w:tr>
      <w:tr w14:paraId="752E0B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155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4BA6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AB529">
            <w:pPr>
              <w:jc w:val="center"/>
            </w:pPr>
            <w:r>
              <w:rPr>
                <w:rFonts w:ascii="宋体" w:hAnsi="宋体" w:eastAsia="宋体"/>
                <w:sz w:val="16"/>
              </w:rPr>
              <w:t>提高基层和职工群众服务水平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C5B81">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5161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F43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6FADF">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165E3">
            <w:pPr>
              <w:jc w:val="center"/>
            </w:pPr>
            <w:r>
              <w:rPr>
                <w:rFonts w:ascii="宋体" w:hAnsi="宋体" w:eastAsia="宋体"/>
                <w:sz w:val="16"/>
              </w:rPr>
              <w:t>14</w:t>
            </w:r>
          </w:p>
        </w:tc>
      </w:tr>
    </w:tbl>
    <w:p w14:paraId="6C43CA3D">
      <w:r>
        <w:br w:type="page"/>
      </w:r>
    </w:p>
    <w:p w14:paraId="692E9A08">
      <w:pPr>
        <w:spacing w:line="640" w:lineRule="exact"/>
        <w:ind w:firstLine="640"/>
        <w:jc w:val="both"/>
        <w:outlineLvl w:val="2"/>
      </w:pPr>
      <w:r>
        <w:rPr>
          <w:rFonts w:ascii="黑体" w:hAnsi="黑体" w:eastAsia="黑体"/>
          <w:sz w:val="32"/>
        </w:rPr>
        <w:t>十二、其他需说明的事项</w:t>
      </w:r>
      <w:bookmarkStart w:id="0" w:name="_GoBack"/>
      <w:bookmarkEnd w:id="0"/>
    </w:p>
    <w:p w14:paraId="731B8704">
      <w:pPr>
        <w:spacing w:line="580" w:lineRule="exact"/>
        <w:ind w:firstLine="640"/>
        <w:jc w:val="both"/>
      </w:pPr>
      <w:r>
        <w:rPr>
          <w:rFonts w:ascii="仿宋_GB2312" w:hAnsi="仿宋_GB2312" w:eastAsia="仿宋_GB2312"/>
          <w:b w:val="0"/>
          <w:sz w:val="32"/>
        </w:rPr>
        <w:t>本单位无其他需说明的事项。</w:t>
      </w:r>
    </w:p>
    <w:p w14:paraId="0113881C">
      <w:r>
        <w:br w:type="page"/>
      </w:r>
    </w:p>
    <w:p w14:paraId="4E384D40">
      <w:pPr>
        <w:spacing w:line="240" w:lineRule="auto"/>
        <w:jc w:val="center"/>
        <w:outlineLvl w:val="1"/>
      </w:pPr>
      <w:r>
        <w:rPr>
          <w:rFonts w:ascii="黑体" w:hAnsi="黑体" w:eastAsia="黑体"/>
          <w:sz w:val="32"/>
        </w:rPr>
        <w:t>第三部分 专业名词解释</w:t>
      </w:r>
    </w:p>
    <w:p w14:paraId="7CF73BC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60158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174B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FF5EE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372BB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A4206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D142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6DCB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C92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6361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B2085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AC512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CE701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241E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F4BC0C">
      <w:r>
        <w:br w:type="page"/>
      </w:r>
    </w:p>
    <w:p w14:paraId="7FAC2634">
      <w:pPr>
        <w:spacing w:line="240" w:lineRule="auto"/>
        <w:jc w:val="center"/>
        <w:outlineLvl w:val="1"/>
      </w:pPr>
      <w:r>
        <w:rPr>
          <w:rFonts w:ascii="黑体" w:hAnsi="黑体" w:eastAsia="黑体"/>
          <w:sz w:val="32"/>
        </w:rPr>
        <w:t>第四部分 部门决算报表（见附表）</w:t>
      </w:r>
    </w:p>
    <w:p w14:paraId="0C03B056">
      <w:pPr>
        <w:spacing w:line="240" w:lineRule="auto"/>
        <w:ind w:firstLine="640"/>
        <w:jc w:val="both"/>
      </w:pPr>
      <w:r>
        <w:rPr>
          <w:rFonts w:ascii="仿宋_GB2312" w:hAnsi="仿宋_GB2312" w:eastAsia="仿宋_GB2312"/>
          <w:b w:val="0"/>
          <w:sz w:val="32"/>
        </w:rPr>
        <w:t>一、《收入支出决算总表》</w:t>
      </w:r>
    </w:p>
    <w:p w14:paraId="0EA48B54">
      <w:pPr>
        <w:spacing w:line="240" w:lineRule="auto"/>
        <w:ind w:firstLine="640"/>
        <w:jc w:val="both"/>
      </w:pPr>
      <w:r>
        <w:rPr>
          <w:rFonts w:ascii="仿宋_GB2312" w:hAnsi="仿宋_GB2312" w:eastAsia="仿宋_GB2312"/>
          <w:b w:val="0"/>
          <w:sz w:val="32"/>
        </w:rPr>
        <w:t>二、《收入决算表》</w:t>
      </w:r>
    </w:p>
    <w:p w14:paraId="7C30F6D3">
      <w:pPr>
        <w:spacing w:line="240" w:lineRule="auto"/>
        <w:ind w:firstLine="640"/>
        <w:jc w:val="both"/>
      </w:pPr>
      <w:r>
        <w:rPr>
          <w:rFonts w:ascii="仿宋_GB2312" w:hAnsi="仿宋_GB2312" w:eastAsia="仿宋_GB2312"/>
          <w:b w:val="0"/>
          <w:sz w:val="32"/>
        </w:rPr>
        <w:t>三、《支出决算表》</w:t>
      </w:r>
    </w:p>
    <w:p w14:paraId="328427E5">
      <w:pPr>
        <w:spacing w:line="240" w:lineRule="auto"/>
        <w:ind w:firstLine="640"/>
        <w:jc w:val="both"/>
      </w:pPr>
      <w:r>
        <w:rPr>
          <w:rFonts w:ascii="仿宋_GB2312" w:hAnsi="仿宋_GB2312" w:eastAsia="仿宋_GB2312"/>
          <w:b w:val="0"/>
          <w:sz w:val="32"/>
        </w:rPr>
        <w:t>四、《财政拨款收入支出决算总表》</w:t>
      </w:r>
    </w:p>
    <w:p w14:paraId="5C3D3252">
      <w:pPr>
        <w:spacing w:line="240" w:lineRule="auto"/>
        <w:ind w:firstLine="640"/>
        <w:jc w:val="both"/>
      </w:pPr>
      <w:r>
        <w:rPr>
          <w:rFonts w:ascii="仿宋_GB2312" w:hAnsi="仿宋_GB2312" w:eastAsia="仿宋_GB2312"/>
          <w:b w:val="0"/>
          <w:sz w:val="32"/>
        </w:rPr>
        <w:t>五、《一般公共预算财政拨款支出决算表》</w:t>
      </w:r>
    </w:p>
    <w:p w14:paraId="511F4011">
      <w:pPr>
        <w:spacing w:line="240" w:lineRule="auto"/>
        <w:ind w:firstLine="640"/>
        <w:jc w:val="both"/>
      </w:pPr>
      <w:r>
        <w:rPr>
          <w:rFonts w:ascii="仿宋_GB2312" w:hAnsi="仿宋_GB2312" w:eastAsia="仿宋_GB2312"/>
          <w:b w:val="0"/>
          <w:sz w:val="32"/>
        </w:rPr>
        <w:t>六、《一般公共预算财政拨款基本支出决算表》</w:t>
      </w:r>
    </w:p>
    <w:p w14:paraId="75CCD793">
      <w:pPr>
        <w:spacing w:line="240" w:lineRule="auto"/>
        <w:ind w:firstLine="640"/>
        <w:jc w:val="both"/>
      </w:pPr>
      <w:r>
        <w:rPr>
          <w:rFonts w:ascii="仿宋_GB2312" w:hAnsi="仿宋_GB2312" w:eastAsia="仿宋_GB2312"/>
          <w:b w:val="0"/>
          <w:sz w:val="32"/>
        </w:rPr>
        <w:t>七、《政府性基金预算财政拨款收入支出决算表》</w:t>
      </w:r>
    </w:p>
    <w:p w14:paraId="54306335">
      <w:pPr>
        <w:spacing w:line="240" w:lineRule="auto"/>
        <w:ind w:firstLine="640"/>
        <w:jc w:val="both"/>
      </w:pPr>
      <w:r>
        <w:rPr>
          <w:rFonts w:ascii="仿宋_GB2312" w:hAnsi="仿宋_GB2312" w:eastAsia="仿宋_GB2312"/>
          <w:b w:val="0"/>
          <w:sz w:val="32"/>
        </w:rPr>
        <w:t>八、《国有资本经营预算财政拨款收入支出决算表》</w:t>
      </w:r>
    </w:p>
    <w:p w14:paraId="3CEFE927">
      <w:pPr>
        <w:spacing w:line="240" w:lineRule="auto"/>
        <w:ind w:firstLine="640"/>
        <w:jc w:val="both"/>
      </w:pPr>
      <w:r>
        <w:rPr>
          <w:rFonts w:ascii="仿宋_GB2312" w:hAnsi="仿宋_GB2312" w:eastAsia="仿宋_GB2312"/>
          <w:b w:val="0"/>
          <w:sz w:val="32"/>
        </w:rPr>
        <w:t>九、《财政拨款“三公”经费支出决算表》</w:t>
      </w:r>
    </w:p>
    <w:p w14:paraId="423F2030">
      <w:pPr>
        <w:spacing w:line="240" w:lineRule="auto"/>
        <w:ind w:firstLine="640"/>
        <w:jc w:val="both"/>
      </w:pPr>
    </w:p>
    <w:p w14:paraId="70643C35">
      <w:pPr>
        <w:spacing w:line="240" w:lineRule="auto"/>
        <w:ind w:firstLine="640"/>
        <w:jc w:val="both"/>
      </w:pPr>
    </w:p>
    <w:p w14:paraId="33804D30">
      <w:pPr>
        <w:spacing w:line="240" w:lineRule="auto"/>
        <w:ind w:firstLine="640"/>
        <w:jc w:val="both"/>
      </w:pPr>
    </w:p>
    <w:p w14:paraId="5A282A95">
      <w:pPr>
        <w:spacing w:line="240" w:lineRule="auto"/>
        <w:ind w:firstLine="640"/>
        <w:jc w:val="both"/>
      </w:pPr>
    </w:p>
    <w:p w14:paraId="31F1BA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7F5F88-2EA9-43B1-A6E9-7EE431D3D0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09A09A-72AB-4AE9-AB40-7442A3F714A4}"/>
  </w:font>
  <w:font w:name="仿宋_GB2312">
    <w:panose1 w:val="02010609030101010101"/>
    <w:charset w:val="86"/>
    <w:family w:val="auto"/>
    <w:pitch w:val="default"/>
    <w:sig w:usb0="00000001" w:usb1="080E0000" w:usb2="00000000" w:usb3="00000000" w:csb0="00040000" w:csb1="00000000"/>
    <w:embedRegular r:id="rId3" w:fontKey="{3CC11CEB-0559-4DD1-B5B9-2ACA806C54A1}"/>
  </w:font>
  <w:font w:name="楷体_GB2312">
    <w:panose1 w:val="02010609030101010101"/>
    <w:charset w:val="86"/>
    <w:family w:val="auto"/>
    <w:pitch w:val="default"/>
    <w:sig w:usb0="00000001" w:usb1="080E0000" w:usb2="00000000" w:usb3="00000000" w:csb0="00040000" w:csb1="00000000"/>
    <w:embedRegular r:id="rId4" w:fontKey="{B3BAB458-9E4D-49DA-A3F1-85F890A189B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7B3E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5243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25243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4D4D14"/>
    <w:rsid w:val="0A7B4867"/>
    <w:rsid w:val="0B8C3ECC"/>
    <w:rsid w:val="0C3613A3"/>
    <w:rsid w:val="0C7227A7"/>
    <w:rsid w:val="0DCA6EF7"/>
    <w:rsid w:val="0E4B1576"/>
    <w:rsid w:val="0EA04331"/>
    <w:rsid w:val="0F9811B3"/>
    <w:rsid w:val="11E15093"/>
    <w:rsid w:val="120E0809"/>
    <w:rsid w:val="12332D55"/>
    <w:rsid w:val="1851284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063D01"/>
    <w:rsid w:val="23BC04D2"/>
    <w:rsid w:val="23EC533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A531E5"/>
    <w:rsid w:val="423A32B2"/>
    <w:rsid w:val="423C0CB4"/>
    <w:rsid w:val="427B5743"/>
    <w:rsid w:val="42E64542"/>
    <w:rsid w:val="464B7E04"/>
    <w:rsid w:val="464F7E64"/>
    <w:rsid w:val="46901EEE"/>
    <w:rsid w:val="469C74D2"/>
    <w:rsid w:val="47445515"/>
    <w:rsid w:val="4B0B4B1B"/>
    <w:rsid w:val="4B4C0111"/>
    <w:rsid w:val="4BB23021"/>
    <w:rsid w:val="4F3F074E"/>
    <w:rsid w:val="50DB5F45"/>
    <w:rsid w:val="52F92565"/>
    <w:rsid w:val="543D17CB"/>
    <w:rsid w:val="55CE6CAA"/>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AC01E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5807</Words>
  <Characters>6541</Characters>
  <Lines>0</Lines>
  <Paragraphs>0</Paragraphs>
  <TotalTime>1</TotalTime>
  <ScaleCrop>false</ScaleCrop>
  <LinksUpToDate>false</LinksUpToDate>
  <CharactersWithSpaces>6551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2025-12-02T08:54:15Z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