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裕民县影剧院2024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3F18B6">
      <w:r>
        <w:br w:type="page"/>
      </w:r>
    </w:p>
    <w:p w14:paraId="3245AAB7">
      <w:pPr>
        <w:spacing w:line="640" w:lineRule="exact"/>
        <w:jc w:val="center"/>
        <w:outlineLvl w:val="1"/>
      </w:pPr>
      <w:r>
        <w:rPr>
          <w:rFonts w:ascii="黑体" w:hAnsi="黑体" w:eastAsia="黑体"/>
          <w:sz w:val="32"/>
        </w:rPr>
        <w:t>第一部分 单位概况</w:t>
      </w:r>
    </w:p>
    <w:p w14:paraId="645342BC">
      <w:pPr>
        <w:spacing w:line="640" w:lineRule="exact"/>
        <w:ind w:firstLine="640"/>
        <w:jc w:val="both"/>
        <w:outlineLvl w:val="2"/>
      </w:pPr>
      <w:r>
        <w:rPr>
          <w:rFonts w:ascii="黑体" w:hAnsi="黑体" w:eastAsia="黑体"/>
          <w:sz w:val="32"/>
        </w:rPr>
        <w:t>一、主要职能</w:t>
      </w:r>
    </w:p>
    <w:p w14:paraId="138610FD">
      <w:pPr>
        <w:spacing w:line="580" w:lineRule="exact"/>
        <w:ind w:firstLine="640"/>
        <w:jc w:val="both"/>
      </w:pPr>
      <w:r>
        <w:rPr>
          <w:rFonts w:ascii="仿宋_GB2312" w:hAnsi="仿宋_GB2312" w:eastAsia="仿宋_GB2312"/>
          <w:sz w:val="32"/>
        </w:rPr>
        <w:t>围绕宣传系统的中心工作，认真实施国库集中支付，进一步强化了预算管理，确保了预算收入的顺利完成。在预算执行过程中，我们认真贯彻执行国家的财政方针政策，严格执行财务制度，坚持实事求是，勤俭办事的方针。努力做到了开源节流，实现了以项目优化支出结构，增长精神文化投入，改善放映条件的目标。以及承办县委、县政府、县委组织部交办的其他事项。</w:t>
      </w:r>
    </w:p>
    <w:p w14:paraId="04B43E77">
      <w:pPr>
        <w:spacing w:line="640" w:lineRule="exact"/>
        <w:ind w:firstLine="640"/>
        <w:jc w:val="both"/>
        <w:outlineLvl w:val="2"/>
      </w:pPr>
      <w:r>
        <w:rPr>
          <w:rFonts w:ascii="黑体" w:hAnsi="黑体" w:eastAsia="黑体"/>
          <w:sz w:val="32"/>
        </w:rPr>
        <w:t>二、机构设置及人员情况</w:t>
      </w:r>
    </w:p>
    <w:p w14:paraId="1C32BDAC">
      <w:pPr>
        <w:spacing w:line="580" w:lineRule="exact"/>
        <w:ind w:firstLine="640"/>
        <w:jc w:val="both"/>
      </w:pPr>
      <w:r>
        <w:rPr>
          <w:rFonts w:ascii="仿宋_GB2312" w:hAnsi="仿宋_GB2312" w:eastAsia="仿宋_GB2312"/>
          <w:sz w:val="32"/>
        </w:rPr>
        <w:t>裕民县影剧院2024年度，实有人数13人，其中：在职人员6人，增加1人；离休人员0人，增加0人；退休人员7人,增加0人。</w:t>
      </w:r>
    </w:p>
    <w:p w14:paraId="61AFBB3B">
      <w:pPr>
        <w:spacing w:line="580" w:lineRule="exact"/>
        <w:ind w:firstLine="640"/>
        <w:jc w:val="both"/>
      </w:pPr>
      <w:r>
        <w:rPr>
          <w:rFonts w:ascii="仿宋_GB2312" w:hAnsi="仿宋_GB2312" w:eastAsia="仿宋_GB2312"/>
          <w:sz w:val="32"/>
        </w:rPr>
        <w:t>裕民县影剧院无下属预算单位，下设2个科室，分别是：办公室、财务室。</w:t>
      </w:r>
    </w:p>
    <w:p w14:paraId="2161731D">
      <w:r>
        <w:br w:type="page"/>
      </w:r>
    </w:p>
    <w:p w14:paraId="067AB516">
      <w:pPr>
        <w:spacing w:line="240" w:lineRule="auto"/>
        <w:jc w:val="center"/>
        <w:outlineLvl w:val="1"/>
      </w:pPr>
      <w:r>
        <w:rPr>
          <w:rFonts w:ascii="黑体" w:hAnsi="黑体" w:eastAsia="黑体"/>
          <w:sz w:val="32"/>
        </w:rPr>
        <w:t>第二部分 部门决算情况说明</w:t>
      </w:r>
    </w:p>
    <w:p w14:paraId="2FA0FBCE">
      <w:pPr>
        <w:spacing w:line="640" w:lineRule="exact"/>
        <w:ind w:firstLine="640"/>
        <w:jc w:val="both"/>
        <w:outlineLvl w:val="2"/>
      </w:pPr>
      <w:r>
        <w:rPr>
          <w:rFonts w:ascii="黑体" w:hAnsi="黑体" w:eastAsia="黑体"/>
          <w:sz w:val="32"/>
        </w:rPr>
        <w:t>一、收入支出决算总体情况说明</w:t>
      </w:r>
    </w:p>
    <w:p w14:paraId="63F9A32B">
      <w:pPr>
        <w:spacing w:line="580" w:lineRule="exact"/>
        <w:ind w:firstLine="640"/>
        <w:jc w:val="both"/>
      </w:pPr>
      <w:r>
        <w:rPr>
          <w:rFonts w:ascii="仿宋_GB2312" w:hAnsi="仿宋_GB2312" w:eastAsia="仿宋_GB2312"/>
          <w:b/>
          <w:sz w:val="32"/>
        </w:rPr>
        <w:t>2024年度收入总计103.17万元，</w:t>
      </w:r>
      <w:r>
        <w:rPr>
          <w:rFonts w:ascii="仿宋_GB2312" w:hAnsi="仿宋_GB2312" w:eastAsia="仿宋_GB2312"/>
          <w:b w:val="0"/>
          <w:sz w:val="32"/>
        </w:rPr>
        <w:t>其中：本年收入合计103.17万元，使用非财政拨款结余（含专用结余）0.00万元，年初结转和结余0.00万元。</w:t>
      </w:r>
    </w:p>
    <w:p w14:paraId="1BF9BE36">
      <w:pPr>
        <w:spacing w:line="580" w:lineRule="exact"/>
        <w:ind w:firstLine="640"/>
        <w:jc w:val="both"/>
      </w:pPr>
      <w:r>
        <w:rPr>
          <w:rFonts w:ascii="仿宋_GB2312" w:hAnsi="仿宋_GB2312" w:eastAsia="仿宋_GB2312"/>
          <w:b/>
          <w:sz w:val="32"/>
        </w:rPr>
        <w:t>2024年度支出总计103.17万元，</w:t>
      </w:r>
      <w:r>
        <w:rPr>
          <w:rFonts w:ascii="仿宋_GB2312" w:hAnsi="仿宋_GB2312" w:eastAsia="仿宋_GB2312"/>
          <w:b w:val="0"/>
          <w:sz w:val="32"/>
        </w:rPr>
        <w:t>其中：本年支出合计103.17万元，结余分配0.00万元，年末结转和结余0.00万元。</w:t>
      </w:r>
    </w:p>
    <w:p w14:paraId="041E2FD3">
      <w:pPr>
        <w:spacing w:line="580" w:lineRule="exact"/>
        <w:ind w:firstLine="640"/>
        <w:jc w:val="both"/>
      </w:pPr>
      <w:r>
        <w:rPr>
          <w:rFonts w:ascii="仿宋_GB2312" w:hAnsi="仿宋_GB2312" w:eastAsia="仿宋_GB2312"/>
          <w:b w:val="0"/>
          <w:sz w:val="32"/>
        </w:rPr>
        <w:t>收入支出总体与上年相比，增加12.85万元，增长14.23%，主要原因是：本年在职人员增加，工资调增，社保、公积金基数调增，人员经费增加。</w:t>
      </w:r>
    </w:p>
    <w:p w14:paraId="68E88996">
      <w:pPr>
        <w:spacing w:line="640" w:lineRule="exact"/>
        <w:ind w:firstLine="640"/>
        <w:jc w:val="both"/>
        <w:outlineLvl w:val="2"/>
      </w:pPr>
      <w:r>
        <w:rPr>
          <w:rFonts w:ascii="黑体" w:hAnsi="黑体" w:eastAsia="黑体"/>
          <w:sz w:val="32"/>
        </w:rPr>
        <w:t>二、收入决算情况说明</w:t>
      </w:r>
    </w:p>
    <w:p w14:paraId="4F99ACE2">
      <w:pPr>
        <w:spacing w:line="580" w:lineRule="exact"/>
        <w:ind w:firstLine="640"/>
        <w:jc w:val="both"/>
      </w:pPr>
      <w:r>
        <w:rPr>
          <w:rFonts w:ascii="仿宋_GB2312" w:hAnsi="仿宋_GB2312" w:eastAsia="仿宋_GB2312"/>
          <w:b/>
          <w:sz w:val="32"/>
        </w:rPr>
        <w:t>本年收入103.17万元，</w:t>
      </w:r>
      <w:r>
        <w:rPr>
          <w:rFonts w:ascii="仿宋_GB2312" w:hAnsi="仿宋_GB2312" w:eastAsia="仿宋_GB2312"/>
          <w:b w:val="0"/>
          <w:sz w:val="32"/>
        </w:rPr>
        <w:t>其中：财政拨款收入102.04万元，占98.90%；上级补助收入0.00万元，占0.00%；事业收入0.00万元，占0.00%；经营收入0.00万元，占0.00%；附属单位上缴收入0.00万元，占0.00%；其他收入1.13万元，占1.10%。</w:t>
      </w:r>
    </w:p>
    <w:p w14:paraId="36868E63">
      <w:pPr>
        <w:spacing w:line="640" w:lineRule="exact"/>
        <w:ind w:firstLine="640"/>
        <w:jc w:val="both"/>
        <w:outlineLvl w:val="2"/>
      </w:pPr>
      <w:r>
        <w:rPr>
          <w:rFonts w:ascii="黑体" w:hAnsi="黑体" w:eastAsia="黑体"/>
          <w:sz w:val="32"/>
        </w:rPr>
        <w:t>三、支出决算情况说明</w:t>
      </w:r>
    </w:p>
    <w:p w14:paraId="5F0FF7C7">
      <w:pPr>
        <w:spacing w:line="580" w:lineRule="exact"/>
        <w:ind w:firstLine="640"/>
        <w:jc w:val="both"/>
      </w:pPr>
      <w:r>
        <w:rPr>
          <w:rFonts w:ascii="仿宋_GB2312" w:hAnsi="仿宋_GB2312" w:eastAsia="仿宋_GB2312"/>
          <w:b/>
          <w:sz w:val="32"/>
        </w:rPr>
        <w:t>本年支出103.17万元，</w:t>
      </w:r>
      <w:r>
        <w:rPr>
          <w:rFonts w:ascii="仿宋_GB2312" w:hAnsi="仿宋_GB2312" w:eastAsia="仿宋_GB2312"/>
          <w:b w:val="0"/>
          <w:sz w:val="32"/>
        </w:rPr>
        <w:t>其中：基本支出92.67万元，占89.82%；项目支出10.50万元，占10.18%；上缴上级支出0.00万元，占0.00%；经营支出0.00万元，占0.00%；对附属单位补助支出0.00万元，占0.00%。</w:t>
      </w:r>
    </w:p>
    <w:p w14:paraId="3F0E53E0">
      <w:pPr>
        <w:spacing w:line="640" w:lineRule="exact"/>
        <w:ind w:firstLine="640"/>
        <w:jc w:val="both"/>
        <w:outlineLvl w:val="2"/>
      </w:pPr>
      <w:r>
        <w:rPr>
          <w:rFonts w:ascii="黑体" w:hAnsi="黑体" w:eastAsia="黑体"/>
          <w:sz w:val="32"/>
        </w:rPr>
        <w:t>四、财政拨款收入支出决算总体情况说明</w:t>
      </w:r>
    </w:p>
    <w:p w14:paraId="7B476071">
      <w:pPr>
        <w:spacing w:line="580" w:lineRule="exact"/>
        <w:ind w:firstLine="640"/>
        <w:jc w:val="both"/>
      </w:pPr>
      <w:r>
        <w:rPr>
          <w:rFonts w:ascii="仿宋_GB2312" w:hAnsi="仿宋_GB2312" w:eastAsia="仿宋_GB2312"/>
          <w:b/>
          <w:sz w:val="32"/>
        </w:rPr>
        <w:t>2024年度财政拨款收入总计102.04万元，</w:t>
      </w:r>
      <w:r>
        <w:rPr>
          <w:rFonts w:ascii="仿宋_GB2312" w:hAnsi="仿宋_GB2312" w:eastAsia="仿宋_GB2312"/>
          <w:b w:val="0"/>
          <w:sz w:val="32"/>
        </w:rPr>
        <w:t>其中：年初财政拨款结转和结余0.00万元，本年财政拨款收入102.04万元。</w:t>
      </w:r>
      <w:r>
        <w:rPr>
          <w:rFonts w:ascii="仿宋_GB2312" w:hAnsi="仿宋_GB2312" w:eastAsia="仿宋_GB2312"/>
          <w:b/>
          <w:sz w:val="32"/>
        </w:rPr>
        <w:t>财政拨款支出总计102.04万元，</w:t>
      </w:r>
      <w:r>
        <w:rPr>
          <w:rFonts w:ascii="仿宋_GB2312" w:hAnsi="仿宋_GB2312" w:eastAsia="仿宋_GB2312"/>
          <w:b w:val="0"/>
          <w:sz w:val="32"/>
        </w:rPr>
        <w:t>其中：年末财政拨款结转和结余0.00万元，本年财政拨款支出102.04万元。</w:t>
      </w:r>
    </w:p>
    <w:p w14:paraId="3D155A0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增加11.72万元，增长12.98%，主要原因是：本年在职人员增加，工资调增，社保、公积金基数调增，人员经费增加。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年初预算数95.21万元，决算数102.04万元，预决算差异率7.17%，主要原因是：年中追加农村公益电影放映项目经费，导致预决算存在差异。</w:t>
      </w:r>
    </w:p>
    <w:p w14:paraId="5D67CD9A">
      <w:pPr>
        <w:spacing w:line="640" w:lineRule="exact"/>
        <w:ind w:firstLine="640"/>
        <w:jc w:val="both"/>
        <w:outlineLvl w:val="2"/>
      </w:pPr>
      <w:r>
        <w:rPr>
          <w:rFonts w:ascii="黑体" w:hAnsi="黑体" w:eastAsia="黑体"/>
          <w:sz w:val="32"/>
        </w:rPr>
        <w:t>五、一般公共预算财政拨款支出决算情况说明</w:t>
      </w:r>
    </w:p>
    <w:p w14:paraId="6314AC7D">
      <w:pPr>
        <w:spacing w:line="640" w:lineRule="exact"/>
        <w:ind w:firstLine="640"/>
        <w:jc w:val="both"/>
        <w:outlineLvl w:val="3"/>
      </w:pPr>
      <w:r>
        <w:rPr>
          <w:rFonts w:ascii="楷体_GB2312" w:hAnsi="楷体_GB2312" w:eastAsia="楷体_GB2312"/>
          <w:b/>
          <w:sz w:val="32"/>
        </w:rPr>
        <w:t>（一）一般公共预算财政拨款支出决算总体情况</w:t>
      </w:r>
    </w:p>
    <w:p w14:paraId="0A555EA4">
      <w:pPr>
        <w:spacing w:line="580" w:lineRule="exact"/>
        <w:ind w:firstLine="640"/>
        <w:jc w:val="both"/>
      </w:pPr>
      <w:r>
        <w:rPr>
          <w:rFonts w:ascii="仿宋_GB2312" w:hAnsi="仿宋_GB2312" w:eastAsia="仿宋_GB2312"/>
          <w:b/>
          <w:sz w:val="32"/>
        </w:rPr>
        <w:t>2024年度一般公共预算财政拨款支出102.04万元，</w:t>
      </w:r>
      <w:r>
        <w:rPr>
          <w:rFonts w:ascii="仿宋_GB2312" w:hAnsi="仿宋_GB2312" w:eastAsia="仿宋_GB2312"/>
          <w:b w:val="0"/>
          <w:sz w:val="32"/>
        </w:rPr>
        <w:t>占本年支出合计的98.90%。</w:t>
      </w:r>
      <w:r>
        <w:rPr>
          <w:rFonts w:ascii="仿宋_GB2312" w:hAnsi="仿宋_GB2312" w:eastAsia="仿宋_GB2312"/>
          <w:b/>
          <w:sz w:val="32"/>
        </w:rPr>
        <w:t>与上年相比，</w:t>
      </w:r>
      <w:r>
        <w:rPr>
          <w:rFonts w:ascii="仿宋_GB2312" w:hAnsi="仿宋_GB2312" w:eastAsia="仿宋_GB2312"/>
          <w:b w:val="0"/>
          <w:sz w:val="32"/>
        </w:rPr>
        <w:t>增加11.72万元，增长12.98%，主要原因是：本年在职人员增加，工资调增，社保、公积金基数调增，人员经费增加。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年初预算数95.21万元，决算数102.04万元，预决算差异率7.17%，主要原因是：年中追加农村公益电影放映项目经费，导致预决算存在差异。</w:t>
      </w:r>
    </w:p>
    <w:p w14:paraId="0DB39594">
      <w:pPr>
        <w:spacing w:line="640" w:lineRule="exact"/>
        <w:ind w:firstLine="640"/>
        <w:jc w:val="both"/>
        <w:outlineLvl w:val="3"/>
      </w:pPr>
      <w:r>
        <w:rPr>
          <w:rFonts w:ascii="楷体_GB2312" w:hAnsi="楷体_GB2312" w:eastAsia="楷体_GB2312"/>
          <w:b/>
          <w:sz w:val="32"/>
        </w:rPr>
        <w:t>（二）一般公共预算财政拨款支出决算结构情况</w:t>
      </w:r>
    </w:p>
    <w:p w14:paraId="24D62E08">
      <w:pPr>
        <w:spacing w:line="580" w:lineRule="exact"/>
        <w:ind w:firstLine="640"/>
        <w:jc w:val="both"/>
      </w:pPr>
      <w:r>
        <w:rPr>
          <w:rFonts w:ascii="仿宋_GB2312" w:hAnsi="仿宋_GB2312" w:eastAsia="仿宋_GB2312"/>
          <w:b w:val="0"/>
          <w:sz w:val="32"/>
        </w:rPr>
        <w:t>1.文化旅游体育与传媒支出(类)73.76万元,占72.29%。</w:t>
      </w:r>
    </w:p>
    <w:p w14:paraId="4DCECB32">
      <w:pPr>
        <w:spacing w:line="580" w:lineRule="exact"/>
        <w:ind w:firstLine="640"/>
        <w:jc w:val="both"/>
      </w:pPr>
      <w:r>
        <w:rPr>
          <w:rFonts w:ascii="仿宋_GB2312" w:hAnsi="仿宋_GB2312" w:eastAsia="仿宋_GB2312"/>
          <w:b w:val="0"/>
          <w:sz w:val="32"/>
        </w:rPr>
        <w:t>2.社会保障和就业支出(类)18.02万元,占17.66%。</w:t>
      </w:r>
    </w:p>
    <w:p w14:paraId="7FAB3C57">
      <w:pPr>
        <w:spacing w:line="580" w:lineRule="exact"/>
        <w:ind w:firstLine="640"/>
        <w:jc w:val="both"/>
      </w:pPr>
      <w:r>
        <w:rPr>
          <w:rFonts w:ascii="仿宋_GB2312" w:hAnsi="仿宋_GB2312" w:eastAsia="仿宋_GB2312"/>
          <w:b w:val="0"/>
          <w:sz w:val="32"/>
        </w:rPr>
        <w:t>3.卫生健康支出(类)3.54万元,占3.47%。</w:t>
      </w:r>
    </w:p>
    <w:p w14:paraId="2C6A4992">
      <w:pPr>
        <w:spacing w:line="580" w:lineRule="exact"/>
        <w:ind w:firstLine="640"/>
        <w:jc w:val="both"/>
      </w:pPr>
      <w:r>
        <w:rPr>
          <w:rFonts w:ascii="仿宋_GB2312" w:hAnsi="仿宋_GB2312" w:eastAsia="仿宋_GB2312"/>
          <w:b w:val="0"/>
          <w:sz w:val="32"/>
        </w:rPr>
        <w:t>4.住房保障支出(类)6.72万元,占6.59%。</w:t>
      </w:r>
    </w:p>
    <w:p w14:paraId="3B19FBAB">
      <w:pPr>
        <w:spacing w:line="640" w:lineRule="exact"/>
        <w:ind w:firstLine="640"/>
        <w:jc w:val="both"/>
        <w:outlineLvl w:val="3"/>
      </w:pPr>
      <w:r>
        <w:rPr>
          <w:rFonts w:ascii="楷体_GB2312" w:hAnsi="楷体_GB2312" w:eastAsia="楷体_GB2312"/>
          <w:b/>
          <w:sz w:val="32"/>
        </w:rPr>
        <w:t>（三）一般公共预算财政拨款支出决算具体情况</w:t>
      </w:r>
    </w:p>
    <w:p w14:paraId="7AA2868B">
      <w:pPr>
        <w:spacing w:line="580" w:lineRule="exact"/>
        <w:ind w:firstLine="640"/>
        <w:jc w:val="both"/>
      </w:pPr>
      <w:r>
        <w:rPr>
          <w:rFonts w:ascii="仿宋_GB2312" w:hAnsi="仿宋_GB2312" w:eastAsia="仿宋_GB2312"/>
          <w:b w:val="0"/>
          <w:sz w:val="32"/>
        </w:rPr>
        <w:t>1.文化旅游体育与传媒支出(类)新闻出版电影(款)电影(项):支出决算数为73.76万元，比上年决算增加6.84万元，增长10.22%,主要原因是：本年在职人员增加，工资调增，人员经费增加。</w:t>
      </w:r>
    </w:p>
    <w:p w14:paraId="076D9EC6">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2.社会保障和就业支出(类)行政事业单位养老支出(款)事业单位离退休(项):支出决算数为5.27万元，比上年决算增加1.47万元，增长38.68%,主要原因是：本年增加退休人员基础绩效奖，退休费支出增加。</w:t>
      </w:r>
    </w:p>
    <w:p w14:paraId="6ABAF1B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8.50万元，比上年决算增加1.16万元，增长15.80%,主要原因是：本年在职人员增加，工资调增，养老保险缴费支出增加。</w:t>
      </w:r>
    </w:p>
    <w:p w14:paraId="3D55ED8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4.社会保障和就业支出(类)行政事业单位养老支出(款)机关事业单位职业年金缴费支出(项):支出决算数为4.25万元，比上年决算增加0.67万元，增长18.72%,主要原因是：本单位</w:t>
      </w:r>
      <w:r>
        <w:rPr>
          <w:rFonts w:hint="eastAsia" w:ascii="仿宋_GB2312" w:hAnsi="仿宋_GB2312" w:eastAsia="仿宋_GB2312"/>
          <w:b w:val="0"/>
          <w:sz w:val="32"/>
          <w:lang w:val="en-US" w:eastAsia="zh-CN"/>
        </w:rPr>
        <w:t>坐实在</w:t>
      </w:r>
      <w:r>
        <w:rPr>
          <w:rFonts w:ascii="仿宋_GB2312" w:hAnsi="仿宋_GB2312" w:eastAsia="仿宋_GB2312"/>
          <w:b w:val="0"/>
          <w:sz w:val="32"/>
        </w:rPr>
        <w:t>职一人职业年金，导致职业年金缴费支出增加。</w:t>
      </w:r>
    </w:p>
    <w:p w14:paraId="60D5C153">
      <w:pPr>
        <w:spacing w:line="580" w:lineRule="exact"/>
        <w:ind w:firstLine="640"/>
        <w:jc w:val="both"/>
      </w:pPr>
      <w:r>
        <w:rPr>
          <w:rFonts w:ascii="仿宋_GB2312" w:hAnsi="仿宋_GB2312" w:eastAsia="仿宋_GB2312"/>
          <w:b w:val="0"/>
          <w:sz w:val="32"/>
        </w:rPr>
        <w:t>5.卫生健康支出(类)行政事业单位医疗(款)事业单位医疗(项):支出决算数为3.54万元，比上年决算增加0.39万元，增长12.38%,主要原因是：本年在职人员增加，工资调增，事业单位医疗缴费支出增加。</w:t>
      </w:r>
    </w:p>
    <w:p w14:paraId="4309F08E">
      <w:pPr>
        <w:spacing w:line="580" w:lineRule="exact"/>
        <w:ind w:firstLine="640"/>
        <w:jc w:val="both"/>
      </w:pPr>
      <w:r>
        <w:rPr>
          <w:rFonts w:ascii="仿宋_GB2312" w:hAnsi="仿宋_GB2312" w:eastAsia="仿宋_GB2312"/>
          <w:b w:val="0"/>
          <w:sz w:val="32"/>
        </w:rPr>
        <w:t>6.住房保障支出(类)住房改革支出(款)住房公积金(项):支出决算数为6.72万元，比上年决算增加1.19万元，增长21.52%,主要原因是：本年在职人员增加，工资调增，住房公积金缴费支出增加。</w:t>
      </w:r>
    </w:p>
    <w:p w14:paraId="1F602F2B">
      <w:pPr>
        <w:spacing w:line="640" w:lineRule="exact"/>
        <w:ind w:firstLine="640"/>
        <w:jc w:val="both"/>
        <w:outlineLvl w:val="2"/>
      </w:pPr>
      <w:r>
        <w:rPr>
          <w:rFonts w:ascii="黑体" w:hAnsi="黑体" w:eastAsia="黑体"/>
          <w:sz w:val="32"/>
        </w:rPr>
        <w:t>六、一般公共预算财政拨款基本支出决算情况说明</w:t>
      </w:r>
    </w:p>
    <w:p w14:paraId="342DE2F7">
      <w:pPr>
        <w:spacing w:line="580" w:lineRule="exact"/>
        <w:ind w:firstLine="640"/>
        <w:jc w:val="both"/>
      </w:pPr>
      <w:r>
        <w:rPr>
          <w:rFonts w:ascii="仿宋_GB2312" w:hAnsi="仿宋_GB2312" w:eastAsia="仿宋_GB2312"/>
          <w:b w:val="0"/>
          <w:sz w:val="32"/>
        </w:rPr>
        <w:t>2024年度一般公共预算财政拨款基本支出92.67万元，其中：</w:t>
      </w:r>
      <w:r>
        <w:rPr>
          <w:rFonts w:ascii="仿宋_GB2312" w:hAnsi="仿宋_GB2312" w:eastAsia="仿宋_GB2312"/>
          <w:b/>
          <w:sz w:val="32"/>
        </w:rPr>
        <w:t>人员经费91.84万元，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包括：基本工资、津贴补贴、奖金、绩效工资、机关事业单位基本养老保险缴费、职业年金缴费、职工基本医疗保险缴费、其他社会保障缴费、住房公积金、退休费、生活补助、医疗费补助、奖励金。</w:t>
      </w:r>
    </w:p>
    <w:p w14:paraId="639A30E2">
      <w:pPr>
        <w:spacing w:line="580" w:lineRule="exact"/>
        <w:ind w:firstLine="640"/>
        <w:jc w:val="both"/>
      </w:pPr>
      <w:r>
        <w:rPr>
          <w:rFonts w:ascii="仿宋_GB2312" w:hAnsi="仿宋_GB2312" w:eastAsia="仿宋_GB2312"/>
          <w:b/>
          <w:sz w:val="32"/>
        </w:rPr>
        <w:t>公用经费0.82万元，</w:t>
      </w:r>
      <w:r>
        <w:rPr>
          <w:rFonts w:ascii="仿宋_GB2312" w:hAnsi="仿宋_GB2312" w:eastAsia="仿宋_GB2312"/>
          <w:b w:val="0"/>
          <w:sz w:val="32"/>
        </w:rPr>
        <w:t>包括：工会经费、福利费。</w:t>
      </w:r>
    </w:p>
    <w:p w14:paraId="655C64D4">
      <w:pPr>
        <w:spacing w:line="640" w:lineRule="exact"/>
        <w:ind w:firstLine="640"/>
        <w:jc w:val="both"/>
        <w:outlineLvl w:val="2"/>
      </w:pPr>
      <w:r>
        <w:rPr>
          <w:rFonts w:ascii="黑体" w:hAnsi="黑体" w:eastAsia="黑体"/>
          <w:sz w:val="32"/>
        </w:rPr>
        <w:t>七、政府性基金预算财政拨款收入支出决算情况说明</w:t>
      </w:r>
    </w:p>
    <w:p w14:paraId="1DD4083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CAE6C3">
      <w:pPr>
        <w:spacing w:line="640" w:lineRule="exact"/>
        <w:ind w:firstLine="640"/>
        <w:jc w:val="both"/>
        <w:outlineLvl w:val="2"/>
      </w:pPr>
      <w:r>
        <w:rPr>
          <w:rFonts w:ascii="黑体" w:hAnsi="黑体" w:eastAsia="黑体"/>
          <w:sz w:val="32"/>
        </w:rPr>
        <w:t>八、国有资本经营预算财政拨款收入支出决算情况说明</w:t>
      </w:r>
    </w:p>
    <w:p w14:paraId="45FC792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12D1D0">
      <w:pPr>
        <w:spacing w:line="640" w:lineRule="exact"/>
        <w:ind w:firstLine="640"/>
        <w:jc w:val="both"/>
        <w:outlineLvl w:val="2"/>
      </w:pPr>
      <w:r>
        <w:rPr>
          <w:rFonts w:ascii="黑体" w:hAnsi="黑体" w:eastAsia="黑体"/>
          <w:sz w:val="32"/>
        </w:rPr>
        <w:t>九、财政拨款“三公”经费支出决算情况说明</w:t>
      </w:r>
    </w:p>
    <w:p w14:paraId="75A4B8A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C1A1637">
      <w:pPr>
        <w:spacing w:line="580" w:lineRule="exact"/>
        <w:ind w:firstLine="640"/>
        <w:jc w:val="both"/>
      </w:pPr>
      <w:r>
        <w:rPr>
          <w:rFonts w:ascii="仿宋_GB2312" w:hAnsi="仿宋_GB2312" w:eastAsia="仿宋_GB2312"/>
          <w:b/>
          <w:sz w:val="32"/>
        </w:rPr>
        <w:t>具体情况如下：</w:t>
      </w:r>
    </w:p>
    <w:p w14:paraId="1BAF01C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FC547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电影放映车，预算未安排公务用车运行维护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由业务经费保障</w:t>
      </w:r>
      <w:r>
        <w:rPr>
          <w:rFonts w:ascii="仿宋_GB2312" w:hAnsi="仿宋_GB2312" w:eastAsia="仿宋_GB2312"/>
          <w:b w:val="0"/>
          <w:sz w:val="32"/>
        </w:rPr>
        <w:t>。</w:t>
      </w:r>
    </w:p>
    <w:p w14:paraId="56F614C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84ECF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3FC925F">
      <w:pPr>
        <w:spacing w:line="640" w:lineRule="exact"/>
        <w:ind w:firstLine="640"/>
        <w:jc w:val="both"/>
        <w:outlineLvl w:val="2"/>
      </w:pPr>
      <w:r>
        <w:rPr>
          <w:rFonts w:ascii="黑体" w:hAnsi="黑体" w:eastAsia="黑体"/>
          <w:sz w:val="32"/>
        </w:rPr>
        <w:t>十、其他重要事项的情况说明</w:t>
      </w:r>
    </w:p>
    <w:p w14:paraId="470D253D">
      <w:pPr>
        <w:spacing w:line="640" w:lineRule="exact"/>
        <w:ind w:firstLine="640"/>
        <w:jc w:val="both"/>
        <w:outlineLvl w:val="3"/>
      </w:pPr>
      <w:r>
        <w:rPr>
          <w:rFonts w:ascii="楷体_GB2312" w:hAnsi="楷体_GB2312" w:eastAsia="楷体_GB2312"/>
          <w:b/>
          <w:sz w:val="32"/>
        </w:rPr>
        <w:t>（一）机关运行经费及公用经费支出情况</w:t>
      </w:r>
    </w:p>
    <w:p w14:paraId="10AFFB31">
      <w:pPr>
        <w:spacing w:line="580" w:lineRule="exact"/>
        <w:ind w:firstLine="640"/>
        <w:jc w:val="both"/>
      </w:pPr>
      <w:r>
        <w:rPr>
          <w:rFonts w:ascii="仿宋_GB2312" w:hAnsi="仿宋_GB2312" w:eastAsia="仿宋_GB2312"/>
          <w:b w:val="0"/>
          <w:sz w:val="32"/>
        </w:rPr>
        <w:t>2024年度裕民县影剧院（事业单位）公用经费支出0.82万元，比上年减少0.16万元，下降16.33%，主要原因是：严控经费支出，厉行节约，减少经费支出。</w:t>
      </w:r>
    </w:p>
    <w:p w14:paraId="03190EDC">
      <w:pPr>
        <w:spacing w:line="640" w:lineRule="exact"/>
        <w:ind w:firstLine="640"/>
        <w:jc w:val="both"/>
        <w:outlineLvl w:val="3"/>
      </w:pPr>
      <w:r>
        <w:rPr>
          <w:rFonts w:ascii="楷体_GB2312" w:hAnsi="楷体_GB2312" w:eastAsia="楷体_GB2312"/>
          <w:b/>
          <w:sz w:val="32"/>
        </w:rPr>
        <w:t>（二）政府采购情况</w:t>
      </w:r>
    </w:p>
    <w:p w14:paraId="503B5370">
      <w:pPr>
        <w:spacing w:line="580" w:lineRule="exact"/>
        <w:ind w:firstLine="640"/>
        <w:jc w:val="both"/>
      </w:pPr>
      <w:r>
        <w:rPr>
          <w:rFonts w:ascii="仿宋_GB2312" w:hAnsi="仿宋_GB2312" w:eastAsia="仿宋_GB2312"/>
          <w:b w:val="0"/>
          <w:sz w:val="32"/>
        </w:rPr>
        <w:t>2024年度政府采购支出总额0.79万元，其中：政府采购货物支出0.00万元、政府采购工程支出0.00万元、政府采购服务支出0.79万元。</w:t>
      </w:r>
    </w:p>
    <w:p w14:paraId="4ED71D2A">
      <w:pPr>
        <w:spacing w:line="580" w:lineRule="exact"/>
        <w:ind w:firstLine="640"/>
        <w:jc w:val="both"/>
      </w:pPr>
      <w:r>
        <w:rPr>
          <w:rFonts w:ascii="仿宋_GB2312" w:hAnsi="仿宋_GB2312" w:eastAsia="仿宋_GB2312"/>
          <w:b w:val="0"/>
          <w:sz w:val="32"/>
        </w:rPr>
        <w:t>授予中小企业合同金额0.79万元，占政府采购支出总额的100.00%，其中：授予小微企业合同金额0.79万元，占政府采购支出总额的100.00%。</w:t>
      </w:r>
    </w:p>
    <w:p w14:paraId="3DDC4DED">
      <w:pPr>
        <w:spacing w:line="640" w:lineRule="exact"/>
        <w:ind w:firstLine="640"/>
        <w:jc w:val="both"/>
        <w:outlineLvl w:val="3"/>
      </w:pPr>
      <w:r>
        <w:rPr>
          <w:rFonts w:ascii="楷体_GB2312" w:hAnsi="楷体_GB2312" w:eastAsia="楷体_GB2312"/>
          <w:b/>
          <w:sz w:val="32"/>
        </w:rPr>
        <w:t>（三）国有资产占用情况说明</w:t>
      </w:r>
    </w:p>
    <w:p w14:paraId="1EAA6A82">
      <w:pPr>
        <w:spacing w:line="580" w:lineRule="exact"/>
        <w:ind w:firstLine="640"/>
        <w:jc w:val="both"/>
      </w:pPr>
      <w:r>
        <w:rPr>
          <w:rFonts w:ascii="仿宋_GB2312" w:hAnsi="仿宋_GB2312" w:eastAsia="仿宋_GB2312"/>
          <w:b w:val="0"/>
          <w:sz w:val="32"/>
        </w:rPr>
        <w:t>截至2024年12月31日，房屋0.00平方米，价值0.00万元。车辆1辆，价值5.88万元，其中：副部（省）级及以上领导用车0辆、主要负责人用车0辆、机要通信用车0辆、应急保障用车0辆、执法执勤用车0辆、特种专业技术用车0辆、离退休干部服务用车0辆、其他用车1辆，其他用车主要是：电影放映业务用车。单价100万元（含）以上设备（不含车辆）0台（套）。</w:t>
      </w:r>
    </w:p>
    <w:p w14:paraId="601C21CE">
      <w:pPr>
        <w:spacing w:line="640" w:lineRule="exact"/>
        <w:ind w:firstLine="640"/>
        <w:jc w:val="both"/>
        <w:outlineLvl w:val="2"/>
      </w:pPr>
      <w:r>
        <w:rPr>
          <w:rFonts w:ascii="黑体" w:hAnsi="黑体" w:eastAsia="黑体"/>
          <w:sz w:val="32"/>
        </w:rPr>
        <w:t>十一、预算绩效的情况说明</w:t>
      </w:r>
    </w:p>
    <w:p w14:paraId="0A8681E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103.17万元，实际执行总额103.17万元；预算绩效评价项目1个，全年预算数10.50万元，全年执行数10.50万元。预算绩效管理取得的成效：一是坚持依法依规编制绩效目标表，进一步强化合法合规性审核，做到账实相符、账表一致，确保收支真实、数额准确、内容完整。依法开展项目绩效管理工作，逐步发挥相关数据在项目支出定额标准体系建设中的参考作用；二是强化项目绩效报告功能，全面展现项目建设成效和管理绩效，揭示财政财务管理中存在的突出问题和薄弱环节，为改进财政财务管理、完善政府治理提供依据。发现的问题及原因：一是放映工作专职人员匮乏，业务技能水平</w:t>
      </w:r>
      <w:r>
        <w:rPr>
          <w:rFonts w:hint="eastAsia" w:ascii="仿宋_GB2312" w:hAnsi="仿宋_GB2312" w:eastAsia="仿宋_GB2312"/>
          <w:b w:val="0"/>
          <w:sz w:val="32"/>
          <w:lang w:eastAsia="zh-CN"/>
        </w:rPr>
        <w:t>有待</w:t>
      </w:r>
      <w:r>
        <w:rPr>
          <w:rFonts w:ascii="仿宋_GB2312" w:hAnsi="仿宋_GB2312" w:eastAsia="仿宋_GB2312"/>
          <w:b w:val="0"/>
          <w:sz w:val="32"/>
        </w:rPr>
        <w:t>提高。宣传意识不强，宣传力度有待加强；二是人员经费预算准确率不够精准，原因是人员变动、调资等客观因素。下一步改进措施：一是加大培训力度，加强放映人员管理，以及专业知识培训。加强宣传，多形式多渠道进行宣传；二是加强学习，强化绩效管理的理念；突出资金监管重点，规范预算管理、加强学习，强化绩效管理的理念。具体附整体支出绩效自评表，项目支出绩效自评表和评价报告。</w:t>
      </w:r>
    </w:p>
    <w:p w14:paraId="65D33D74">
      <w:r>
        <w:br w:type="page"/>
      </w:r>
    </w:p>
    <w:tbl>
      <w:tblPr>
        <w:tblStyle w:val="9"/>
        <w:tblW w:w="0" w:type="auto"/>
        <w:tblInd w:w="0" w:type="dxa"/>
        <w:tblLayout w:type="autofit"/>
        <w:tblCellMar>
          <w:top w:w="0" w:type="dxa"/>
          <w:left w:w="108" w:type="dxa"/>
          <w:bottom w:w="0" w:type="dxa"/>
          <w:right w:w="108" w:type="dxa"/>
        </w:tblCellMar>
      </w:tblPr>
      <w:tblGrid>
        <w:gridCol w:w="1105"/>
        <w:gridCol w:w="1001"/>
        <w:gridCol w:w="104"/>
        <w:gridCol w:w="1105"/>
        <w:gridCol w:w="351"/>
        <w:gridCol w:w="754"/>
        <w:gridCol w:w="410"/>
        <w:gridCol w:w="264"/>
        <w:gridCol w:w="431"/>
        <w:gridCol w:w="709"/>
        <w:gridCol w:w="396"/>
        <w:gridCol w:w="444"/>
        <w:gridCol w:w="661"/>
        <w:gridCol w:w="395"/>
        <w:gridCol w:w="710"/>
      </w:tblGrid>
      <w:tr w14:paraId="09408EF4">
        <w:tblPrEx>
          <w:tblCellMar>
            <w:top w:w="0" w:type="dxa"/>
            <w:left w:w="108" w:type="dxa"/>
            <w:bottom w:w="0" w:type="dxa"/>
            <w:right w:w="108" w:type="dxa"/>
          </w:tblCellMar>
        </w:tblPrEx>
        <w:tc>
          <w:tcPr>
            <w:tcW w:w="8840" w:type="dxa"/>
            <w:gridSpan w:val="15"/>
            <w:vAlign w:val="center"/>
          </w:tcPr>
          <w:p w14:paraId="5797C905">
            <w:pPr>
              <w:jc w:val="center"/>
            </w:pPr>
            <w:r>
              <w:rPr>
                <w:rFonts w:ascii="宋体" w:hAnsi="宋体" w:eastAsia="宋体"/>
                <w:sz w:val="24"/>
              </w:rPr>
              <w:t>单位整体支出绩效自评表</w:t>
            </w:r>
          </w:p>
        </w:tc>
      </w:tr>
      <w:tr w14:paraId="04052D54">
        <w:tblPrEx>
          <w:tblCellMar>
            <w:top w:w="0" w:type="dxa"/>
            <w:left w:w="108" w:type="dxa"/>
            <w:bottom w:w="0" w:type="dxa"/>
            <w:right w:w="108" w:type="dxa"/>
          </w:tblCellMar>
        </w:tblPrEx>
        <w:tc>
          <w:tcPr>
            <w:tcW w:w="8840" w:type="dxa"/>
            <w:gridSpan w:val="15"/>
            <w:vAlign w:val="center"/>
          </w:tcPr>
          <w:p w14:paraId="372B88F8">
            <w:pPr>
              <w:jc w:val="center"/>
            </w:pPr>
            <w:r>
              <w:rPr>
                <w:rFonts w:ascii="宋体" w:hAnsi="宋体" w:eastAsia="宋体"/>
                <w:sz w:val="24"/>
              </w:rPr>
              <w:t>（2024年度）</w:t>
            </w:r>
          </w:p>
        </w:tc>
      </w:tr>
      <w:tr w14:paraId="3A2BC60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13EB7">
            <w:pPr>
              <w:jc w:val="center"/>
            </w:pPr>
            <w:r>
              <w:rPr>
                <w:rFonts w:ascii="宋体" w:hAnsi="宋体" w:eastAsia="宋体"/>
                <w:sz w:val="16"/>
              </w:rPr>
              <w:t>单位名称</w:t>
            </w:r>
          </w:p>
        </w:tc>
        <w:tc>
          <w:tcPr>
            <w:tcW w:w="77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62935E">
            <w:pPr>
              <w:jc w:val="center"/>
            </w:pPr>
            <w:r>
              <w:rPr>
                <w:rFonts w:ascii="宋体" w:hAnsi="宋体" w:eastAsia="宋体"/>
                <w:sz w:val="16"/>
              </w:rPr>
              <w:t>裕民县影剧院</w:t>
            </w:r>
          </w:p>
        </w:tc>
      </w:tr>
      <w:tr w14:paraId="6422B3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6DABB">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1E7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5C2BE">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B44CE">
            <w:pPr>
              <w:jc w:val="center"/>
            </w:pPr>
            <w:r>
              <w:rPr>
                <w:rFonts w:ascii="宋体" w:hAnsi="宋体" w:eastAsia="宋体"/>
                <w:sz w:val="16"/>
              </w:rPr>
              <w:t>全年预算数</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F50593">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42411">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975E">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ABF6">
            <w:pPr>
              <w:jc w:val="center"/>
            </w:pPr>
            <w:r>
              <w:rPr>
                <w:rFonts w:ascii="宋体" w:hAnsi="宋体" w:eastAsia="宋体"/>
                <w:sz w:val="16"/>
              </w:rPr>
              <w:t>得分</w:t>
            </w:r>
          </w:p>
        </w:tc>
      </w:tr>
      <w:tr w14:paraId="77F06E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C25BB"/>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231F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65863">
            <w:pPr>
              <w:jc w:val="center"/>
            </w:pPr>
            <w:r>
              <w:rPr>
                <w:rFonts w:ascii="宋体" w:hAnsi="宋体" w:eastAsia="宋体"/>
                <w:sz w:val="16"/>
              </w:rPr>
              <w:t>95.22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CCAFD">
            <w:pPr>
              <w:jc w:val="center"/>
            </w:pPr>
            <w:r>
              <w:rPr>
                <w:rFonts w:ascii="宋体" w:hAnsi="宋体" w:eastAsia="宋体"/>
                <w:sz w:val="16"/>
              </w:rPr>
              <w:t>103.17</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646A3F">
            <w:pPr>
              <w:jc w:val="center"/>
            </w:pPr>
            <w:r>
              <w:rPr>
                <w:rFonts w:ascii="宋体" w:hAnsi="宋体" w:eastAsia="宋体"/>
                <w:sz w:val="16"/>
              </w:rPr>
              <w:t>103.17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D250">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800CF">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F3A8E">
            <w:pPr>
              <w:jc w:val="center"/>
            </w:pPr>
            <w:r>
              <w:rPr>
                <w:rFonts w:ascii="宋体" w:hAnsi="宋体" w:eastAsia="宋体"/>
                <w:sz w:val="16"/>
              </w:rPr>
              <w:t>10</w:t>
            </w:r>
          </w:p>
        </w:tc>
      </w:tr>
      <w:tr w14:paraId="15AEF8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AEAD9"/>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4D0D">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17D11">
            <w:pPr>
              <w:jc w:val="center"/>
            </w:pPr>
            <w:r>
              <w:rPr>
                <w:rFonts w:ascii="宋体" w:hAnsi="宋体" w:eastAsia="宋体"/>
                <w:sz w:val="16"/>
              </w:rPr>
              <w:t>12.22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7BA2B">
            <w:pPr>
              <w:jc w:val="center"/>
            </w:pPr>
            <w:r>
              <w:rPr>
                <w:rFonts w:ascii="宋体" w:hAnsi="宋体" w:eastAsia="宋体"/>
                <w:sz w:val="16"/>
              </w:rPr>
              <w:t>10.50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01660">
            <w:pPr>
              <w:jc w:val="center"/>
            </w:pPr>
            <w:r>
              <w:rPr>
                <w:rFonts w:ascii="宋体" w:hAnsi="宋体" w:eastAsia="宋体"/>
                <w:sz w:val="16"/>
              </w:rPr>
              <w:t>10.50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FA523">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511F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8B1B9">
            <w:pPr>
              <w:jc w:val="center"/>
            </w:pPr>
            <w:r>
              <w:rPr>
                <w:rFonts w:ascii="宋体" w:hAnsi="宋体" w:eastAsia="宋体"/>
                <w:sz w:val="16"/>
              </w:rPr>
              <w:t>-</w:t>
            </w:r>
          </w:p>
        </w:tc>
      </w:tr>
      <w:tr w14:paraId="525595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E6415"/>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E62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0568D">
            <w:pPr>
              <w:jc w:val="center"/>
            </w:pPr>
            <w:r>
              <w:rPr>
                <w:rFonts w:ascii="宋体" w:hAnsi="宋体" w:eastAsia="宋体"/>
                <w:sz w:val="16"/>
              </w:rPr>
              <w:t>83.00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E5D9C">
            <w:pPr>
              <w:jc w:val="center"/>
            </w:pPr>
            <w:r>
              <w:rPr>
                <w:rFonts w:ascii="宋体" w:hAnsi="宋体" w:eastAsia="宋体"/>
                <w:sz w:val="16"/>
              </w:rPr>
              <w:t>92.67</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1374E1">
            <w:pPr>
              <w:jc w:val="center"/>
            </w:pPr>
            <w:r>
              <w:rPr>
                <w:rFonts w:ascii="宋体" w:hAnsi="宋体" w:eastAsia="宋体"/>
                <w:sz w:val="16"/>
              </w:rPr>
              <w:t>92.67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241F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4288">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F3549">
            <w:pPr>
              <w:jc w:val="center"/>
            </w:pPr>
            <w:r>
              <w:rPr>
                <w:rFonts w:ascii="宋体" w:hAnsi="宋体" w:eastAsia="宋体"/>
                <w:sz w:val="16"/>
              </w:rPr>
              <w:t>-</w:t>
            </w:r>
          </w:p>
        </w:tc>
      </w:tr>
      <w:tr w14:paraId="0D9B68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D787CA"/>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DB1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90C47">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8E467">
            <w:pPr>
              <w:jc w:val="center"/>
            </w:pPr>
            <w:r>
              <w:rPr>
                <w:rFonts w:ascii="宋体" w:hAnsi="宋体" w:eastAsia="宋体"/>
                <w:sz w:val="16"/>
              </w:rPr>
              <w:t>0.00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28C2DD">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shd w:val="clear"/>
            <w:vAlign w:val="center"/>
          </w:tcPr>
          <w:p w14:paraId="30410BE7">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83A1F4A">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7454BA6">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0F09C4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3BC1B">
            <w:pPr>
              <w:jc w:val="center"/>
            </w:pPr>
            <w:r>
              <w:rPr>
                <w:rFonts w:ascii="宋体" w:hAnsi="宋体" w:eastAsia="宋体"/>
                <w:sz w:val="16"/>
              </w:rPr>
              <w:t>年度总体目标</w:t>
            </w:r>
          </w:p>
        </w:tc>
        <w:tc>
          <w:tcPr>
            <w:tcW w:w="398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CE43C">
            <w:pPr>
              <w:jc w:val="center"/>
            </w:pPr>
            <w:r>
              <w:rPr>
                <w:rFonts w:ascii="宋体" w:hAnsi="宋体" w:eastAsia="宋体"/>
                <w:sz w:val="16"/>
              </w:rPr>
              <w:t>预期目标</w:t>
            </w:r>
          </w:p>
        </w:tc>
        <w:tc>
          <w:tcPr>
            <w:tcW w:w="37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0CFB8">
            <w:pPr>
              <w:jc w:val="center"/>
            </w:pPr>
            <w:r>
              <w:rPr>
                <w:rFonts w:ascii="宋体" w:hAnsi="宋体" w:eastAsia="宋体"/>
                <w:sz w:val="16"/>
              </w:rPr>
              <w:t>实际完成情况</w:t>
            </w:r>
          </w:p>
        </w:tc>
      </w:tr>
      <w:tr w14:paraId="4C1881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EF1F86"/>
        </w:tc>
        <w:tc>
          <w:tcPr>
            <w:tcW w:w="398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68084">
            <w:pPr>
              <w:jc w:val="both"/>
            </w:pPr>
            <w:r>
              <w:rPr>
                <w:rFonts w:ascii="宋体" w:hAnsi="宋体" w:eastAsia="宋体"/>
                <w:sz w:val="16"/>
              </w:rPr>
              <w:t>2024年裕民县影剧院主要工作任务是全面贯彻落实自治区党委决策部署，</w:t>
            </w:r>
            <w:r>
              <w:rPr>
                <w:rFonts w:hint="eastAsia" w:ascii="宋体" w:hAnsi="宋体"/>
                <w:sz w:val="16"/>
                <w:lang w:eastAsia="zh-CN"/>
              </w:rPr>
              <w:t>围绕中心、服务大局</w:t>
            </w:r>
            <w:r>
              <w:rPr>
                <w:rFonts w:ascii="宋体" w:hAnsi="宋体" w:eastAsia="宋体"/>
                <w:sz w:val="16"/>
              </w:rPr>
              <w:t>、推进广播影视事业健康发展；每年39</w:t>
            </w:r>
            <w:r>
              <w:rPr>
                <w:rFonts w:hint="eastAsia" w:ascii="宋体" w:hAnsi="宋体"/>
                <w:sz w:val="16"/>
                <w:lang w:val="en-US" w:eastAsia="zh-CN"/>
              </w:rPr>
              <w:t>个</w:t>
            </w:r>
            <w:r>
              <w:rPr>
                <w:rFonts w:ascii="宋体" w:hAnsi="宋体" w:eastAsia="宋体"/>
                <w:sz w:val="16"/>
              </w:rPr>
              <w:t>行政村放映公益电影468场，学校40场。</w:t>
            </w:r>
            <w:r>
              <w:rPr>
                <w:rFonts w:hint="eastAsia" w:ascii="宋体" w:hAnsi="宋体"/>
                <w:sz w:val="16"/>
                <w:lang w:eastAsia="zh-CN"/>
              </w:rPr>
              <w:t>培育和践行社会主义核心价值观</w:t>
            </w:r>
            <w:r>
              <w:rPr>
                <w:rFonts w:ascii="宋体" w:hAnsi="宋体" w:eastAsia="宋体"/>
                <w:sz w:val="16"/>
              </w:rPr>
              <w:t>，引导各族学员干部群众不断增强“五个认同”铸牢中华民族共同体意识，实现了以项目优化支出结构，增加精神文化投入，改善放映条件的目标。并成为党和政府与农民群众联系沟通的桥梁，为全县新农村建设和农村精神文明建设作出了积极的贡献。以及承办县委、县政府、县委组织部交办的其他事项。</w:t>
            </w:r>
          </w:p>
        </w:tc>
        <w:tc>
          <w:tcPr>
            <w:tcW w:w="37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D0649">
            <w:pPr>
              <w:jc w:val="both"/>
            </w:pPr>
            <w:r>
              <w:rPr>
                <w:rFonts w:ascii="宋体" w:hAnsi="宋体" w:eastAsia="宋体"/>
                <w:sz w:val="16"/>
              </w:rPr>
              <w:t>2024年裕民县影剧院主要工作任务是全面贯彻落实自治区党委决策部署，</w:t>
            </w:r>
            <w:r>
              <w:rPr>
                <w:rFonts w:hint="eastAsia" w:ascii="宋体" w:hAnsi="宋体"/>
                <w:sz w:val="16"/>
                <w:lang w:eastAsia="zh-CN"/>
              </w:rPr>
              <w:t>围绕中心、服务大局</w:t>
            </w:r>
            <w:r>
              <w:rPr>
                <w:rFonts w:ascii="宋体" w:hAnsi="宋体" w:eastAsia="宋体"/>
                <w:sz w:val="16"/>
              </w:rPr>
              <w:t>、推进广播影视事业健康发展；每年39</w:t>
            </w:r>
            <w:r>
              <w:rPr>
                <w:rFonts w:hint="eastAsia" w:ascii="宋体" w:hAnsi="宋体"/>
                <w:sz w:val="16"/>
                <w:lang w:val="en-US" w:eastAsia="zh-CN"/>
              </w:rPr>
              <w:t>个</w:t>
            </w:r>
            <w:r>
              <w:rPr>
                <w:rFonts w:ascii="宋体" w:hAnsi="宋体" w:eastAsia="宋体"/>
                <w:sz w:val="16"/>
              </w:rPr>
              <w:t>行政村放映公益电影468场，学校40场。</w:t>
            </w:r>
            <w:r>
              <w:rPr>
                <w:rFonts w:hint="eastAsia" w:ascii="宋体" w:hAnsi="宋体"/>
                <w:sz w:val="16"/>
                <w:lang w:eastAsia="zh-CN"/>
              </w:rPr>
              <w:t>培育和践行社会主义核心价值观</w:t>
            </w:r>
            <w:r>
              <w:rPr>
                <w:rFonts w:ascii="宋体" w:hAnsi="宋体" w:eastAsia="宋体"/>
                <w:sz w:val="16"/>
              </w:rPr>
              <w:t>，引导各族学员干部群众不断增强“五个认同”铸牢中华民族共同体意识，实现了以项目优化支出结构，增加精神文化投入，改善放映条件的目标。并成为党和政府与农民群众联系沟通的桥梁，为全县新农村建设和农村精神文明建设作出了积极的贡献。以及承办县委、县政府、县委组织部交办的其他事项。</w:t>
            </w:r>
          </w:p>
        </w:tc>
      </w:tr>
      <w:tr w14:paraId="026F18B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00585">
            <w:pPr>
              <w:jc w:val="center"/>
            </w:pPr>
            <w:r>
              <w:rPr>
                <w:rFonts w:ascii="宋体" w:hAnsi="宋体" w:eastAsia="宋体"/>
                <w:sz w:val="16"/>
              </w:rPr>
              <w:t>一级指标</w:t>
            </w:r>
          </w:p>
        </w:tc>
        <w:tc>
          <w:tcPr>
            <w:tcW w:w="1001" w:type="dxa"/>
            <w:tcBorders>
              <w:top w:val="single" w:color="auto" w:sz="10" w:space="0"/>
              <w:left w:val="single" w:color="auto" w:sz="10" w:space="0"/>
              <w:bottom w:val="single" w:color="auto" w:sz="10" w:space="0"/>
              <w:right w:val="single" w:color="auto" w:sz="10" w:space="0"/>
              <w:insideV w:val="single" w:sz="10" w:space="0"/>
            </w:tcBorders>
            <w:vAlign w:val="center"/>
          </w:tcPr>
          <w:p w14:paraId="77886776">
            <w:pPr>
              <w:jc w:val="center"/>
            </w:pPr>
            <w:r>
              <w:rPr>
                <w:rFonts w:ascii="宋体" w:hAnsi="宋体" w:eastAsia="宋体"/>
                <w:sz w:val="16"/>
              </w:rPr>
              <w:t>二级指标</w:t>
            </w:r>
          </w:p>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F15241">
            <w:pPr>
              <w:jc w:val="center"/>
            </w:pPr>
            <w:r>
              <w:rPr>
                <w:rFonts w:ascii="宋体" w:hAnsi="宋体" w:eastAsia="宋体"/>
                <w:sz w:val="16"/>
              </w:rPr>
              <w:t>三级指标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AC2D9">
            <w:pPr>
              <w:jc w:val="center"/>
            </w:pPr>
            <w:r>
              <w:rPr>
                <w:rFonts w:ascii="宋体" w:hAnsi="宋体" w:eastAsia="宋体"/>
                <w:sz w:val="16"/>
              </w:rPr>
              <w:t>预期指标值</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F3B5B6">
            <w:pPr>
              <w:jc w:val="center"/>
            </w:pPr>
            <w:r>
              <w:rPr>
                <w:rFonts w:ascii="宋体" w:hAnsi="宋体" w:eastAsia="宋体"/>
                <w:sz w:val="16"/>
              </w:rPr>
              <w:t>指标值设定依据</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2FBE2">
            <w:pPr>
              <w:jc w:val="center"/>
            </w:pPr>
            <w:r>
              <w:rPr>
                <w:rFonts w:ascii="宋体" w:hAnsi="宋体" w:eastAsia="宋体"/>
                <w:sz w:val="16"/>
              </w:rPr>
              <w:t>分值权重</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6993B">
            <w:pPr>
              <w:jc w:val="center"/>
            </w:pPr>
            <w:r>
              <w:rPr>
                <w:rFonts w:ascii="宋体" w:hAnsi="宋体" w:eastAsia="宋体"/>
                <w:sz w:val="16"/>
              </w:rPr>
              <w:t>实际完成指标值</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0361F148">
            <w:pPr>
              <w:jc w:val="center"/>
            </w:pPr>
            <w:r>
              <w:rPr>
                <w:rFonts w:ascii="宋体" w:hAnsi="宋体" w:eastAsia="宋体"/>
                <w:sz w:val="16"/>
              </w:rPr>
              <w:t>得分</w:t>
            </w:r>
          </w:p>
        </w:tc>
      </w:tr>
      <w:tr w14:paraId="1D7DE6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B0320">
            <w:pPr>
              <w:jc w:val="center"/>
            </w:pPr>
            <w:r>
              <w:rPr>
                <w:rFonts w:ascii="宋体" w:hAnsi="宋体" w:eastAsia="宋体"/>
                <w:sz w:val="16"/>
              </w:rPr>
              <w:t>履职效能</w:t>
            </w:r>
          </w:p>
        </w:tc>
        <w:tc>
          <w:tcPr>
            <w:tcW w:w="10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24D0E">
            <w:pPr>
              <w:jc w:val="center"/>
            </w:pPr>
            <w:r>
              <w:rPr>
                <w:rFonts w:ascii="宋体" w:hAnsi="宋体" w:eastAsia="宋体"/>
                <w:sz w:val="16"/>
              </w:rPr>
              <w:t>数量指标</w:t>
            </w:r>
          </w:p>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35E191">
            <w:pPr>
              <w:jc w:val="center"/>
            </w:pPr>
            <w:r>
              <w:rPr>
                <w:rFonts w:ascii="宋体" w:hAnsi="宋体" w:eastAsia="宋体"/>
                <w:sz w:val="16"/>
              </w:rPr>
              <w:t>在职在编人数</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907EE">
            <w:pPr>
              <w:jc w:val="center"/>
            </w:pPr>
            <w:r>
              <w:rPr>
                <w:rFonts w:ascii="宋体" w:hAnsi="宋体" w:eastAsia="宋体"/>
                <w:sz w:val="16"/>
              </w:rPr>
              <w:t>&gt;=</w:t>
            </w:r>
            <w:r>
              <w:rPr>
                <w:rFonts w:hint="eastAsia" w:ascii="宋体" w:hAnsi="宋体"/>
                <w:sz w:val="16"/>
                <w:lang w:val="en-US" w:eastAsia="zh-CN"/>
              </w:rPr>
              <w:t>6</w:t>
            </w:r>
            <w:r>
              <w:rPr>
                <w:rFonts w:ascii="宋体" w:hAnsi="宋体" w:eastAsia="宋体"/>
                <w:sz w:val="16"/>
              </w:rPr>
              <w:t>人</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A4EF50">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B481">
            <w:pPr>
              <w:jc w:val="center"/>
            </w:pPr>
            <w:r>
              <w:rPr>
                <w:rFonts w:ascii="宋体" w:hAnsi="宋体" w:eastAsia="宋体"/>
                <w:sz w:val="16"/>
              </w:rPr>
              <w:t>12</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82684">
            <w:pPr>
              <w:jc w:val="center"/>
            </w:pPr>
            <w:r>
              <w:rPr>
                <w:rFonts w:hint="eastAsia" w:ascii="宋体" w:hAnsi="宋体"/>
                <w:sz w:val="16"/>
                <w:lang w:val="en-US" w:eastAsia="zh-CN"/>
              </w:rPr>
              <w:t>6</w:t>
            </w:r>
            <w:r>
              <w:rPr>
                <w:rFonts w:ascii="宋体" w:hAnsi="宋体" w:eastAsia="宋体"/>
                <w:sz w:val="16"/>
              </w:rPr>
              <w:t>人</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28AC3435">
            <w:pPr>
              <w:jc w:val="center"/>
            </w:pPr>
            <w:r>
              <w:rPr>
                <w:rFonts w:ascii="宋体" w:hAnsi="宋体" w:eastAsia="宋体"/>
                <w:sz w:val="16"/>
              </w:rPr>
              <w:t>12</w:t>
            </w:r>
          </w:p>
        </w:tc>
      </w:tr>
      <w:tr w14:paraId="322C44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5177FF"/>
        </w:tc>
        <w:tc>
          <w:tcPr>
            <w:tcW w:w="1001" w:type="dxa"/>
            <w:vMerge w:val="continue"/>
            <w:tcBorders>
              <w:top w:val="single" w:color="auto" w:sz="10" w:space="0"/>
              <w:left w:val="single" w:color="auto" w:sz="10" w:space="0"/>
              <w:bottom w:val="single" w:color="auto" w:sz="10" w:space="0"/>
              <w:right w:val="single" w:color="auto" w:sz="10" w:space="0"/>
              <w:insideV w:val="single" w:sz="10" w:space="0"/>
            </w:tcBorders>
          </w:tcPr>
          <w:p w14:paraId="23B9E6D2"/>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606A52">
            <w:pPr>
              <w:jc w:val="center"/>
            </w:pPr>
            <w:r>
              <w:rPr>
                <w:rFonts w:ascii="宋体" w:hAnsi="宋体" w:eastAsia="宋体"/>
                <w:sz w:val="16"/>
              </w:rPr>
              <w:t>退休人数</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3530D">
            <w:pPr>
              <w:jc w:val="center"/>
            </w:pPr>
            <w:r>
              <w:rPr>
                <w:rFonts w:ascii="宋体" w:hAnsi="宋体" w:eastAsia="宋体"/>
                <w:sz w:val="16"/>
              </w:rPr>
              <w:t>&lt;=7人</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E2C94B">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BCEC8">
            <w:pPr>
              <w:jc w:val="center"/>
            </w:pPr>
            <w:r>
              <w:rPr>
                <w:rFonts w:ascii="宋体" w:hAnsi="宋体" w:eastAsia="宋体"/>
                <w:sz w:val="16"/>
              </w:rPr>
              <w:t>12</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DF26A">
            <w:pPr>
              <w:jc w:val="center"/>
            </w:pPr>
            <w:r>
              <w:rPr>
                <w:rFonts w:ascii="宋体" w:hAnsi="宋体" w:eastAsia="宋体"/>
                <w:sz w:val="16"/>
              </w:rPr>
              <w:t>7人</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038C3DCA">
            <w:pPr>
              <w:jc w:val="center"/>
            </w:pPr>
            <w:r>
              <w:rPr>
                <w:rFonts w:ascii="宋体" w:hAnsi="宋体" w:eastAsia="宋体"/>
                <w:sz w:val="16"/>
              </w:rPr>
              <w:t>12</w:t>
            </w:r>
          </w:p>
        </w:tc>
      </w:tr>
      <w:tr w14:paraId="594F16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3286A1"/>
        </w:tc>
        <w:tc>
          <w:tcPr>
            <w:tcW w:w="1001" w:type="dxa"/>
            <w:vMerge w:val="continue"/>
            <w:tcBorders>
              <w:top w:val="single" w:color="auto" w:sz="10" w:space="0"/>
              <w:left w:val="single" w:color="auto" w:sz="10" w:space="0"/>
              <w:bottom w:val="single" w:color="auto" w:sz="10" w:space="0"/>
              <w:right w:val="single" w:color="auto" w:sz="10" w:space="0"/>
              <w:insideV w:val="single" w:sz="10" w:space="0"/>
            </w:tcBorders>
          </w:tcPr>
          <w:p w14:paraId="302768E9"/>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F4A1E9">
            <w:pPr>
              <w:jc w:val="center"/>
            </w:pPr>
            <w:r>
              <w:rPr>
                <w:rFonts w:ascii="宋体" w:hAnsi="宋体" w:eastAsia="宋体"/>
                <w:sz w:val="16"/>
              </w:rPr>
              <w:t>遗属补助人数</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5D9A5">
            <w:pPr>
              <w:jc w:val="center"/>
            </w:pPr>
            <w:r>
              <w:rPr>
                <w:rFonts w:ascii="宋体" w:hAnsi="宋体" w:eastAsia="宋体"/>
                <w:sz w:val="16"/>
              </w:rPr>
              <w:t>&gt;=1人</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EBC0A2">
            <w:pPr>
              <w:jc w:val="center"/>
            </w:pPr>
            <w:r>
              <w:rPr>
                <w:rFonts w:ascii="宋体" w:hAnsi="宋体" w:eastAsia="宋体"/>
                <w:sz w:val="16"/>
              </w:rPr>
              <w:t>2024工作计划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FAAA">
            <w:pPr>
              <w:jc w:val="center"/>
            </w:pPr>
            <w:r>
              <w:rPr>
                <w:rFonts w:ascii="宋体" w:hAnsi="宋体" w:eastAsia="宋体"/>
                <w:sz w:val="16"/>
              </w:rPr>
              <w:t>12</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D90DC">
            <w:pPr>
              <w:jc w:val="center"/>
            </w:pPr>
            <w:r>
              <w:rPr>
                <w:rFonts w:ascii="宋体" w:hAnsi="宋体" w:eastAsia="宋体"/>
                <w:sz w:val="16"/>
              </w:rPr>
              <w:t>1人</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DA4A9BD">
            <w:pPr>
              <w:jc w:val="center"/>
            </w:pPr>
            <w:r>
              <w:rPr>
                <w:rFonts w:ascii="宋体" w:hAnsi="宋体" w:eastAsia="宋体"/>
                <w:sz w:val="16"/>
              </w:rPr>
              <w:t>12</w:t>
            </w:r>
          </w:p>
        </w:tc>
      </w:tr>
      <w:tr w14:paraId="6328A7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DB314"/>
        </w:tc>
        <w:tc>
          <w:tcPr>
            <w:tcW w:w="1001" w:type="dxa"/>
            <w:vMerge w:val="continue"/>
            <w:tcBorders>
              <w:top w:val="single" w:color="auto" w:sz="10" w:space="0"/>
              <w:left w:val="single" w:color="auto" w:sz="10" w:space="0"/>
              <w:bottom w:val="single" w:color="auto" w:sz="10" w:space="0"/>
              <w:right w:val="single" w:color="auto" w:sz="10" w:space="0"/>
              <w:insideV w:val="single" w:sz="10" w:space="0"/>
            </w:tcBorders>
          </w:tcPr>
          <w:p w14:paraId="6C49D210"/>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4993C5">
            <w:pPr>
              <w:jc w:val="center"/>
            </w:pPr>
            <w:r>
              <w:rPr>
                <w:rFonts w:ascii="宋体" w:hAnsi="宋体" w:eastAsia="宋体"/>
                <w:sz w:val="16"/>
              </w:rPr>
              <w:t>取暖费发放人数</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EAB2">
            <w:pPr>
              <w:jc w:val="center"/>
            </w:pPr>
            <w:r>
              <w:rPr>
                <w:rFonts w:ascii="宋体" w:hAnsi="宋体" w:eastAsia="宋体"/>
                <w:sz w:val="16"/>
              </w:rPr>
              <w:t>&gt;=12人</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E4CF15">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FCCA9">
            <w:pPr>
              <w:jc w:val="center"/>
            </w:pPr>
            <w:r>
              <w:rPr>
                <w:rFonts w:ascii="宋体" w:hAnsi="宋体" w:eastAsia="宋体"/>
                <w:sz w:val="16"/>
              </w:rPr>
              <w:t>12</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7ADB">
            <w:pPr>
              <w:jc w:val="center"/>
            </w:pPr>
            <w:r>
              <w:rPr>
                <w:rFonts w:ascii="宋体" w:hAnsi="宋体" w:eastAsia="宋体"/>
                <w:sz w:val="16"/>
              </w:rPr>
              <w:t>12人</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82763E5">
            <w:pPr>
              <w:jc w:val="center"/>
            </w:pPr>
            <w:r>
              <w:rPr>
                <w:rFonts w:ascii="宋体" w:hAnsi="宋体" w:eastAsia="宋体"/>
                <w:sz w:val="16"/>
              </w:rPr>
              <w:t>12</w:t>
            </w:r>
          </w:p>
        </w:tc>
      </w:tr>
      <w:tr w14:paraId="345792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F33E34"/>
        </w:tc>
        <w:tc>
          <w:tcPr>
            <w:tcW w:w="1001" w:type="dxa"/>
            <w:vMerge w:val="continue"/>
            <w:tcBorders>
              <w:top w:val="single" w:color="auto" w:sz="10" w:space="0"/>
              <w:left w:val="single" w:color="auto" w:sz="10" w:space="0"/>
              <w:bottom w:val="single" w:color="auto" w:sz="10" w:space="0"/>
              <w:right w:val="single" w:color="auto" w:sz="10" w:space="0"/>
              <w:insideV w:val="single" w:sz="10" w:space="0"/>
            </w:tcBorders>
          </w:tcPr>
          <w:p w14:paraId="18283512"/>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41DBFE">
            <w:pPr>
              <w:jc w:val="center"/>
            </w:pPr>
            <w:r>
              <w:rPr>
                <w:rFonts w:ascii="宋体" w:hAnsi="宋体" w:eastAsia="宋体"/>
                <w:sz w:val="16"/>
              </w:rPr>
              <w:t>农村公益电影放映直属场次</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DF2E2">
            <w:pPr>
              <w:jc w:val="center"/>
            </w:pPr>
            <w:r>
              <w:rPr>
                <w:rFonts w:ascii="宋体" w:hAnsi="宋体" w:eastAsia="宋体"/>
                <w:sz w:val="16"/>
              </w:rPr>
              <w:t>&gt;=468场</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CB2654">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952C0">
            <w:pPr>
              <w:jc w:val="center"/>
            </w:pPr>
            <w:r>
              <w:rPr>
                <w:rFonts w:ascii="宋体" w:hAnsi="宋体" w:eastAsia="宋体"/>
                <w:sz w:val="16"/>
              </w:rPr>
              <w:t>12</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84CDA">
            <w:pPr>
              <w:jc w:val="center"/>
            </w:pPr>
            <w:r>
              <w:rPr>
                <w:rFonts w:ascii="宋体" w:hAnsi="宋体" w:eastAsia="宋体"/>
                <w:sz w:val="16"/>
              </w:rPr>
              <w:t>468场</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EA79CE0">
            <w:pPr>
              <w:jc w:val="center"/>
            </w:pPr>
            <w:r>
              <w:rPr>
                <w:rFonts w:ascii="宋体" w:hAnsi="宋体" w:eastAsia="宋体"/>
                <w:sz w:val="16"/>
              </w:rPr>
              <w:t>12</w:t>
            </w:r>
          </w:p>
        </w:tc>
      </w:tr>
      <w:tr w14:paraId="262B34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086C5"/>
        </w:tc>
        <w:tc>
          <w:tcPr>
            <w:tcW w:w="1001" w:type="dxa"/>
            <w:vMerge w:val="continue"/>
            <w:tcBorders>
              <w:top w:val="single" w:color="auto" w:sz="10" w:space="0"/>
              <w:left w:val="single" w:color="auto" w:sz="10" w:space="0"/>
              <w:bottom w:val="single" w:color="auto" w:sz="10" w:space="0"/>
              <w:right w:val="single" w:color="auto" w:sz="10" w:space="0"/>
              <w:insideV w:val="single" w:sz="10" w:space="0"/>
            </w:tcBorders>
          </w:tcPr>
          <w:p w14:paraId="68ADA8CF"/>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2280A9">
            <w:pPr>
              <w:jc w:val="center"/>
            </w:pPr>
            <w:r>
              <w:rPr>
                <w:rFonts w:ascii="宋体" w:hAnsi="宋体" w:eastAsia="宋体"/>
                <w:sz w:val="16"/>
              </w:rPr>
              <w:t>学校公益电影放映场次</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BB4A">
            <w:pPr>
              <w:jc w:val="center"/>
            </w:pPr>
            <w:r>
              <w:rPr>
                <w:rFonts w:ascii="宋体" w:hAnsi="宋体" w:eastAsia="宋体"/>
                <w:sz w:val="16"/>
              </w:rPr>
              <w:t>&gt;=40场</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A019F7">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D2FC">
            <w:pPr>
              <w:jc w:val="center"/>
            </w:pPr>
            <w:r>
              <w:rPr>
                <w:rFonts w:ascii="宋体" w:hAnsi="宋体" w:eastAsia="宋体"/>
                <w:sz w:val="16"/>
              </w:rPr>
              <w:t>12</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CB675">
            <w:pPr>
              <w:jc w:val="center"/>
            </w:pPr>
            <w:r>
              <w:rPr>
                <w:rFonts w:ascii="宋体" w:hAnsi="宋体" w:eastAsia="宋体"/>
                <w:sz w:val="16"/>
              </w:rPr>
              <w:t>40场</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0355380D">
            <w:pPr>
              <w:jc w:val="center"/>
            </w:pPr>
            <w:r>
              <w:rPr>
                <w:rFonts w:ascii="宋体" w:hAnsi="宋体" w:eastAsia="宋体"/>
                <w:sz w:val="16"/>
              </w:rPr>
              <w:t>12</w:t>
            </w:r>
          </w:p>
        </w:tc>
      </w:tr>
      <w:tr w14:paraId="226C7E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2CC0FA"/>
        </w:tc>
        <w:tc>
          <w:tcPr>
            <w:tcW w:w="10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A35A2">
            <w:pPr>
              <w:jc w:val="center"/>
            </w:pPr>
            <w:r>
              <w:rPr>
                <w:rFonts w:ascii="宋体" w:hAnsi="宋体" w:eastAsia="宋体"/>
                <w:sz w:val="16"/>
              </w:rPr>
              <w:t>质量指标</w:t>
            </w:r>
          </w:p>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38E292">
            <w:pPr>
              <w:jc w:val="center"/>
            </w:pPr>
            <w:r>
              <w:rPr>
                <w:rFonts w:ascii="宋体" w:hAnsi="宋体" w:eastAsia="宋体"/>
                <w:sz w:val="16"/>
              </w:rPr>
              <w:t>资金支付准确率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FDCE2">
            <w:pPr>
              <w:jc w:val="center"/>
            </w:pPr>
            <w:r>
              <w:rPr>
                <w:rFonts w:ascii="宋体" w:hAnsi="宋体" w:eastAsia="宋体"/>
                <w:sz w:val="16"/>
              </w:rPr>
              <w:t>=100%</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161030">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77E65">
            <w:pPr>
              <w:jc w:val="center"/>
            </w:pPr>
            <w:r>
              <w:rPr>
                <w:rFonts w:ascii="宋体" w:hAnsi="宋体" w:eastAsia="宋体"/>
                <w:sz w:val="16"/>
              </w:rPr>
              <w:t>9</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DE75">
            <w:pPr>
              <w:jc w:val="center"/>
            </w:pPr>
            <w:r>
              <w:rPr>
                <w:rFonts w:ascii="宋体" w:hAnsi="宋体" w:eastAsia="宋体"/>
                <w:sz w:val="16"/>
              </w:rPr>
              <w:t>100%</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1962984C">
            <w:pPr>
              <w:jc w:val="center"/>
            </w:pPr>
            <w:r>
              <w:rPr>
                <w:rFonts w:ascii="宋体" w:hAnsi="宋体" w:eastAsia="宋体"/>
                <w:sz w:val="16"/>
              </w:rPr>
              <w:t>9</w:t>
            </w:r>
          </w:p>
        </w:tc>
      </w:tr>
      <w:tr w14:paraId="22035F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589775"/>
        </w:tc>
        <w:tc>
          <w:tcPr>
            <w:tcW w:w="1001" w:type="dxa"/>
            <w:vMerge w:val="continue"/>
            <w:tcBorders>
              <w:top w:val="single" w:color="auto" w:sz="10" w:space="0"/>
              <w:left w:val="single" w:color="auto" w:sz="10" w:space="0"/>
              <w:bottom w:val="single" w:color="auto" w:sz="10" w:space="0"/>
              <w:right w:val="single" w:color="auto" w:sz="10" w:space="0"/>
              <w:insideV w:val="single" w:sz="10" w:space="0"/>
            </w:tcBorders>
          </w:tcPr>
          <w:p w14:paraId="38429B42"/>
        </w:tc>
        <w:tc>
          <w:tcPr>
            <w:tcW w:w="15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CD7F8A">
            <w:pPr>
              <w:jc w:val="center"/>
            </w:pPr>
            <w:r>
              <w:rPr>
                <w:rFonts w:ascii="宋体" w:hAnsi="宋体" w:eastAsia="宋体"/>
                <w:sz w:val="16"/>
              </w:rPr>
              <w:t>电影放映覆盖率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B791">
            <w:pPr>
              <w:jc w:val="center"/>
            </w:pPr>
            <w:r>
              <w:rPr>
                <w:rFonts w:ascii="宋体" w:hAnsi="宋体" w:eastAsia="宋体"/>
                <w:sz w:val="16"/>
              </w:rPr>
              <w:t>=100%</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34C863">
            <w:pPr>
              <w:jc w:val="center"/>
            </w:pPr>
            <w:r>
              <w:rPr>
                <w:rFonts w:ascii="宋体" w:hAnsi="宋体" w:eastAsia="宋体"/>
                <w:sz w:val="16"/>
              </w:rPr>
              <w:t>2024年工作计划</w:t>
            </w:r>
          </w:p>
        </w:tc>
        <w:tc>
          <w:tcPr>
            <w:tcW w:w="8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90047">
            <w:pPr>
              <w:jc w:val="center"/>
            </w:pPr>
            <w:r>
              <w:rPr>
                <w:rFonts w:ascii="宋体" w:hAnsi="宋体" w:eastAsia="宋体"/>
                <w:sz w:val="16"/>
              </w:rPr>
              <w:t>9</w:t>
            </w:r>
          </w:p>
        </w:tc>
        <w:tc>
          <w:tcPr>
            <w:tcW w:w="10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32E8F">
            <w:pPr>
              <w:jc w:val="center"/>
            </w:pPr>
            <w:r>
              <w:rPr>
                <w:rFonts w:ascii="宋体" w:hAnsi="宋体" w:eastAsia="宋体"/>
                <w:sz w:val="16"/>
              </w:rPr>
              <w:t>100%</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027C3E0D">
            <w:pPr>
              <w:jc w:val="center"/>
            </w:pPr>
            <w:r>
              <w:rPr>
                <w:rFonts w:ascii="宋体" w:hAnsi="宋体" w:eastAsia="宋体"/>
                <w:sz w:val="16"/>
              </w:rPr>
              <w:t>9</w:t>
            </w:r>
          </w:p>
        </w:tc>
      </w:tr>
    </w:tbl>
    <w:p w14:paraId="323178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249D9C3">
        <w:tblPrEx>
          <w:tblCellMar>
            <w:top w:w="0" w:type="dxa"/>
            <w:left w:w="108" w:type="dxa"/>
            <w:bottom w:w="0" w:type="dxa"/>
            <w:right w:w="108" w:type="dxa"/>
          </w:tblCellMar>
        </w:tblPrEx>
        <w:tc>
          <w:tcPr>
            <w:tcW w:w="8848" w:type="dxa"/>
            <w:gridSpan w:val="14"/>
            <w:vAlign w:val="center"/>
          </w:tcPr>
          <w:p w14:paraId="65B3269D">
            <w:pPr>
              <w:jc w:val="center"/>
            </w:pPr>
            <w:r>
              <w:rPr>
                <w:rFonts w:ascii="宋体" w:hAnsi="宋体" w:eastAsia="宋体"/>
                <w:sz w:val="24"/>
              </w:rPr>
              <w:t>项目支出绩效自评表</w:t>
            </w:r>
          </w:p>
        </w:tc>
      </w:tr>
      <w:tr w14:paraId="2F988630">
        <w:tblPrEx>
          <w:tblCellMar>
            <w:top w:w="0" w:type="dxa"/>
            <w:left w:w="108" w:type="dxa"/>
            <w:bottom w:w="0" w:type="dxa"/>
            <w:right w:w="108" w:type="dxa"/>
          </w:tblCellMar>
        </w:tblPrEx>
        <w:tc>
          <w:tcPr>
            <w:tcW w:w="8848" w:type="dxa"/>
            <w:gridSpan w:val="14"/>
            <w:vAlign w:val="center"/>
          </w:tcPr>
          <w:p w14:paraId="227BF633">
            <w:pPr>
              <w:jc w:val="center"/>
            </w:pPr>
            <w:r>
              <w:rPr>
                <w:rFonts w:ascii="宋体" w:hAnsi="宋体" w:eastAsia="宋体"/>
                <w:sz w:val="24"/>
              </w:rPr>
              <w:t>(2024年度)</w:t>
            </w:r>
          </w:p>
        </w:tc>
      </w:tr>
      <w:tr w14:paraId="287E6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19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21B02F">
            <w:pPr>
              <w:jc w:val="center"/>
            </w:pPr>
            <w:r>
              <w:rPr>
                <w:rFonts w:ascii="宋体" w:hAnsi="宋体" w:eastAsia="宋体"/>
                <w:sz w:val="16"/>
              </w:rPr>
              <w:t>农村公益电影放映项目</w:t>
            </w:r>
          </w:p>
        </w:tc>
      </w:tr>
      <w:tr w14:paraId="2AE65E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05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737D7">
            <w:pPr>
              <w:jc w:val="center"/>
            </w:pPr>
            <w:r>
              <w:rPr>
                <w:rFonts w:ascii="宋体" w:hAnsi="宋体" w:eastAsia="宋体"/>
                <w:sz w:val="16"/>
              </w:rPr>
              <w:t>中共裕民县委员会宣传部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20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77FFFC">
            <w:pPr>
              <w:jc w:val="center"/>
            </w:pPr>
            <w:r>
              <w:rPr>
                <w:rFonts w:ascii="宋体" w:hAnsi="宋体" w:eastAsia="宋体"/>
                <w:sz w:val="16"/>
              </w:rPr>
              <w:t>裕民县影剧院</w:t>
            </w:r>
          </w:p>
        </w:tc>
      </w:tr>
      <w:tr w14:paraId="329F36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654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38B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7BC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15A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908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D2F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06A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F2A5">
            <w:pPr>
              <w:jc w:val="center"/>
            </w:pPr>
            <w:r>
              <w:rPr>
                <w:rFonts w:ascii="宋体" w:hAnsi="宋体" w:eastAsia="宋体"/>
                <w:sz w:val="16"/>
              </w:rPr>
              <w:t>得分</w:t>
            </w:r>
          </w:p>
        </w:tc>
      </w:tr>
      <w:tr w14:paraId="7761B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78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EA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6BFE2">
            <w:pPr>
              <w:jc w:val="center"/>
            </w:pPr>
            <w:r>
              <w:rPr>
                <w:rFonts w:ascii="宋体" w:hAnsi="宋体" w:eastAsia="宋体"/>
                <w:sz w:val="16"/>
              </w:rPr>
              <w:t>12.22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516FB">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CF4D9">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FAF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93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D5C1">
            <w:pPr>
              <w:jc w:val="center"/>
            </w:pPr>
            <w:r>
              <w:rPr>
                <w:rFonts w:ascii="宋体" w:hAnsi="宋体" w:eastAsia="宋体"/>
                <w:sz w:val="16"/>
              </w:rPr>
              <w:t>10.00</w:t>
            </w:r>
          </w:p>
        </w:tc>
      </w:tr>
      <w:tr w14:paraId="14006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99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F76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6E0E7">
            <w:pPr>
              <w:jc w:val="center"/>
            </w:pPr>
            <w:r>
              <w:rPr>
                <w:rFonts w:ascii="宋体" w:hAnsi="宋体" w:eastAsia="宋体"/>
                <w:sz w:val="16"/>
              </w:rPr>
              <w:t>12.22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83E50">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AA3D">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5BA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BD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4386">
            <w:pPr>
              <w:jc w:val="center"/>
            </w:pPr>
            <w:r>
              <w:rPr>
                <w:rFonts w:ascii="宋体" w:hAnsi="宋体" w:eastAsia="宋体"/>
                <w:sz w:val="16"/>
              </w:rPr>
              <w:t>—</w:t>
            </w:r>
          </w:p>
        </w:tc>
      </w:tr>
      <w:tr w14:paraId="22C33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BB1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6A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76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B36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795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E00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44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D9FE">
            <w:pPr>
              <w:jc w:val="center"/>
            </w:pPr>
            <w:r>
              <w:rPr>
                <w:rFonts w:ascii="宋体" w:hAnsi="宋体" w:eastAsia="宋体"/>
                <w:sz w:val="16"/>
              </w:rPr>
              <w:t>—</w:t>
            </w:r>
          </w:p>
        </w:tc>
      </w:tr>
      <w:tr w14:paraId="4E6B81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D94A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33C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57D083">
            <w:pPr>
              <w:jc w:val="center"/>
            </w:pPr>
            <w:r>
              <w:rPr>
                <w:rFonts w:ascii="宋体" w:hAnsi="宋体" w:eastAsia="宋体"/>
                <w:sz w:val="16"/>
              </w:rPr>
              <w:t>实际完成情况</w:t>
            </w:r>
          </w:p>
        </w:tc>
      </w:tr>
      <w:tr w14:paraId="6D87F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E2B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72427">
            <w:pPr>
              <w:jc w:val="both"/>
            </w:pPr>
            <w:r>
              <w:rPr>
                <w:rFonts w:ascii="宋体" w:hAnsi="宋体" w:eastAsia="宋体"/>
                <w:sz w:val="16"/>
              </w:rPr>
              <w:t>塔地财教</w:t>
            </w:r>
            <w:r>
              <w:rPr>
                <w:rFonts w:hint="eastAsia" w:ascii="宋体" w:hAnsi="宋体"/>
                <w:sz w:val="16"/>
                <w:lang w:eastAsia="zh-CN"/>
              </w:rPr>
              <w:t>〔2023〕29号</w:t>
            </w:r>
            <w:r>
              <w:rPr>
                <w:rFonts w:ascii="宋体" w:hAnsi="宋体" w:eastAsia="宋体"/>
                <w:sz w:val="16"/>
              </w:rPr>
              <w:t>文件和塔地财教</w:t>
            </w:r>
            <w:r>
              <w:rPr>
                <w:rFonts w:hint="eastAsia" w:ascii="宋体" w:hAnsi="宋体"/>
                <w:sz w:val="16"/>
                <w:lang w:eastAsia="zh-CN"/>
              </w:rPr>
              <w:t>〔2023〕107号</w:t>
            </w:r>
            <w:r>
              <w:rPr>
                <w:rFonts w:ascii="宋体" w:hAnsi="宋体" w:eastAsia="宋体"/>
                <w:sz w:val="16"/>
              </w:rPr>
              <w:t>中央补助地方公共文化服务体系建设补助资金文件。裕民县共39个行政村,每村每月开展一场农村电影放映,全年共需开展468场电影。于2024年12月底前完成。项目实施能有效地解决农民朋友看电影难的问题，并成为党和政府与农民群众联系沟通的桥梁，为全县新农村建设和农村精神文明建设作出了积极的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F9CE2E">
            <w:pPr>
              <w:jc w:val="both"/>
            </w:pPr>
            <w:r>
              <w:rPr>
                <w:rFonts w:ascii="宋体" w:hAnsi="宋体" w:eastAsia="宋体"/>
                <w:sz w:val="16"/>
              </w:rPr>
              <w:t>塔地财教</w:t>
            </w:r>
            <w:r>
              <w:rPr>
                <w:rFonts w:hint="eastAsia" w:ascii="宋体" w:hAnsi="宋体"/>
                <w:sz w:val="16"/>
                <w:lang w:eastAsia="zh-CN"/>
              </w:rPr>
              <w:t>〔2023〕29号</w:t>
            </w:r>
            <w:r>
              <w:rPr>
                <w:rFonts w:ascii="宋体" w:hAnsi="宋体" w:eastAsia="宋体"/>
                <w:sz w:val="16"/>
              </w:rPr>
              <w:t>文件和塔地财教</w:t>
            </w:r>
            <w:r>
              <w:rPr>
                <w:rFonts w:hint="eastAsia" w:ascii="宋体" w:hAnsi="宋体"/>
                <w:sz w:val="16"/>
                <w:lang w:eastAsia="zh-CN"/>
              </w:rPr>
              <w:t>〔2023〕107号</w:t>
            </w:r>
            <w:r>
              <w:rPr>
                <w:rFonts w:ascii="宋体" w:hAnsi="宋体" w:eastAsia="宋体"/>
                <w:sz w:val="16"/>
              </w:rPr>
              <w:t>中央补助地方公共文化服务体系建设补助资金文件。裕民县共39个行政村,每村每月开展一场农村电影放映,全年共需开展468场电影。于2024年12月底前完成。项目实施能有效地解决农民朋友看电影难的问题，并成为党和政府与农民群众联系沟通的桥梁，为全县新农村建设和农村精神文明建设作出了积极的贡献。</w:t>
            </w:r>
          </w:p>
        </w:tc>
      </w:tr>
      <w:tr w14:paraId="498237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AFE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3A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3B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F2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90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12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84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1A2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43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1F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182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AF5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92F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0A6E">
            <w:pPr>
              <w:jc w:val="center"/>
            </w:pPr>
            <w:r>
              <w:rPr>
                <w:rFonts w:ascii="宋体" w:hAnsi="宋体" w:eastAsia="宋体"/>
                <w:sz w:val="16"/>
              </w:rPr>
              <w:t>偏差原因分析及改进措施</w:t>
            </w:r>
          </w:p>
        </w:tc>
      </w:tr>
      <w:tr w14:paraId="1461B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C9F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746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04F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B84B">
            <w:pPr>
              <w:jc w:val="center"/>
            </w:pPr>
            <w:r>
              <w:rPr>
                <w:rFonts w:ascii="宋体" w:hAnsi="宋体" w:eastAsia="宋体"/>
                <w:sz w:val="16"/>
              </w:rPr>
              <w:t>公益电影放映涉及行政村个数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FDA7">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F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6580">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C6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B2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5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E81D">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B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5A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E291">
            <w:pPr>
              <w:jc w:val="center"/>
            </w:pPr>
          </w:p>
        </w:tc>
      </w:tr>
      <w:tr w14:paraId="4C91C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BD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7F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7C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0419">
            <w:pPr>
              <w:jc w:val="center"/>
            </w:pPr>
            <w:r>
              <w:rPr>
                <w:rFonts w:ascii="宋体" w:hAnsi="宋体" w:eastAsia="宋体"/>
                <w:sz w:val="16"/>
              </w:rPr>
              <w:t>全年公益电影放映场次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27BE">
            <w:pPr>
              <w:jc w:val="center"/>
            </w:pPr>
            <w:r>
              <w:rPr>
                <w:rFonts w:ascii="宋体" w:hAnsi="宋体" w:eastAsia="宋体"/>
                <w:sz w:val="16"/>
              </w:rPr>
              <w:t>=468场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7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8FD2">
            <w:pPr>
              <w:jc w:val="center"/>
            </w:pPr>
            <w:r>
              <w:rPr>
                <w:rFonts w:ascii="宋体" w:hAnsi="宋体" w:eastAsia="宋体"/>
                <w:sz w:val="16"/>
              </w:rPr>
              <w:t>468场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9B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6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77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7BA4">
            <w:pPr>
              <w:jc w:val="center"/>
            </w:pPr>
            <w:r>
              <w:rPr>
                <w:rFonts w:ascii="宋体" w:hAnsi="宋体" w:eastAsia="宋体"/>
                <w:sz w:val="16"/>
              </w:rPr>
              <w:t>468场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3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81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8D6C">
            <w:pPr>
              <w:jc w:val="center"/>
            </w:pPr>
          </w:p>
        </w:tc>
      </w:tr>
      <w:tr w14:paraId="7A088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D3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E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9F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CCDD">
            <w:pPr>
              <w:jc w:val="center"/>
            </w:pPr>
            <w:r>
              <w:rPr>
                <w:rFonts w:ascii="宋体" w:hAnsi="宋体" w:eastAsia="宋体"/>
                <w:sz w:val="16"/>
              </w:rPr>
              <w:t>配送影视播放率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DC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8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D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F5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A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E4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6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9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A2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57D3">
            <w:pPr>
              <w:jc w:val="center"/>
            </w:pPr>
          </w:p>
        </w:tc>
      </w:tr>
      <w:tr w14:paraId="1996D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C5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A25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118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43A9">
            <w:pPr>
              <w:jc w:val="center"/>
            </w:pPr>
            <w:r>
              <w:rPr>
                <w:rFonts w:ascii="宋体" w:hAnsi="宋体" w:eastAsia="宋体"/>
                <w:sz w:val="16"/>
              </w:rPr>
              <w:t>电影场次播放结束时间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C77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E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175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17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2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8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10A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C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E0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39D4">
            <w:pPr>
              <w:jc w:val="center"/>
            </w:pPr>
          </w:p>
        </w:tc>
      </w:tr>
      <w:tr w14:paraId="1F105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A2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26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11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F987">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6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C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1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1A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33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B9D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0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15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3E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1A2B">
            <w:pPr>
              <w:jc w:val="center"/>
            </w:pPr>
          </w:p>
        </w:tc>
      </w:tr>
      <w:tr w14:paraId="2978F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48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36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12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756F">
            <w:pPr>
              <w:jc w:val="center"/>
            </w:pPr>
            <w:r>
              <w:rPr>
                <w:rFonts w:ascii="宋体" w:hAnsi="宋体" w:eastAsia="宋体"/>
                <w:sz w:val="16"/>
              </w:rPr>
              <w:t>每场电影放映所需成本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B582">
            <w:pPr>
              <w:jc w:val="center"/>
            </w:pPr>
            <w:r>
              <w:rPr>
                <w:rFonts w:ascii="宋体" w:hAnsi="宋体" w:eastAsia="宋体"/>
                <w:sz w:val="16"/>
              </w:rPr>
              <w:t>&lt;=261元/场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1E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E9E6">
            <w:pPr>
              <w:jc w:val="center"/>
            </w:pPr>
            <w:r>
              <w:rPr>
                <w:rFonts w:ascii="宋体" w:hAnsi="宋体" w:eastAsia="宋体"/>
                <w:sz w:val="16"/>
              </w:rPr>
              <w:t>173元/场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65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7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25E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2A1B">
            <w:pPr>
              <w:jc w:val="center"/>
            </w:pPr>
            <w:r>
              <w:rPr>
                <w:rFonts w:ascii="宋体" w:hAnsi="宋体" w:eastAsia="宋体"/>
                <w:sz w:val="16"/>
              </w:rPr>
              <w:t>224元/场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8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2C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3167">
            <w:pPr>
              <w:jc w:val="center"/>
            </w:pPr>
          </w:p>
        </w:tc>
      </w:tr>
      <w:tr w14:paraId="1F15A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26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0B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4F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1CD5">
            <w:pPr>
              <w:jc w:val="center"/>
            </w:pPr>
            <w:r>
              <w:rPr>
                <w:rFonts w:ascii="宋体" w:hAnsi="宋体" w:eastAsia="宋体"/>
                <w:sz w:val="16"/>
              </w:rPr>
              <w:t>丰富村民公共文化生活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FA2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9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0A8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DB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15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1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FB6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B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28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2D20">
            <w:pPr>
              <w:jc w:val="center"/>
            </w:pPr>
          </w:p>
        </w:tc>
      </w:tr>
      <w:tr w14:paraId="32ABAB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64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39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B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7EA9">
            <w:pPr>
              <w:jc w:val="center"/>
            </w:pPr>
            <w:r>
              <w:rPr>
                <w:rFonts w:ascii="宋体" w:hAnsi="宋体" w:eastAsia="宋体"/>
                <w:sz w:val="16"/>
              </w:rPr>
              <w:t>观看电影群众满意度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FB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7A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A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3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9A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AD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F2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1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9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FC8F">
            <w:pPr>
              <w:jc w:val="center"/>
            </w:pPr>
          </w:p>
        </w:tc>
      </w:tr>
      <w:tr w14:paraId="023CDA7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D2BA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E62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245F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F76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7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C8E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32C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E578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4C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A5E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D6BA7A"/>
        </w:tc>
      </w:tr>
    </w:tbl>
    <w:p w14:paraId="274F26AB">
      <w:r>
        <w:br w:type="page"/>
      </w:r>
    </w:p>
    <w:p w14:paraId="579964F5">
      <w:pPr>
        <w:spacing w:line="640" w:lineRule="exact"/>
        <w:ind w:firstLine="640"/>
        <w:jc w:val="both"/>
        <w:outlineLvl w:val="2"/>
      </w:pPr>
      <w:r>
        <w:rPr>
          <w:rFonts w:ascii="黑体" w:hAnsi="黑体" w:eastAsia="黑体"/>
          <w:sz w:val="32"/>
        </w:rPr>
        <w:t>十二、其他需说明的事项</w:t>
      </w:r>
    </w:p>
    <w:p w14:paraId="7E115F63">
      <w:pPr>
        <w:spacing w:line="580" w:lineRule="exact"/>
        <w:ind w:firstLine="640"/>
        <w:jc w:val="both"/>
      </w:pPr>
      <w:r>
        <w:rPr>
          <w:rFonts w:ascii="仿宋_GB2312" w:hAnsi="仿宋_GB2312" w:eastAsia="仿宋_GB2312"/>
          <w:b w:val="0"/>
          <w:sz w:val="32"/>
        </w:rPr>
        <w:t>本单位无其他需说明事项。</w:t>
      </w:r>
      <w:bookmarkStart w:id="0" w:name="_GoBack"/>
      <w:bookmarkEnd w:id="0"/>
    </w:p>
    <w:p w14:paraId="3330CA67">
      <w:r>
        <w:br w:type="page"/>
      </w:r>
    </w:p>
    <w:p w14:paraId="2716CCC4">
      <w:pPr>
        <w:spacing w:line="240" w:lineRule="auto"/>
        <w:jc w:val="center"/>
        <w:outlineLvl w:val="1"/>
      </w:pPr>
      <w:r>
        <w:rPr>
          <w:rFonts w:ascii="黑体" w:hAnsi="黑体" w:eastAsia="黑体"/>
          <w:sz w:val="32"/>
        </w:rPr>
        <w:t>第三部分 专业名词解释</w:t>
      </w:r>
    </w:p>
    <w:p w14:paraId="21FC31A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95258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6E9D0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04AAB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58DD1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53E68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74D87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65B9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4DB5F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B7D36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FBF3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180F8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4BB03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5EFE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6AE5D5D">
      <w:r>
        <w:br w:type="page"/>
      </w:r>
    </w:p>
    <w:p w14:paraId="79BF8091">
      <w:pPr>
        <w:spacing w:line="240" w:lineRule="auto"/>
        <w:jc w:val="center"/>
        <w:outlineLvl w:val="1"/>
      </w:pPr>
      <w:r>
        <w:rPr>
          <w:rFonts w:ascii="黑体" w:hAnsi="黑体" w:eastAsia="黑体"/>
          <w:sz w:val="32"/>
        </w:rPr>
        <w:t>第四部分 部门决算报表（见附表）</w:t>
      </w:r>
    </w:p>
    <w:p w14:paraId="05F01A34">
      <w:pPr>
        <w:spacing w:line="240" w:lineRule="auto"/>
        <w:ind w:firstLine="640"/>
        <w:jc w:val="both"/>
      </w:pPr>
      <w:r>
        <w:rPr>
          <w:rFonts w:ascii="仿宋_GB2312" w:hAnsi="仿宋_GB2312" w:eastAsia="仿宋_GB2312"/>
          <w:b w:val="0"/>
          <w:sz w:val="32"/>
        </w:rPr>
        <w:t>一、《收入支出决算总表》</w:t>
      </w:r>
    </w:p>
    <w:p w14:paraId="2F43D1C8">
      <w:pPr>
        <w:spacing w:line="240" w:lineRule="auto"/>
        <w:ind w:firstLine="640"/>
        <w:jc w:val="both"/>
      </w:pPr>
      <w:r>
        <w:rPr>
          <w:rFonts w:ascii="仿宋_GB2312" w:hAnsi="仿宋_GB2312" w:eastAsia="仿宋_GB2312"/>
          <w:b w:val="0"/>
          <w:sz w:val="32"/>
        </w:rPr>
        <w:t>二、《收入决算表》</w:t>
      </w:r>
    </w:p>
    <w:p w14:paraId="4EDCAC9E">
      <w:pPr>
        <w:spacing w:line="240" w:lineRule="auto"/>
        <w:ind w:firstLine="640"/>
        <w:jc w:val="both"/>
      </w:pPr>
      <w:r>
        <w:rPr>
          <w:rFonts w:ascii="仿宋_GB2312" w:hAnsi="仿宋_GB2312" w:eastAsia="仿宋_GB2312"/>
          <w:b w:val="0"/>
          <w:sz w:val="32"/>
        </w:rPr>
        <w:t>三、《支出决算表》</w:t>
      </w:r>
    </w:p>
    <w:p w14:paraId="40AAABAA">
      <w:pPr>
        <w:spacing w:line="240" w:lineRule="auto"/>
        <w:ind w:firstLine="640"/>
        <w:jc w:val="both"/>
      </w:pPr>
      <w:r>
        <w:rPr>
          <w:rFonts w:ascii="仿宋_GB2312" w:hAnsi="仿宋_GB2312" w:eastAsia="仿宋_GB2312"/>
          <w:b w:val="0"/>
          <w:sz w:val="32"/>
        </w:rPr>
        <w:t>四、《财政拨款收入支出决算总表》</w:t>
      </w:r>
    </w:p>
    <w:p w14:paraId="38C985B1">
      <w:pPr>
        <w:spacing w:line="240" w:lineRule="auto"/>
        <w:ind w:firstLine="640"/>
        <w:jc w:val="both"/>
      </w:pPr>
      <w:r>
        <w:rPr>
          <w:rFonts w:ascii="仿宋_GB2312" w:hAnsi="仿宋_GB2312" w:eastAsia="仿宋_GB2312"/>
          <w:b w:val="0"/>
          <w:sz w:val="32"/>
        </w:rPr>
        <w:t>五、《一般公共预算财政拨款支出决算表》</w:t>
      </w:r>
    </w:p>
    <w:p w14:paraId="4C1D067B">
      <w:pPr>
        <w:spacing w:line="240" w:lineRule="auto"/>
        <w:ind w:firstLine="640"/>
        <w:jc w:val="both"/>
      </w:pPr>
      <w:r>
        <w:rPr>
          <w:rFonts w:ascii="仿宋_GB2312" w:hAnsi="仿宋_GB2312" w:eastAsia="仿宋_GB2312"/>
          <w:b w:val="0"/>
          <w:sz w:val="32"/>
        </w:rPr>
        <w:t>六、《一般公共预算财政拨款基本支出决算表》</w:t>
      </w:r>
    </w:p>
    <w:p w14:paraId="3965FDCD">
      <w:pPr>
        <w:spacing w:line="240" w:lineRule="auto"/>
        <w:ind w:firstLine="640"/>
        <w:jc w:val="both"/>
      </w:pPr>
      <w:r>
        <w:rPr>
          <w:rFonts w:ascii="仿宋_GB2312" w:hAnsi="仿宋_GB2312" w:eastAsia="仿宋_GB2312"/>
          <w:b w:val="0"/>
          <w:sz w:val="32"/>
        </w:rPr>
        <w:t>七、《政府性基金预算财政拨款收入支出决算表》</w:t>
      </w:r>
    </w:p>
    <w:p w14:paraId="69B2926F">
      <w:pPr>
        <w:spacing w:line="240" w:lineRule="auto"/>
        <w:ind w:firstLine="640"/>
        <w:jc w:val="both"/>
      </w:pPr>
      <w:r>
        <w:rPr>
          <w:rFonts w:ascii="仿宋_GB2312" w:hAnsi="仿宋_GB2312" w:eastAsia="仿宋_GB2312"/>
          <w:b w:val="0"/>
          <w:sz w:val="32"/>
        </w:rPr>
        <w:t>八、《国有资本经营预算财政拨款收入支出决算表》</w:t>
      </w:r>
    </w:p>
    <w:p w14:paraId="69B2DDEE">
      <w:pPr>
        <w:spacing w:line="240" w:lineRule="auto"/>
        <w:ind w:firstLine="640"/>
        <w:jc w:val="both"/>
      </w:pPr>
      <w:r>
        <w:rPr>
          <w:rFonts w:ascii="仿宋_GB2312" w:hAnsi="仿宋_GB2312" w:eastAsia="仿宋_GB2312"/>
          <w:b w:val="0"/>
          <w:sz w:val="32"/>
        </w:rPr>
        <w:t>九、《财政拨款“三公”经费支出决算表》</w:t>
      </w:r>
    </w:p>
    <w:p w14:paraId="05DC70B2">
      <w:pPr>
        <w:spacing w:line="240" w:lineRule="auto"/>
        <w:ind w:firstLine="640"/>
        <w:jc w:val="both"/>
      </w:pPr>
    </w:p>
    <w:p w14:paraId="282501A3">
      <w:pPr>
        <w:spacing w:line="240" w:lineRule="auto"/>
        <w:ind w:firstLine="640"/>
        <w:jc w:val="both"/>
      </w:pPr>
    </w:p>
    <w:p w14:paraId="4ED5CC8F">
      <w:pPr>
        <w:spacing w:line="240" w:lineRule="auto"/>
        <w:ind w:firstLine="640"/>
        <w:jc w:val="both"/>
      </w:pPr>
    </w:p>
    <w:p w14:paraId="4435F727">
      <w:pPr>
        <w:spacing w:line="240" w:lineRule="auto"/>
        <w:ind w:firstLine="640"/>
        <w:jc w:val="both"/>
      </w:pPr>
    </w:p>
    <w:p w14:paraId="66E9964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155E77-5E5F-46BB-A697-08BE455CB9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691F37B-586E-4BE5-B9C4-3B671A087C23}"/>
  </w:font>
  <w:font w:name="仿宋_GB2312">
    <w:altName w:val="仿宋"/>
    <w:panose1 w:val="02010609030101010101"/>
    <w:charset w:val="86"/>
    <w:family w:val="modern"/>
    <w:pitch w:val="default"/>
    <w:sig w:usb0="00000000" w:usb1="00000000" w:usb2="00000000" w:usb3="00000000" w:csb0="00040000" w:csb1="00000000"/>
    <w:embedRegular r:id="rId3" w:fontKey="{579C1997-90C3-40F8-B207-D273C19F172C}"/>
  </w:font>
  <w:font w:name="楷体_GB2312">
    <w:altName w:val="楷体"/>
    <w:panose1 w:val="00000000000000000000"/>
    <w:charset w:val="00"/>
    <w:family w:val="auto"/>
    <w:pitch w:val="default"/>
    <w:sig w:usb0="00000000" w:usb1="00000000" w:usb2="00000000" w:usb3="00000000" w:csb0="00000000" w:csb1="00000000"/>
    <w:embedRegular r:id="rId4" w:fontKey="{C131E3DB-9F19-4DCE-9B8A-0B45C0844A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3255D4"/>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741c7011-8dc0-4024-b4b4-86af87bcbeac</errorID>
      <errorWord>2月31日</errorWord>
      <group>L1_Sensitive</group>
      <groupName>敏感问题</groupName>
      <ability>L2_UserSensitive</ability>
      <abilityName>自定义敏感词</abilityName>
      <candidateList/>
      <explain>来自自定义敏感词库。</explain>
      <paraID>1EAA6A82</paraID>
      <start>8</start>
      <end>13</end>
      <status>ignored</status>
      <modifiedWord/>
      <trackRevisions>false</trackRevisions>
    </reviewItem>
    <reviewItem>
      <errorID>327a0d65-618c-41cc-bb8f-2b8e1d772ea7</errorID>
      <errorWord>民族</errorWord>
      <group>L1_Sensitive</group>
      <groupName>敏感问题</groupName>
      <ability>L2_UserSensitive</ability>
      <abilityName>自定义敏感词</abilityName>
      <candidateList/>
      <explain>来自自定义敏感词库。</explain>
      <paraID>51568084</paraID>
      <start>121</start>
      <end>123</end>
      <status>ignored</status>
      <modifiedWord/>
      <trackRevisions>false</trackRevisions>
    </reviewItem>
    <reviewItem>
      <errorID>af1f2303-856e-403b-806f-bffa54a27a7a</errorID>
      <errorWord>民族</errorWord>
      <group>L1_Sensitive</group>
      <groupName>敏感问题</groupName>
      <ability>L2_UserSensitive</ability>
      <abilityName>自定义敏感词</abilityName>
      <candidateList/>
      <explain>来自自定义敏感词库。</explain>
      <paraID>1D9D0649</paraID>
      <start>121</start>
      <end>123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3f5d2-25b4-4240-9323-11328ff373c2}">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4263</Words>
  <Characters>4867</Characters>
  <Lines>0</Lines>
  <Paragraphs>0</Paragraphs>
  <TotalTime>1</TotalTime>
  <ScaleCrop>false</ScaleCrop>
  <LinksUpToDate>false</LinksUpToDate>
  <CharactersWithSpaces>4875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2025-11-07T07:16:37Z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