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F285B">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A967BA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EF076E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4EA5E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B72FB8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62B0E0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裕民县库沙河生态治理工程工作站2024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497BED7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08FDC5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5435F5B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216A99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FE36EA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BC4E1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C6730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006EF3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E177F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16514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BAF1D0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300C68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BC5E83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954F5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2A34A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9B8DE5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856C4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F9CA2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F6D4F1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06E29D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3002E4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38330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1A2655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7EE37C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DA23CF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FF1FE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3F0AE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CCBD3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7EB1928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28FE50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36DDE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3ABE5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3F372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189C68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5E808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22F9A8">
      <w:r>
        <w:br w:type="page"/>
      </w:r>
    </w:p>
    <w:p w14:paraId="7F22EC14">
      <w:pPr>
        <w:spacing w:line="640" w:lineRule="exact"/>
        <w:jc w:val="center"/>
        <w:outlineLvl w:val="1"/>
      </w:pPr>
      <w:r>
        <w:rPr>
          <w:rFonts w:ascii="黑体" w:hAnsi="黑体" w:eastAsia="黑体"/>
          <w:sz w:val="32"/>
        </w:rPr>
        <w:t>第一部分 单位概况</w:t>
      </w:r>
    </w:p>
    <w:p w14:paraId="619839DE">
      <w:pPr>
        <w:spacing w:line="640" w:lineRule="exact"/>
        <w:ind w:firstLine="640"/>
        <w:jc w:val="both"/>
        <w:outlineLvl w:val="2"/>
      </w:pPr>
      <w:r>
        <w:rPr>
          <w:rFonts w:ascii="黑体" w:hAnsi="黑体" w:eastAsia="黑体"/>
          <w:sz w:val="32"/>
        </w:rPr>
        <w:t>一、主要职能</w:t>
      </w:r>
    </w:p>
    <w:p w14:paraId="3E61A755">
      <w:pPr>
        <w:spacing w:line="580" w:lineRule="exact"/>
        <w:ind w:firstLine="640"/>
        <w:jc w:val="both"/>
      </w:pPr>
      <w:r>
        <w:rPr>
          <w:rFonts w:ascii="仿宋_GB2312" w:hAnsi="仿宋_GB2312" w:eastAsia="仿宋_GB2312"/>
          <w:sz w:val="32"/>
        </w:rPr>
        <w:t>（一）负责全县生态环境建设规划立项、管理，制定建设项目实施细则，负责库沙河生态区规划、造林绿化、防沙治沙、护林防火、林业病虫害防治。</w:t>
      </w:r>
    </w:p>
    <w:p w14:paraId="1760F5E1">
      <w:pPr>
        <w:spacing w:line="580" w:lineRule="exact"/>
        <w:ind w:firstLine="640"/>
        <w:jc w:val="both"/>
      </w:pPr>
      <w:r>
        <w:rPr>
          <w:rFonts w:ascii="仿宋_GB2312" w:hAnsi="仿宋_GB2312" w:eastAsia="仿宋_GB2312"/>
          <w:sz w:val="32"/>
        </w:rPr>
        <w:t>（二）对生态区实施的项目进行监督和管理。</w:t>
      </w:r>
    </w:p>
    <w:p w14:paraId="031CA805">
      <w:pPr>
        <w:spacing w:line="580" w:lineRule="exact"/>
        <w:ind w:firstLine="640"/>
        <w:jc w:val="both"/>
      </w:pPr>
      <w:r>
        <w:rPr>
          <w:rFonts w:ascii="仿宋_GB2312" w:hAnsi="仿宋_GB2312" w:eastAsia="仿宋_GB2312"/>
          <w:sz w:val="32"/>
        </w:rPr>
        <w:t>（三）承办主管部门交办的其他事项。</w:t>
      </w:r>
    </w:p>
    <w:p w14:paraId="29510DD3">
      <w:pPr>
        <w:spacing w:line="640" w:lineRule="exact"/>
        <w:ind w:firstLine="640"/>
        <w:jc w:val="both"/>
        <w:outlineLvl w:val="2"/>
      </w:pPr>
      <w:r>
        <w:rPr>
          <w:rFonts w:ascii="黑体" w:hAnsi="黑体" w:eastAsia="黑体"/>
          <w:sz w:val="32"/>
        </w:rPr>
        <w:t>二、机构设置及人员情况</w:t>
      </w:r>
    </w:p>
    <w:p w14:paraId="60B2EA55">
      <w:pPr>
        <w:spacing w:line="580" w:lineRule="exact"/>
        <w:ind w:firstLine="640"/>
        <w:jc w:val="both"/>
      </w:pPr>
      <w:r>
        <w:rPr>
          <w:rFonts w:ascii="仿宋_GB2312" w:hAnsi="仿宋_GB2312" w:eastAsia="仿宋_GB2312"/>
          <w:sz w:val="32"/>
        </w:rPr>
        <w:t>裕民县库沙河生态治理工程工作站2024年度，实有人数2人，其中：在职人员1人，增加0人；离休人员0人，增加0人；退休人员1人,增加0人。</w:t>
      </w:r>
    </w:p>
    <w:p w14:paraId="231F4BE1">
      <w:pPr>
        <w:spacing w:line="580" w:lineRule="exact"/>
        <w:ind w:firstLine="640"/>
        <w:jc w:val="both"/>
      </w:pPr>
      <w:r>
        <w:rPr>
          <w:rFonts w:ascii="仿宋_GB2312" w:hAnsi="仿宋_GB2312" w:eastAsia="仿宋_GB2312"/>
          <w:sz w:val="32"/>
        </w:rPr>
        <w:t>裕民县库沙河生态治理工程工作站无下属预算单位，下设2个科室，分别是：办公室、财务室。</w:t>
      </w:r>
    </w:p>
    <w:p w14:paraId="79D9F2AD">
      <w:r>
        <w:br w:type="page"/>
      </w:r>
    </w:p>
    <w:p w14:paraId="13391994">
      <w:pPr>
        <w:spacing w:line="240" w:lineRule="auto"/>
        <w:jc w:val="center"/>
        <w:outlineLvl w:val="1"/>
      </w:pPr>
      <w:r>
        <w:rPr>
          <w:rFonts w:ascii="黑体" w:hAnsi="黑体" w:eastAsia="黑体"/>
          <w:sz w:val="32"/>
        </w:rPr>
        <w:t>第二部分 部门决算情况说明</w:t>
      </w:r>
    </w:p>
    <w:p w14:paraId="2D7CB512">
      <w:pPr>
        <w:spacing w:line="640" w:lineRule="exact"/>
        <w:ind w:firstLine="640"/>
        <w:jc w:val="both"/>
        <w:outlineLvl w:val="2"/>
      </w:pPr>
      <w:r>
        <w:rPr>
          <w:rFonts w:ascii="黑体" w:hAnsi="黑体" w:eastAsia="黑体"/>
          <w:sz w:val="32"/>
        </w:rPr>
        <w:t>一、收入支出决算总体情况说明</w:t>
      </w:r>
    </w:p>
    <w:p w14:paraId="133693DA">
      <w:pPr>
        <w:spacing w:line="580" w:lineRule="exact"/>
        <w:ind w:firstLine="640"/>
        <w:jc w:val="both"/>
      </w:pPr>
      <w:r>
        <w:rPr>
          <w:rFonts w:ascii="仿宋_GB2312" w:hAnsi="仿宋_GB2312" w:eastAsia="仿宋_GB2312"/>
          <w:b/>
          <w:sz w:val="32"/>
        </w:rPr>
        <w:t>2024年度收入总计32.67万元，</w:t>
      </w:r>
      <w:r>
        <w:rPr>
          <w:rFonts w:ascii="仿宋_GB2312" w:hAnsi="仿宋_GB2312" w:eastAsia="仿宋_GB2312"/>
          <w:b w:val="0"/>
          <w:sz w:val="32"/>
        </w:rPr>
        <w:t>其中：本年收入合计32.67万元，使用非财政拨款结余（含专用结余）0.00万元，年初结转和结余0.00万元。</w:t>
      </w:r>
    </w:p>
    <w:p w14:paraId="64756961">
      <w:pPr>
        <w:spacing w:line="580" w:lineRule="exact"/>
        <w:ind w:firstLine="640"/>
        <w:jc w:val="both"/>
      </w:pPr>
      <w:r>
        <w:rPr>
          <w:rFonts w:ascii="仿宋_GB2312" w:hAnsi="仿宋_GB2312" w:eastAsia="仿宋_GB2312"/>
          <w:b/>
          <w:sz w:val="32"/>
        </w:rPr>
        <w:t>2024年度支出总计32.67万元，</w:t>
      </w:r>
      <w:r>
        <w:rPr>
          <w:rFonts w:ascii="仿宋_GB2312" w:hAnsi="仿宋_GB2312" w:eastAsia="仿宋_GB2312"/>
          <w:b w:val="0"/>
          <w:sz w:val="32"/>
        </w:rPr>
        <w:t>其中：本年支出合计32.67万元，结余分配0.00万元，年末结转和结余0.00万元。</w:t>
      </w:r>
    </w:p>
    <w:p w14:paraId="0C6AFCA0">
      <w:pPr>
        <w:spacing w:line="580" w:lineRule="exact"/>
        <w:ind w:firstLine="640"/>
        <w:jc w:val="both"/>
      </w:pPr>
      <w:r>
        <w:rPr>
          <w:rFonts w:ascii="仿宋_GB2312" w:hAnsi="仿宋_GB2312" w:eastAsia="仿宋_GB2312"/>
          <w:b w:val="0"/>
          <w:sz w:val="32"/>
        </w:rPr>
        <w:t>收入支出总体与上年相比，增加1.35万元，增长4.31%，主要原因是：本年在职人员工资调增，社保、公积金基数调增，人员经费增加。</w:t>
      </w:r>
    </w:p>
    <w:p w14:paraId="7BCC4B92">
      <w:pPr>
        <w:spacing w:line="640" w:lineRule="exact"/>
        <w:ind w:firstLine="640"/>
        <w:jc w:val="both"/>
        <w:outlineLvl w:val="2"/>
      </w:pPr>
      <w:r>
        <w:rPr>
          <w:rFonts w:ascii="黑体" w:hAnsi="黑体" w:eastAsia="黑体"/>
          <w:sz w:val="32"/>
        </w:rPr>
        <w:t>二、收入决算情况说明</w:t>
      </w:r>
    </w:p>
    <w:p w14:paraId="2E0454DC">
      <w:pPr>
        <w:spacing w:line="580" w:lineRule="exact"/>
        <w:ind w:firstLine="640"/>
        <w:jc w:val="both"/>
      </w:pPr>
      <w:r>
        <w:rPr>
          <w:rFonts w:ascii="仿宋_GB2312" w:hAnsi="仿宋_GB2312" w:eastAsia="仿宋_GB2312"/>
          <w:b/>
          <w:sz w:val="32"/>
        </w:rPr>
        <w:t>本年收入32.67万元，</w:t>
      </w:r>
      <w:r>
        <w:rPr>
          <w:rFonts w:ascii="仿宋_GB2312" w:hAnsi="仿宋_GB2312" w:eastAsia="仿宋_GB2312"/>
          <w:b w:val="0"/>
          <w:sz w:val="32"/>
        </w:rPr>
        <w:t>其中：财政拨款收入32.67万元，占100.00%；上级补助收入0.00万元，占0.00%；事业收入0.00万元，占0.00%；经营收入0.00万元，占0.00%；附属单位上缴收入0.00万元，占0.00%；其他收入0.00万元，占0.00%。</w:t>
      </w:r>
    </w:p>
    <w:p w14:paraId="39D1479A">
      <w:pPr>
        <w:spacing w:line="640" w:lineRule="exact"/>
        <w:ind w:firstLine="640"/>
        <w:jc w:val="both"/>
        <w:outlineLvl w:val="2"/>
      </w:pPr>
      <w:r>
        <w:rPr>
          <w:rFonts w:ascii="黑体" w:hAnsi="黑体" w:eastAsia="黑体"/>
          <w:sz w:val="32"/>
        </w:rPr>
        <w:t>三、支出决算情况说明</w:t>
      </w:r>
    </w:p>
    <w:p w14:paraId="43C7D8D6">
      <w:pPr>
        <w:spacing w:line="580" w:lineRule="exact"/>
        <w:ind w:firstLine="640"/>
        <w:jc w:val="both"/>
      </w:pPr>
      <w:r>
        <w:rPr>
          <w:rFonts w:ascii="仿宋_GB2312" w:hAnsi="仿宋_GB2312" w:eastAsia="仿宋_GB2312"/>
          <w:b/>
          <w:sz w:val="32"/>
        </w:rPr>
        <w:t>本年支出32.67万元，</w:t>
      </w:r>
      <w:r>
        <w:rPr>
          <w:rFonts w:ascii="仿宋_GB2312" w:hAnsi="仿宋_GB2312" w:eastAsia="仿宋_GB2312"/>
          <w:b w:val="0"/>
          <w:sz w:val="32"/>
        </w:rPr>
        <w:t>其中：基本支出32.67万元，占100.00%；项目支出0.00万元，占0.00%；上缴上级支出0.00万元，占0.00%；经营支出0.00万元，占0.00%；对附属单位补助支出0.00万元，占0.00%。</w:t>
      </w:r>
    </w:p>
    <w:p w14:paraId="2F7E8EF6">
      <w:pPr>
        <w:spacing w:line="640" w:lineRule="exact"/>
        <w:ind w:firstLine="640"/>
        <w:jc w:val="both"/>
        <w:outlineLvl w:val="2"/>
      </w:pPr>
      <w:r>
        <w:rPr>
          <w:rFonts w:ascii="黑体" w:hAnsi="黑体" w:eastAsia="黑体"/>
          <w:sz w:val="32"/>
        </w:rPr>
        <w:t>四、财政拨款收入支出决算总体情况说明</w:t>
      </w:r>
    </w:p>
    <w:p w14:paraId="363B54EE">
      <w:pPr>
        <w:spacing w:line="580" w:lineRule="exact"/>
        <w:ind w:firstLine="640"/>
        <w:jc w:val="both"/>
      </w:pPr>
      <w:r>
        <w:rPr>
          <w:rFonts w:ascii="仿宋_GB2312" w:hAnsi="仿宋_GB2312" w:eastAsia="仿宋_GB2312"/>
          <w:b/>
          <w:sz w:val="32"/>
        </w:rPr>
        <w:t>2024年度财政拨款收入总计32.67万元，</w:t>
      </w:r>
      <w:r>
        <w:rPr>
          <w:rFonts w:ascii="仿宋_GB2312" w:hAnsi="仿宋_GB2312" w:eastAsia="仿宋_GB2312"/>
          <w:b w:val="0"/>
          <w:sz w:val="32"/>
        </w:rPr>
        <w:t>其中：年初财政拨款结转和结余0.00万元，本年财政拨款收入32.67万元。</w:t>
      </w:r>
      <w:r>
        <w:rPr>
          <w:rFonts w:ascii="仿宋_GB2312" w:hAnsi="仿宋_GB2312" w:eastAsia="仿宋_GB2312"/>
          <w:b/>
          <w:sz w:val="32"/>
        </w:rPr>
        <w:t>财政拨款支出总计32.67万元，</w:t>
      </w:r>
      <w:r>
        <w:rPr>
          <w:rFonts w:ascii="仿宋_GB2312" w:hAnsi="仿宋_GB2312" w:eastAsia="仿宋_GB2312"/>
          <w:b w:val="0"/>
          <w:sz w:val="32"/>
        </w:rPr>
        <w:t>其中：年末财政拨款结转和结余0.00万元，本年财政拨款支出32.67万元。</w:t>
      </w:r>
    </w:p>
    <w:p w14:paraId="76E61C2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增加1.35万元，增长4.31%，主要原因是：本年在职人员工资调增，社保、公积金基数调增，人员经费增加。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年初预算数43.41万元，决算数32.67万元，预决算差异率-24.74%，主要原因是：库沙河生态办公用经费项目年初纳入预算，</w:t>
      </w:r>
      <w:r>
        <w:rPr>
          <w:rFonts w:hint="eastAsia" w:ascii="仿宋_GB2312" w:hAnsi="仿宋_GB2312" w:eastAsia="仿宋_GB2312"/>
          <w:b w:val="0"/>
          <w:sz w:val="32"/>
          <w:lang w:val="en-US" w:eastAsia="zh-CN"/>
        </w:rPr>
        <w:t>年末</w:t>
      </w:r>
      <w:r>
        <w:rPr>
          <w:rFonts w:ascii="仿宋_GB2312" w:hAnsi="仿宋_GB2312" w:eastAsia="仿宋_GB2312"/>
          <w:b w:val="0"/>
          <w:sz w:val="32"/>
        </w:rPr>
        <w:t>未支出，导致预决算差异。</w:t>
      </w:r>
    </w:p>
    <w:p w14:paraId="76D3032A">
      <w:pPr>
        <w:spacing w:line="640" w:lineRule="exact"/>
        <w:ind w:firstLine="640"/>
        <w:jc w:val="both"/>
        <w:outlineLvl w:val="2"/>
      </w:pPr>
      <w:r>
        <w:rPr>
          <w:rFonts w:ascii="黑体" w:hAnsi="黑体" w:eastAsia="黑体"/>
          <w:sz w:val="32"/>
        </w:rPr>
        <w:t>五、一般公共预算财政拨款支出决算情况说明</w:t>
      </w:r>
    </w:p>
    <w:p w14:paraId="7F59EFB8">
      <w:pPr>
        <w:spacing w:line="640" w:lineRule="exact"/>
        <w:ind w:firstLine="640"/>
        <w:jc w:val="both"/>
        <w:outlineLvl w:val="3"/>
      </w:pPr>
      <w:r>
        <w:rPr>
          <w:rFonts w:ascii="楷体_GB2312" w:hAnsi="楷体_GB2312" w:eastAsia="楷体_GB2312"/>
          <w:b/>
          <w:sz w:val="32"/>
        </w:rPr>
        <w:t>（一）一般公共预算财政拨款支出决算总体情况</w:t>
      </w:r>
    </w:p>
    <w:p w14:paraId="4C6FB6E7">
      <w:pPr>
        <w:spacing w:line="580" w:lineRule="exact"/>
        <w:ind w:firstLine="640"/>
        <w:jc w:val="both"/>
      </w:pPr>
      <w:r>
        <w:rPr>
          <w:rFonts w:ascii="仿宋_GB2312" w:hAnsi="仿宋_GB2312" w:eastAsia="仿宋_GB2312"/>
          <w:b/>
          <w:sz w:val="32"/>
        </w:rPr>
        <w:t>2024年度一般公共预算财政拨款支出32.67万元，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增加1.35万元，增长4.31%，主要原因是：本年在职人员工资调增，社保、公积金基数调增，人员经费增加。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年初预算数43.41万元，决算数32.67万元，预决算差异率-24.74%，主要原因是：库沙河生态办公用经费项目年初纳入预算，</w:t>
      </w:r>
      <w:r>
        <w:rPr>
          <w:rFonts w:hint="eastAsia" w:ascii="仿宋_GB2312" w:hAnsi="仿宋_GB2312" w:eastAsia="仿宋_GB2312"/>
          <w:b w:val="0"/>
          <w:sz w:val="32"/>
          <w:lang w:val="en-US" w:eastAsia="zh-CN"/>
        </w:rPr>
        <w:t>年末</w:t>
      </w:r>
      <w:r>
        <w:rPr>
          <w:rFonts w:ascii="仿宋_GB2312" w:hAnsi="仿宋_GB2312" w:eastAsia="仿宋_GB2312"/>
          <w:b w:val="0"/>
          <w:sz w:val="32"/>
        </w:rPr>
        <w:t>未支出，导致预决算差异。</w:t>
      </w:r>
    </w:p>
    <w:p w14:paraId="784F5279">
      <w:pPr>
        <w:spacing w:line="640" w:lineRule="exact"/>
        <w:ind w:firstLine="640"/>
        <w:jc w:val="both"/>
        <w:outlineLvl w:val="3"/>
      </w:pPr>
      <w:r>
        <w:rPr>
          <w:rFonts w:ascii="楷体_GB2312" w:hAnsi="楷体_GB2312" w:eastAsia="楷体_GB2312"/>
          <w:b/>
          <w:sz w:val="32"/>
        </w:rPr>
        <w:t>（二）一般公共预算财政拨款支出决算结构情况</w:t>
      </w:r>
    </w:p>
    <w:p w14:paraId="29FB2ED5">
      <w:pPr>
        <w:spacing w:line="580" w:lineRule="exact"/>
        <w:ind w:firstLine="640"/>
        <w:jc w:val="both"/>
      </w:pPr>
      <w:r>
        <w:rPr>
          <w:rFonts w:ascii="仿宋_GB2312" w:hAnsi="仿宋_GB2312" w:eastAsia="仿宋_GB2312"/>
          <w:b w:val="0"/>
          <w:sz w:val="32"/>
        </w:rPr>
        <w:t>1.社会保障和就业支出(类)2.55万元,占7.81%。</w:t>
      </w:r>
    </w:p>
    <w:p w14:paraId="0B5DDB02">
      <w:pPr>
        <w:spacing w:line="580" w:lineRule="exact"/>
        <w:ind w:firstLine="640"/>
        <w:jc w:val="both"/>
      </w:pPr>
      <w:r>
        <w:rPr>
          <w:rFonts w:ascii="仿宋_GB2312" w:hAnsi="仿宋_GB2312" w:eastAsia="仿宋_GB2312"/>
          <w:b w:val="0"/>
          <w:sz w:val="32"/>
        </w:rPr>
        <w:t>2.卫生健康支出(类)0.94万元,占2.88%。</w:t>
      </w:r>
    </w:p>
    <w:p w14:paraId="3F9586A7">
      <w:pPr>
        <w:spacing w:line="580" w:lineRule="exact"/>
        <w:ind w:firstLine="640"/>
        <w:jc w:val="both"/>
      </w:pPr>
      <w:r>
        <w:rPr>
          <w:rFonts w:ascii="仿宋_GB2312" w:hAnsi="仿宋_GB2312" w:eastAsia="仿宋_GB2312"/>
          <w:b w:val="0"/>
          <w:sz w:val="32"/>
        </w:rPr>
        <w:t>3.节能环保支出(类)27.99万元,占85.67%。</w:t>
      </w:r>
    </w:p>
    <w:p w14:paraId="22A3B3DA">
      <w:pPr>
        <w:spacing w:line="580" w:lineRule="exact"/>
        <w:ind w:firstLine="640"/>
        <w:jc w:val="both"/>
      </w:pPr>
      <w:r>
        <w:rPr>
          <w:rFonts w:ascii="仿宋_GB2312" w:hAnsi="仿宋_GB2312" w:eastAsia="仿宋_GB2312"/>
          <w:b w:val="0"/>
          <w:sz w:val="32"/>
        </w:rPr>
        <w:t>4.住房保障支出(类)1.18万元,占3.61%。</w:t>
      </w:r>
    </w:p>
    <w:p w14:paraId="3E9CBE81">
      <w:pPr>
        <w:spacing w:line="640" w:lineRule="exact"/>
        <w:ind w:firstLine="640"/>
        <w:jc w:val="both"/>
        <w:outlineLvl w:val="3"/>
      </w:pPr>
      <w:r>
        <w:rPr>
          <w:rFonts w:ascii="楷体_GB2312" w:hAnsi="楷体_GB2312" w:eastAsia="楷体_GB2312"/>
          <w:b/>
          <w:sz w:val="32"/>
        </w:rPr>
        <w:t>（三）一般公共预算财政拨款支出决算具体情况</w:t>
      </w:r>
    </w:p>
    <w:p w14:paraId="752A6B3E">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1.社会保障和就业支出(类)行政事业单位养老支出(款)行政单位离退休(项):支出决算数为1.03万元，比上年决算增加0.18万元，增长21.18%,主要原因是：本年退休人员基础绩效奖较上年增加，故支出较上年增加。</w:t>
      </w:r>
    </w:p>
    <w:p w14:paraId="4464040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2.社会保障和就业支出(类)行政事业单位养老支出(款)机关事业单位基本养老保险缴费支出(项):支出决算数为1.52万元，比上年决算减少3.69万元，下降70.83%,主要原因是：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功能科目调整，聘用人员养老保险缴费调整至生态保护</w:t>
      </w:r>
      <w:r>
        <w:rPr>
          <w:rFonts w:hint="eastAsia" w:ascii="仿宋_GB2312" w:hAnsi="仿宋_GB2312" w:eastAsia="仿宋_GB2312"/>
          <w:b w:val="0"/>
          <w:sz w:val="32"/>
          <w:lang w:val="en-US" w:eastAsia="zh-CN"/>
        </w:rPr>
        <w:t>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其他工资福利支出</w:t>
      </w:r>
      <w:r>
        <w:rPr>
          <w:rFonts w:ascii="仿宋_GB2312" w:hAnsi="仿宋_GB2312" w:eastAsia="仿宋_GB2312"/>
          <w:b w:val="0"/>
          <w:sz w:val="32"/>
        </w:rPr>
        <w:t>列支，故支出较上年减少。</w:t>
      </w:r>
    </w:p>
    <w:p w14:paraId="51F9AE27">
      <w:pPr>
        <w:spacing w:line="580" w:lineRule="exact"/>
        <w:ind w:firstLine="640"/>
        <w:jc w:val="both"/>
      </w:pPr>
      <w:r>
        <w:rPr>
          <w:rFonts w:ascii="仿宋_GB2312" w:hAnsi="仿宋_GB2312" w:eastAsia="仿宋_GB2312"/>
          <w:b w:val="0"/>
          <w:sz w:val="32"/>
        </w:rPr>
        <w:t>3.卫生健康支出(类)行政事业单位医疗(款)行政单位医疗(项):支出决算数为0.64万元，比上年决算减少1.64万元，下降71.93%,主要原因是：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功能科目调整，聘用人员医疗缴费调整至生态保护</w:t>
      </w:r>
      <w:r>
        <w:rPr>
          <w:rFonts w:hint="eastAsia" w:ascii="仿宋_GB2312" w:hAnsi="仿宋_GB2312" w:eastAsia="仿宋_GB2312"/>
          <w:b w:val="0"/>
          <w:sz w:val="32"/>
          <w:lang w:val="en-US" w:eastAsia="zh-CN"/>
        </w:rPr>
        <w:t>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其他工资福利支出</w:t>
      </w:r>
      <w:r>
        <w:rPr>
          <w:rFonts w:ascii="仿宋_GB2312" w:hAnsi="仿宋_GB2312" w:eastAsia="仿宋_GB2312"/>
          <w:b w:val="0"/>
          <w:sz w:val="32"/>
        </w:rPr>
        <w:t>列支，故支出较上年减少。</w:t>
      </w:r>
    </w:p>
    <w:p w14:paraId="13E3F370">
      <w:pPr>
        <w:spacing w:line="580" w:lineRule="exact"/>
        <w:ind w:firstLine="640"/>
        <w:jc w:val="both"/>
      </w:pPr>
      <w:r>
        <w:rPr>
          <w:rFonts w:ascii="仿宋_GB2312" w:hAnsi="仿宋_GB2312" w:eastAsia="仿宋_GB2312"/>
          <w:b w:val="0"/>
          <w:sz w:val="32"/>
        </w:rPr>
        <w:t>4.卫生健康支出(类)行政事业单位医疗(款)公务员医疗补助(项):支出决算数为0.31万元，比上年决算增加0.04万元，增长14.81%,主要原因是：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在职人员工资基数调增，医疗缴费基数上涨，相应支出增加。</w:t>
      </w:r>
    </w:p>
    <w:p w14:paraId="66B2E76A">
      <w:pPr>
        <w:spacing w:line="580" w:lineRule="exact"/>
        <w:ind w:firstLine="640"/>
        <w:jc w:val="both"/>
      </w:pPr>
      <w:r>
        <w:rPr>
          <w:rFonts w:ascii="仿宋_GB2312" w:hAnsi="仿宋_GB2312" w:eastAsia="仿宋_GB2312"/>
          <w:b w:val="0"/>
          <w:sz w:val="32"/>
        </w:rPr>
        <w:t>5.节能环保支出(类)自然生态保护(款)生态保护(项):支出决算数为27.99万元，比上年决算增加6.30万元，增长29.05%,主要原因是：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功能科目调整，聘用人员</w:t>
      </w:r>
      <w:r>
        <w:rPr>
          <w:rFonts w:hint="eastAsia" w:ascii="仿宋_GB2312" w:hAnsi="仿宋_GB2312" w:eastAsia="仿宋_GB2312"/>
          <w:b w:val="0"/>
          <w:sz w:val="32"/>
          <w:lang w:val="en-US" w:eastAsia="zh-CN"/>
        </w:rPr>
        <w:t>养老缴费</w:t>
      </w:r>
      <w:r>
        <w:rPr>
          <w:rFonts w:ascii="仿宋_GB2312" w:hAnsi="仿宋_GB2312" w:eastAsia="仿宋_GB2312"/>
          <w:b w:val="0"/>
          <w:sz w:val="32"/>
        </w:rPr>
        <w:t>、医疗缴费上年在养老保险科目、行政单位医疗列支，本年调整至生态保护</w:t>
      </w:r>
      <w:r>
        <w:rPr>
          <w:rFonts w:hint="eastAsia" w:ascii="仿宋_GB2312" w:hAnsi="仿宋_GB2312" w:eastAsia="仿宋_GB2312"/>
          <w:b w:val="0"/>
          <w:sz w:val="32"/>
          <w:lang w:val="en-US" w:eastAsia="zh-CN"/>
        </w:rPr>
        <w:t>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其他工资福利支出</w:t>
      </w:r>
      <w:r>
        <w:rPr>
          <w:rFonts w:ascii="仿宋_GB2312" w:hAnsi="仿宋_GB2312" w:eastAsia="仿宋_GB2312"/>
          <w:b w:val="0"/>
          <w:sz w:val="32"/>
        </w:rPr>
        <w:t>列支，导致经费增加。</w:t>
      </w:r>
    </w:p>
    <w:p w14:paraId="4E44EE51">
      <w:pPr>
        <w:spacing w:line="580" w:lineRule="exact"/>
        <w:ind w:firstLine="640"/>
        <w:jc w:val="both"/>
      </w:pPr>
      <w:r>
        <w:rPr>
          <w:rFonts w:ascii="仿宋_GB2312" w:hAnsi="仿宋_GB2312" w:eastAsia="仿宋_GB2312"/>
          <w:b w:val="0"/>
          <w:sz w:val="32"/>
        </w:rPr>
        <w:t>6.住房保障支出(类)住房改革支出(款)住房公积金(项):支出决算数为1.18万元，比上年决算增加0.17万元，增长16.83%,主要原因是：本年在职人员工资基数调增，公积金缴费基数上涨，相应支出增加。</w:t>
      </w:r>
    </w:p>
    <w:p w14:paraId="45FBD164">
      <w:pPr>
        <w:spacing w:line="640" w:lineRule="exact"/>
        <w:ind w:firstLine="640"/>
        <w:jc w:val="both"/>
        <w:outlineLvl w:val="2"/>
      </w:pPr>
      <w:r>
        <w:rPr>
          <w:rFonts w:ascii="黑体" w:hAnsi="黑体" w:eastAsia="黑体"/>
          <w:sz w:val="32"/>
        </w:rPr>
        <w:t>六、一般公共预算财政拨款基本支出决算情况说明</w:t>
      </w:r>
    </w:p>
    <w:p w14:paraId="1F6D4892">
      <w:pPr>
        <w:spacing w:line="580" w:lineRule="exact"/>
        <w:ind w:firstLine="640"/>
        <w:jc w:val="both"/>
      </w:pPr>
      <w:r>
        <w:rPr>
          <w:rFonts w:ascii="仿宋_GB2312" w:hAnsi="仿宋_GB2312" w:eastAsia="仿宋_GB2312"/>
          <w:b w:val="0"/>
          <w:sz w:val="32"/>
        </w:rPr>
        <w:t>2024年度一般公共预算财政拨款基本支出32.67万元，其中：</w:t>
      </w:r>
      <w:r>
        <w:rPr>
          <w:rFonts w:ascii="仿宋_GB2312" w:hAnsi="仿宋_GB2312" w:eastAsia="仿宋_GB2312"/>
          <w:b/>
          <w:sz w:val="32"/>
        </w:rPr>
        <w:t>人员经费31.31万元，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包括：基本工资、津贴补贴、奖金、机关事业单位基本养老保险缴费、职工基本医疗保险缴费、公务员医疗补助缴费、其他社会保障缴费、住房公积金、其他工资福利支出、退休费、奖励金。</w:t>
      </w:r>
    </w:p>
    <w:p w14:paraId="061B199B">
      <w:pPr>
        <w:spacing w:line="580" w:lineRule="exact"/>
        <w:ind w:firstLine="640"/>
        <w:jc w:val="both"/>
      </w:pPr>
      <w:r>
        <w:rPr>
          <w:rFonts w:ascii="仿宋_GB2312" w:hAnsi="仿宋_GB2312" w:eastAsia="仿宋_GB2312"/>
          <w:b/>
          <w:sz w:val="32"/>
        </w:rPr>
        <w:t>公用经费1.35万元，</w:t>
      </w:r>
      <w:r>
        <w:rPr>
          <w:rFonts w:ascii="仿宋_GB2312" w:hAnsi="仿宋_GB2312" w:eastAsia="仿宋_GB2312"/>
          <w:b w:val="0"/>
          <w:sz w:val="32"/>
        </w:rPr>
        <w:t>包括：办公费、差旅费、工会经费。</w:t>
      </w:r>
    </w:p>
    <w:p w14:paraId="751684F1">
      <w:pPr>
        <w:spacing w:line="640" w:lineRule="exact"/>
        <w:ind w:firstLine="640"/>
        <w:jc w:val="both"/>
        <w:outlineLvl w:val="2"/>
      </w:pPr>
      <w:r>
        <w:rPr>
          <w:rFonts w:ascii="黑体" w:hAnsi="黑体" w:eastAsia="黑体"/>
          <w:sz w:val="32"/>
        </w:rPr>
        <w:t>七、政府性基金预算财政拨款收入支出决算情况说明</w:t>
      </w:r>
    </w:p>
    <w:p w14:paraId="34F4A42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EE7AA20">
      <w:pPr>
        <w:spacing w:line="640" w:lineRule="exact"/>
        <w:ind w:firstLine="640"/>
        <w:jc w:val="both"/>
        <w:outlineLvl w:val="2"/>
      </w:pPr>
      <w:r>
        <w:rPr>
          <w:rFonts w:ascii="黑体" w:hAnsi="黑体" w:eastAsia="黑体"/>
          <w:sz w:val="32"/>
        </w:rPr>
        <w:t>八、国有资本经营预算财政拨款收入支出决算情况说明</w:t>
      </w:r>
    </w:p>
    <w:p w14:paraId="51DDDB6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4FF63C">
      <w:pPr>
        <w:spacing w:line="640" w:lineRule="exact"/>
        <w:ind w:firstLine="640"/>
        <w:jc w:val="both"/>
        <w:outlineLvl w:val="2"/>
      </w:pPr>
      <w:r>
        <w:rPr>
          <w:rFonts w:ascii="黑体" w:hAnsi="黑体" w:eastAsia="黑体"/>
          <w:sz w:val="32"/>
        </w:rPr>
        <w:t>九、财政拨款“三公”经费支出决算情况说明</w:t>
      </w:r>
    </w:p>
    <w:p w14:paraId="62005C9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46B2D0B">
      <w:pPr>
        <w:spacing w:line="580" w:lineRule="exact"/>
        <w:ind w:firstLine="640"/>
        <w:jc w:val="both"/>
      </w:pPr>
      <w:r>
        <w:rPr>
          <w:rFonts w:ascii="仿宋_GB2312" w:hAnsi="仿宋_GB2312" w:eastAsia="仿宋_GB2312"/>
          <w:b/>
          <w:sz w:val="32"/>
        </w:rPr>
        <w:t>具体情况如下：</w:t>
      </w:r>
    </w:p>
    <w:p w14:paraId="483475B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AC380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60AB117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F4C6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8C92A2">
      <w:pPr>
        <w:spacing w:line="640" w:lineRule="exact"/>
        <w:ind w:firstLine="640"/>
        <w:jc w:val="both"/>
        <w:outlineLvl w:val="2"/>
      </w:pPr>
      <w:r>
        <w:rPr>
          <w:rFonts w:ascii="黑体" w:hAnsi="黑体" w:eastAsia="黑体"/>
          <w:sz w:val="32"/>
        </w:rPr>
        <w:t>十、其他重要事项的情况说明</w:t>
      </w:r>
    </w:p>
    <w:p w14:paraId="03A45165">
      <w:pPr>
        <w:spacing w:line="640" w:lineRule="exact"/>
        <w:ind w:firstLine="640"/>
        <w:jc w:val="both"/>
        <w:outlineLvl w:val="3"/>
      </w:pPr>
      <w:r>
        <w:rPr>
          <w:rFonts w:ascii="楷体_GB2312" w:hAnsi="楷体_GB2312" w:eastAsia="楷体_GB2312"/>
          <w:b/>
          <w:sz w:val="32"/>
        </w:rPr>
        <w:t>（一）机关运行经费及公用经费支出情况</w:t>
      </w:r>
    </w:p>
    <w:p w14:paraId="6BF70E21">
      <w:pPr>
        <w:spacing w:line="580" w:lineRule="exact"/>
        <w:ind w:firstLine="640"/>
        <w:jc w:val="both"/>
      </w:pPr>
      <w:r>
        <w:rPr>
          <w:rFonts w:ascii="仿宋_GB2312" w:hAnsi="仿宋_GB2312" w:eastAsia="仿宋_GB2312"/>
          <w:b w:val="0"/>
          <w:sz w:val="32"/>
        </w:rPr>
        <w:t>2024年度裕民县库沙河生态治理工程工作站（行政单位和参照公务员法管理事业单位）机关运行经费支出1.35万元，比上年增加0.22万元，增长19.47%，主要原因是：本年差旅费、办公费支出较上年增加。</w:t>
      </w:r>
    </w:p>
    <w:p w14:paraId="03C1845B">
      <w:pPr>
        <w:spacing w:line="640" w:lineRule="exact"/>
        <w:ind w:firstLine="640"/>
        <w:jc w:val="both"/>
        <w:outlineLvl w:val="3"/>
      </w:pPr>
      <w:r>
        <w:rPr>
          <w:rFonts w:ascii="楷体_GB2312" w:hAnsi="楷体_GB2312" w:eastAsia="楷体_GB2312"/>
          <w:b/>
          <w:sz w:val="32"/>
        </w:rPr>
        <w:t>（二）政府采购情况</w:t>
      </w:r>
    </w:p>
    <w:p w14:paraId="236F765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38C917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5792691">
      <w:pPr>
        <w:spacing w:line="640" w:lineRule="exact"/>
        <w:ind w:firstLine="640"/>
        <w:jc w:val="both"/>
        <w:outlineLvl w:val="3"/>
      </w:pPr>
      <w:r>
        <w:rPr>
          <w:rFonts w:ascii="楷体_GB2312" w:hAnsi="楷体_GB2312" w:eastAsia="楷体_GB2312"/>
          <w:b/>
          <w:sz w:val="32"/>
        </w:rPr>
        <w:t>（三）国有资产占用情况说明</w:t>
      </w:r>
    </w:p>
    <w:p w14:paraId="131BE1A7">
      <w:pPr>
        <w:spacing w:line="580" w:lineRule="exact"/>
        <w:ind w:firstLine="640"/>
        <w:jc w:val="both"/>
      </w:pPr>
      <w:r>
        <w:rPr>
          <w:rFonts w:ascii="仿宋_GB2312" w:hAnsi="仿宋_GB2312" w:eastAsia="仿宋_GB2312"/>
          <w:b w:val="0"/>
          <w:sz w:val="32"/>
        </w:rPr>
        <w:t>截至2024年12月31日，房屋45.00平方米，价值2.90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9BB5619">
      <w:pPr>
        <w:spacing w:line="640" w:lineRule="exact"/>
        <w:ind w:firstLine="640"/>
        <w:jc w:val="both"/>
        <w:outlineLvl w:val="2"/>
      </w:pPr>
      <w:r>
        <w:rPr>
          <w:rFonts w:ascii="黑体" w:hAnsi="黑体" w:eastAsia="黑体"/>
          <w:sz w:val="32"/>
        </w:rPr>
        <w:t>十一、预算绩效的情况说明</w:t>
      </w:r>
    </w:p>
    <w:p w14:paraId="22FD6D6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32.67万元，实际执行总额32.67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59EB339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0082BF8">
        <w:tblPrEx>
          <w:tblCellMar>
            <w:top w:w="0" w:type="dxa"/>
            <w:left w:w="108" w:type="dxa"/>
            <w:bottom w:w="0" w:type="dxa"/>
            <w:right w:w="108" w:type="dxa"/>
          </w:tblCellMar>
        </w:tblPrEx>
        <w:tc>
          <w:tcPr>
            <w:tcW w:w="8840" w:type="dxa"/>
            <w:gridSpan w:val="8"/>
            <w:vAlign w:val="center"/>
          </w:tcPr>
          <w:p w14:paraId="234600AE">
            <w:pPr>
              <w:jc w:val="center"/>
            </w:pPr>
            <w:r>
              <w:rPr>
                <w:rFonts w:ascii="宋体" w:hAnsi="宋体" w:eastAsia="宋体"/>
                <w:sz w:val="24"/>
              </w:rPr>
              <w:t>单位整体支出绩效自评表</w:t>
            </w:r>
          </w:p>
        </w:tc>
      </w:tr>
      <w:tr w14:paraId="7B8E4565">
        <w:tblPrEx>
          <w:tblCellMar>
            <w:top w:w="0" w:type="dxa"/>
            <w:left w:w="108" w:type="dxa"/>
            <w:bottom w:w="0" w:type="dxa"/>
            <w:right w:w="108" w:type="dxa"/>
          </w:tblCellMar>
        </w:tblPrEx>
        <w:tc>
          <w:tcPr>
            <w:tcW w:w="8840" w:type="dxa"/>
            <w:gridSpan w:val="8"/>
            <w:vAlign w:val="center"/>
          </w:tcPr>
          <w:p w14:paraId="021F7805">
            <w:pPr>
              <w:jc w:val="center"/>
            </w:pPr>
            <w:r>
              <w:rPr>
                <w:rFonts w:ascii="宋体" w:hAnsi="宋体" w:eastAsia="宋体"/>
                <w:sz w:val="24"/>
              </w:rPr>
              <w:t>（2024年度）</w:t>
            </w:r>
          </w:p>
        </w:tc>
      </w:tr>
      <w:tr w14:paraId="684C0BB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7E32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5AF65">
            <w:pPr>
              <w:jc w:val="center"/>
            </w:pPr>
            <w:r>
              <w:rPr>
                <w:rFonts w:ascii="宋体" w:hAnsi="宋体" w:eastAsia="宋体"/>
                <w:sz w:val="16"/>
              </w:rPr>
              <w:t>裕民县库沙河生态治理工程工作站</w:t>
            </w:r>
          </w:p>
        </w:tc>
      </w:tr>
      <w:tr w14:paraId="5B97B9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6EC3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71EC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F765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7D06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435A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14B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C8A5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33ED4">
            <w:pPr>
              <w:jc w:val="center"/>
            </w:pPr>
            <w:r>
              <w:rPr>
                <w:rFonts w:ascii="宋体" w:hAnsi="宋体" w:eastAsia="宋体"/>
                <w:sz w:val="16"/>
              </w:rPr>
              <w:t>得分</w:t>
            </w:r>
          </w:p>
        </w:tc>
      </w:tr>
      <w:tr w14:paraId="7784A2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D6AC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B56A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DC08F">
            <w:pPr>
              <w:jc w:val="center"/>
            </w:pPr>
            <w:r>
              <w:rPr>
                <w:rFonts w:ascii="宋体" w:hAnsi="宋体" w:eastAsia="宋体"/>
                <w:sz w:val="16"/>
              </w:rPr>
              <w:t>43.41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1608A">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EB89B">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16E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49E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8F1C6">
            <w:pPr>
              <w:jc w:val="center"/>
            </w:pPr>
            <w:r>
              <w:rPr>
                <w:rFonts w:ascii="宋体" w:hAnsi="宋体" w:eastAsia="宋体"/>
                <w:sz w:val="16"/>
              </w:rPr>
              <w:t>10</w:t>
            </w:r>
          </w:p>
        </w:tc>
      </w:tr>
      <w:tr w14:paraId="4BE701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881B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8DC2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6ABF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253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44A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B51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785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BE81F">
            <w:pPr>
              <w:jc w:val="center"/>
            </w:pPr>
            <w:r>
              <w:rPr>
                <w:rFonts w:ascii="宋体" w:hAnsi="宋体" w:eastAsia="宋体"/>
                <w:sz w:val="16"/>
              </w:rPr>
              <w:t>-</w:t>
            </w:r>
          </w:p>
        </w:tc>
      </w:tr>
      <w:tr w14:paraId="7CDDFF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C14E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E3C8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A3852">
            <w:pPr>
              <w:jc w:val="center"/>
            </w:pPr>
            <w:r>
              <w:rPr>
                <w:rFonts w:ascii="宋体" w:hAnsi="宋体" w:eastAsia="宋体"/>
                <w:sz w:val="16"/>
              </w:rPr>
              <w:t>43.41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7FD09">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595D4">
            <w:pPr>
              <w:jc w:val="center"/>
            </w:pPr>
            <w:r>
              <w:rPr>
                <w:rFonts w:ascii="宋体" w:hAnsi="宋体" w:eastAsia="宋体"/>
                <w:sz w:val="16"/>
              </w:rPr>
              <w:t>32.67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FCD7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534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89583">
            <w:pPr>
              <w:jc w:val="center"/>
            </w:pPr>
            <w:r>
              <w:rPr>
                <w:rFonts w:ascii="宋体" w:hAnsi="宋体" w:eastAsia="宋体"/>
                <w:sz w:val="16"/>
              </w:rPr>
              <w:t>-</w:t>
            </w:r>
          </w:p>
        </w:tc>
      </w:tr>
      <w:tr w14:paraId="60609C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39A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5AF6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058F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4AF3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204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6E3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586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55230">
            <w:pPr>
              <w:jc w:val="center"/>
            </w:pPr>
            <w:r>
              <w:rPr>
                <w:rFonts w:ascii="宋体" w:hAnsi="宋体" w:eastAsia="宋体"/>
                <w:sz w:val="16"/>
              </w:rPr>
              <w:t>-</w:t>
            </w:r>
          </w:p>
        </w:tc>
      </w:tr>
      <w:tr w14:paraId="165BE80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BF70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EA4A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375103">
            <w:pPr>
              <w:jc w:val="center"/>
            </w:pPr>
            <w:r>
              <w:rPr>
                <w:rFonts w:ascii="宋体" w:hAnsi="宋体" w:eastAsia="宋体"/>
                <w:sz w:val="16"/>
              </w:rPr>
              <w:t>实际完成情况</w:t>
            </w:r>
          </w:p>
        </w:tc>
      </w:tr>
      <w:tr w14:paraId="29D5C5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7DE6E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9C9E2D">
            <w:pPr>
              <w:jc w:val="both"/>
            </w:pPr>
            <w:r>
              <w:rPr>
                <w:rFonts w:ascii="宋体" w:hAnsi="宋体" w:eastAsia="宋体"/>
                <w:sz w:val="16"/>
              </w:rPr>
              <w:t>加强重点点位日常监督工作，做到严格管理护林员并签订责任书，将生态区眼井均匀分配给护林员管理；确保病虫害防治工作落到实处，加强对林业有害生物预报、监测、防治力度，避免因树叶被虫吃空造成树木死亡的现象；保障生态区林带防火巡逻工作不出问题，为了加大防火宣传力度，安排专职人员进行每天巡查，发放《生态区防火通知》，安排人员巡查，有效</w:t>
            </w:r>
            <w:r>
              <w:rPr>
                <w:rFonts w:hint="eastAsia" w:ascii="宋体" w:hAnsi="宋体"/>
                <w:sz w:val="16"/>
                <w:lang w:eastAsia="zh-CN"/>
              </w:rPr>
              <w:t>防止</w:t>
            </w:r>
            <w:r>
              <w:rPr>
                <w:rFonts w:ascii="宋体" w:hAnsi="宋体" w:eastAsia="宋体"/>
                <w:sz w:val="16"/>
              </w:rPr>
              <w:t>火灾的发生；加强环境卫生管理，</w:t>
            </w:r>
            <w:r>
              <w:rPr>
                <w:rFonts w:hint="eastAsia" w:ascii="宋体" w:hAnsi="宋体"/>
                <w:sz w:val="16"/>
                <w:lang w:eastAsia="zh-CN"/>
              </w:rPr>
              <w:t>促进</w:t>
            </w:r>
            <w:r>
              <w:rPr>
                <w:rFonts w:ascii="宋体" w:hAnsi="宋体" w:eastAsia="宋体"/>
                <w:sz w:val="16"/>
              </w:rPr>
              <w:t>环境卫生整体水平不断提高。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DA86E3">
            <w:pPr>
              <w:jc w:val="both"/>
            </w:pPr>
            <w:r>
              <w:rPr>
                <w:rFonts w:ascii="宋体" w:hAnsi="宋体" w:eastAsia="宋体"/>
                <w:sz w:val="16"/>
              </w:rPr>
              <w:t>加强重点点位日常监督工作，做到严格管理，与护林员签订责任书3份，将生态区眼井均匀分配给护林员管理，完成管护面积5700亩；确保病虫害防治工作落到实处，加强对林业有害生物预报、监测、防治力度，开展林业有害生物测报5次，避免因树叶被虫吃空造成树木死亡的现象；保障生态区林带防火巡逻工作不出问题，为了加大防火宣传力度，安排专职人员进行每天巡查，清理风滚草面积150亩，发放《生态区防火通知》15份，安排人员巡查，有效</w:t>
            </w:r>
            <w:r>
              <w:rPr>
                <w:rFonts w:hint="eastAsia" w:ascii="宋体" w:hAnsi="宋体"/>
                <w:sz w:val="16"/>
                <w:lang w:eastAsia="zh-CN"/>
              </w:rPr>
              <w:t>防止</w:t>
            </w:r>
            <w:r>
              <w:rPr>
                <w:rFonts w:ascii="宋体" w:hAnsi="宋体" w:eastAsia="宋体"/>
                <w:sz w:val="16"/>
              </w:rPr>
              <w:t>火灾的发生；加强环境卫生管理，开展垃圾清理10次，</w:t>
            </w:r>
            <w:r>
              <w:rPr>
                <w:rFonts w:hint="eastAsia" w:ascii="宋体" w:hAnsi="宋体"/>
                <w:sz w:val="16"/>
                <w:lang w:eastAsia="zh-CN"/>
              </w:rPr>
              <w:t>促进</w:t>
            </w:r>
            <w:r>
              <w:rPr>
                <w:rFonts w:ascii="宋体" w:hAnsi="宋体" w:eastAsia="宋体"/>
                <w:sz w:val="16"/>
              </w:rPr>
              <w:t>环境卫生整体水平不断提高。</w:t>
            </w:r>
          </w:p>
        </w:tc>
      </w:tr>
      <w:tr w14:paraId="77FA652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9D7C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695E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DF55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F0BF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CB89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64AF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BB32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AAC6B">
            <w:pPr>
              <w:jc w:val="center"/>
            </w:pPr>
            <w:r>
              <w:rPr>
                <w:rFonts w:ascii="宋体" w:hAnsi="宋体" w:eastAsia="宋体"/>
                <w:sz w:val="16"/>
              </w:rPr>
              <w:t>得分</w:t>
            </w:r>
          </w:p>
        </w:tc>
      </w:tr>
      <w:tr w14:paraId="652020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DEB14">
            <w:pPr>
              <w:jc w:val="center"/>
            </w:pPr>
            <w:bookmarkStart w:id="0" w:name="_GoBack" w:colFirst="4" w:colLast="4"/>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CDD7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2F673">
            <w:pPr>
              <w:jc w:val="center"/>
            </w:pPr>
            <w:r>
              <w:rPr>
                <w:rFonts w:ascii="宋体" w:hAnsi="宋体" w:eastAsia="宋体"/>
                <w:sz w:val="16"/>
              </w:rPr>
              <w:t>签订护林员责任书份数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333F6">
            <w:pPr>
              <w:jc w:val="center"/>
            </w:pPr>
            <w:r>
              <w:rPr>
                <w:rFonts w:ascii="宋体" w:hAnsi="宋体" w:eastAsia="宋体"/>
                <w:sz w:val="16"/>
              </w:rPr>
              <w:t>&gt;=3份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602A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916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24ED1">
            <w:pPr>
              <w:jc w:val="center"/>
            </w:pPr>
            <w:r>
              <w:rPr>
                <w:rFonts w:ascii="宋体" w:hAnsi="宋体" w:eastAsia="宋体"/>
                <w:sz w:val="16"/>
              </w:rPr>
              <w:t>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D65A6">
            <w:pPr>
              <w:jc w:val="center"/>
            </w:pPr>
            <w:r>
              <w:rPr>
                <w:rFonts w:ascii="宋体" w:hAnsi="宋体" w:eastAsia="宋体"/>
                <w:sz w:val="16"/>
              </w:rPr>
              <w:t>15</w:t>
            </w:r>
          </w:p>
        </w:tc>
      </w:tr>
      <w:tr w14:paraId="52F4F1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07B72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5428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6CEA2">
            <w:pPr>
              <w:jc w:val="center"/>
            </w:pPr>
            <w:r>
              <w:rPr>
                <w:rFonts w:ascii="宋体" w:hAnsi="宋体" w:eastAsia="宋体"/>
                <w:sz w:val="16"/>
              </w:rPr>
              <w:t>发放《生态区防火通知》份数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63B8C">
            <w:pPr>
              <w:jc w:val="center"/>
            </w:pPr>
            <w:r>
              <w:rPr>
                <w:rFonts w:ascii="宋体" w:hAnsi="宋体" w:eastAsia="宋体"/>
                <w:sz w:val="16"/>
              </w:rPr>
              <w:t>&gt;=15份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45FA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D661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EAF37">
            <w:pPr>
              <w:jc w:val="center"/>
            </w:pPr>
            <w:r>
              <w:rPr>
                <w:rFonts w:ascii="宋体" w:hAnsi="宋体" w:eastAsia="宋体"/>
                <w:sz w:val="16"/>
              </w:rPr>
              <w:t>15份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F94B6">
            <w:pPr>
              <w:jc w:val="center"/>
            </w:pPr>
            <w:r>
              <w:rPr>
                <w:rFonts w:ascii="宋体" w:hAnsi="宋体" w:eastAsia="宋体"/>
                <w:sz w:val="16"/>
              </w:rPr>
              <w:t>15</w:t>
            </w:r>
          </w:p>
        </w:tc>
      </w:tr>
      <w:tr w14:paraId="540E7A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A6C1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3EC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F71C1">
            <w:pPr>
              <w:jc w:val="center"/>
            </w:pPr>
            <w:r>
              <w:rPr>
                <w:rFonts w:ascii="宋体" w:hAnsi="宋体" w:eastAsia="宋体"/>
                <w:sz w:val="16"/>
              </w:rPr>
              <w:t>清理风滚草面积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AE45E">
            <w:pPr>
              <w:jc w:val="center"/>
            </w:pPr>
            <w:r>
              <w:rPr>
                <w:rFonts w:ascii="宋体" w:hAnsi="宋体" w:eastAsia="宋体"/>
                <w:sz w:val="16"/>
              </w:rPr>
              <w:t>&gt;=150亩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F9A1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578D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A423E">
            <w:pPr>
              <w:jc w:val="center"/>
            </w:pPr>
            <w:r>
              <w:rPr>
                <w:rFonts w:ascii="宋体" w:hAnsi="宋体" w:eastAsia="宋体"/>
                <w:sz w:val="16"/>
              </w:rPr>
              <w:t>150亩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5C68C">
            <w:pPr>
              <w:jc w:val="center"/>
            </w:pPr>
            <w:r>
              <w:rPr>
                <w:rFonts w:ascii="宋体" w:hAnsi="宋体" w:eastAsia="宋体"/>
                <w:sz w:val="16"/>
              </w:rPr>
              <w:t>15</w:t>
            </w:r>
          </w:p>
        </w:tc>
      </w:tr>
      <w:tr w14:paraId="63C047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6635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68AB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F232D">
            <w:pPr>
              <w:jc w:val="center"/>
            </w:pPr>
            <w:r>
              <w:rPr>
                <w:rFonts w:ascii="宋体" w:hAnsi="宋体" w:eastAsia="宋体"/>
                <w:sz w:val="16"/>
              </w:rPr>
              <w:t>管护林带面积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B7685">
            <w:pPr>
              <w:jc w:val="center"/>
            </w:pPr>
            <w:r>
              <w:rPr>
                <w:rFonts w:ascii="宋体" w:hAnsi="宋体" w:eastAsia="宋体"/>
                <w:sz w:val="16"/>
              </w:rPr>
              <w:t>&gt;=5700亩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91BD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EC45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C7BCE">
            <w:pPr>
              <w:jc w:val="center"/>
            </w:pPr>
            <w:r>
              <w:rPr>
                <w:rFonts w:ascii="宋体" w:hAnsi="宋体" w:eastAsia="宋体"/>
                <w:sz w:val="16"/>
              </w:rPr>
              <w:t>5700亩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79921">
            <w:pPr>
              <w:jc w:val="center"/>
            </w:pPr>
            <w:r>
              <w:rPr>
                <w:rFonts w:ascii="宋体" w:hAnsi="宋体" w:eastAsia="宋体"/>
                <w:sz w:val="16"/>
              </w:rPr>
              <w:t>15</w:t>
            </w:r>
          </w:p>
        </w:tc>
      </w:tr>
      <w:tr w14:paraId="4FF451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B657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A6C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32AB8">
            <w:pPr>
              <w:jc w:val="center"/>
            </w:pPr>
            <w:r>
              <w:rPr>
                <w:rFonts w:ascii="宋体" w:hAnsi="宋体" w:eastAsia="宋体"/>
                <w:sz w:val="16"/>
              </w:rPr>
              <w:t>林业有害生物测报次数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E2823">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DED1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A14A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1A686">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0DF6C">
            <w:pPr>
              <w:jc w:val="center"/>
            </w:pPr>
            <w:r>
              <w:rPr>
                <w:rFonts w:ascii="宋体" w:hAnsi="宋体" w:eastAsia="宋体"/>
                <w:sz w:val="16"/>
              </w:rPr>
              <w:t>15</w:t>
            </w:r>
          </w:p>
        </w:tc>
      </w:tr>
      <w:tr w14:paraId="483CE9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8BD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CE0E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62BCF">
            <w:pPr>
              <w:jc w:val="center"/>
            </w:pPr>
            <w:r>
              <w:rPr>
                <w:rFonts w:ascii="宋体" w:hAnsi="宋体" w:eastAsia="宋体"/>
                <w:sz w:val="16"/>
              </w:rPr>
              <w:t>清理林带垃圾次数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585DC">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2950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4343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CFAE1">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C105B">
            <w:pPr>
              <w:jc w:val="center"/>
            </w:pPr>
            <w:r>
              <w:rPr>
                <w:rFonts w:ascii="宋体" w:hAnsi="宋体" w:eastAsia="宋体"/>
                <w:sz w:val="16"/>
              </w:rPr>
              <w:t>15</w:t>
            </w:r>
          </w:p>
        </w:tc>
      </w:tr>
      <w:bookmarkEnd w:id="0"/>
    </w:tbl>
    <w:p w14:paraId="6B6FDF37">
      <w:r>
        <w:br w:type="page"/>
      </w:r>
    </w:p>
    <w:p w14:paraId="0BE6FCF4">
      <w:pPr>
        <w:spacing w:line="640" w:lineRule="exact"/>
        <w:ind w:firstLine="640"/>
        <w:jc w:val="both"/>
        <w:outlineLvl w:val="2"/>
      </w:pPr>
      <w:r>
        <w:rPr>
          <w:rFonts w:ascii="黑体" w:hAnsi="黑体" w:eastAsia="黑体"/>
          <w:sz w:val="32"/>
        </w:rPr>
        <w:t>十二、其他需说明的事项</w:t>
      </w:r>
    </w:p>
    <w:p w14:paraId="1E29FE49">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C6A9577">
      <w:r>
        <w:br w:type="page"/>
      </w:r>
    </w:p>
    <w:p w14:paraId="1C9335B9">
      <w:pPr>
        <w:spacing w:line="240" w:lineRule="auto"/>
        <w:jc w:val="center"/>
        <w:outlineLvl w:val="1"/>
      </w:pPr>
      <w:r>
        <w:rPr>
          <w:rFonts w:ascii="黑体" w:hAnsi="黑体" w:eastAsia="黑体"/>
          <w:sz w:val="32"/>
        </w:rPr>
        <w:t>第三部分 专业名词解释</w:t>
      </w:r>
    </w:p>
    <w:p w14:paraId="675B702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5107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862D4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D57D7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860C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9C923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9AA22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B342D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74C58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8E96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C82CD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32A73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82569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7CC2F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EC44FC">
      <w:r>
        <w:br w:type="page"/>
      </w:r>
    </w:p>
    <w:p w14:paraId="3E9EDEAA">
      <w:pPr>
        <w:spacing w:line="240" w:lineRule="auto"/>
        <w:jc w:val="center"/>
        <w:outlineLvl w:val="1"/>
      </w:pPr>
      <w:r>
        <w:rPr>
          <w:rFonts w:ascii="黑体" w:hAnsi="黑体" w:eastAsia="黑体"/>
          <w:sz w:val="32"/>
        </w:rPr>
        <w:t>第四部分 部门决算报表（见附表）</w:t>
      </w:r>
    </w:p>
    <w:p w14:paraId="3A98A4A5">
      <w:pPr>
        <w:spacing w:line="240" w:lineRule="auto"/>
        <w:ind w:firstLine="640"/>
        <w:jc w:val="both"/>
      </w:pPr>
      <w:r>
        <w:rPr>
          <w:rFonts w:ascii="仿宋_GB2312" w:hAnsi="仿宋_GB2312" w:eastAsia="仿宋_GB2312"/>
          <w:b w:val="0"/>
          <w:sz w:val="32"/>
        </w:rPr>
        <w:t>一、《收入支出决算总表》</w:t>
      </w:r>
    </w:p>
    <w:p w14:paraId="5D898FDE">
      <w:pPr>
        <w:spacing w:line="240" w:lineRule="auto"/>
        <w:ind w:firstLine="640"/>
        <w:jc w:val="both"/>
      </w:pPr>
      <w:r>
        <w:rPr>
          <w:rFonts w:ascii="仿宋_GB2312" w:hAnsi="仿宋_GB2312" w:eastAsia="仿宋_GB2312"/>
          <w:b w:val="0"/>
          <w:sz w:val="32"/>
        </w:rPr>
        <w:t>二、《收入决算表》</w:t>
      </w:r>
    </w:p>
    <w:p w14:paraId="0A0CC1CB">
      <w:pPr>
        <w:spacing w:line="240" w:lineRule="auto"/>
        <w:ind w:firstLine="640"/>
        <w:jc w:val="both"/>
      </w:pPr>
      <w:r>
        <w:rPr>
          <w:rFonts w:ascii="仿宋_GB2312" w:hAnsi="仿宋_GB2312" w:eastAsia="仿宋_GB2312"/>
          <w:b w:val="0"/>
          <w:sz w:val="32"/>
        </w:rPr>
        <w:t>三、《支出决算表》</w:t>
      </w:r>
    </w:p>
    <w:p w14:paraId="7F1068B2">
      <w:pPr>
        <w:spacing w:line="240" w:lineRule="auto"/>
        <w:ind w:firstLine="640"/>
        <w:jc w:val="both"/>
      </w:pPr>
      <w:r>
        <w:rPr>
          <w:rFonts w:ascii="仿宋_GB2312" w:hAnsi="仿宋_GB2312" w:eastAsia="仿宋_GB2312"/>
          <w:b w:val="0"/>
          <w:sz w:val="32"/>
        </w:rPr>
        <w:t>四、《财政拨款收入支出决算总表》</w:t>
      </w:r>
    </w:p>
    <w:p w14:paraId="2E24122F">
      <w:pPr>
        <w:spacing w:line="240" w:lineRule="auto"/>
        <w:ind w:firstLine="640"/>
        <w:jc w:val="both"/>
      </w:pPr>
      <w:r>
        <w:rPr>
          <w:rFonts w:ascii="仿宋_GB2312" w:hAnsi="仿宋_GB2312" w:eastAsia="仿宋_GB2312"/>
          <w:b w:val="0"/>
          <w:sz w:val="32"/>
        </w:rPr>
        <w:t>五、《一般公共预算财政拨款支出决算表》</w:t>
      </w:r>
    </w:p>
    <w:p w14:paraId="53325E0D">
      <w:pPr>
        <w:spacing w:line="240" w:lineRule="auto"/>
        <w:ind w:firstLine="640"/>
        <w:jc w:val="both"/>
      </w:pPr>
      <w:r>
        <w:rPr>
          <w:rFonts w:ascii="仿宋_GB2312" w:hAnsi="仿宋_GB2312" w:eastAsia="仿宋_GB2312"/>
          <w:b w:val="0"/>
          <w:sz w:val="32"/>
        </w:rPr>
        <w:t>六、《一般公共预算财政拨款基本支出决算表》</w:t>
      </w:r>
    </w:p>
    <w:p w14:paraId="2F3784A6">
      <w:pPr>
        <w:spacing w:line="240" w:lineRule="auto"/>
        <w:ind w:firstLine="640"/>
        <w:jc w:val="both"/>
      </w:pPr>
      <w:r>
        <w:rPr>
          <w:rFonts w:ascii="仿宋_GB2312" w:hAnsi="仿宋_GB2312" w:eastAsia="仿宋_GB2312"/>
          <w:b w:val="0"/>
          <w:sz w:val="32"/>
        </w:rPr>
        <w:t>七、《政府性基金预算财政拨款收入支出决算表》</w:t>
      </w:r>
    </w:p>
    <w:p w14:paraId="1A4F6878">
      <w:pPr>
        <w:spacing w:line="240" w:lineRule="auto"/>
        <w:ind w:firstLine="640"/>
        <w:jc w:val="both"/>
      </w:pPr>
      <w:r>
        <w:rPr>
          <w:rFonts w:ascii="仿宋_GB2312" w:hAnsi="仿宋_GB2312" w:eastAsia="仿宋_GB2312"/>
          <w:b w:val="0"/>
          <w:sz w:val="32"/>
        </w:rPr>
        <w:t>八、《国有资本经营预算财政拨款收入支出决算表》</w:t>
      </w:r>
    </w:p>
    <w:p w14:paraId="4F49583D">
      <w:pPr>
        <w:spacing w:line="240" w:lineRule="auto"/>
        <w:ind w:firstLine="640"/>
        <w:jc w:val="both"/>
      </w:pPr>
      <w:r>
        <w:rPr>
          <w:rFonts w:ascii="仿宋_GB2312" w:hAnsi="仿宋_GB2312" w:eastAsia="仿宋_GB2312"/>
          <w:b w:val="0"/>
          <w:sz w:val="32"/>
        </w:rPr>
        <w:t>九、《财政拨款“三公”经费支出决算表》</w:t>
      </w:r>
    </w:p>
    <w:p w14:paraId="565E5FA2">
      <w:pPr>
        <w:spacing w:line="240" w:lineRule="auto"/>
        <w:ind w:firstLine="640"/>
        <w:jc w:val="both"/>
      </w:pPr>
    </w:p>
    <w:p w14:paraId="50ACF1C9">
      <w:pPr>
        <w:spacing w:line="240" w:lineRule="auto"/>
        <w:ind w:firstLine="640"/>
        <w:jc w:val="both"/>
      </w:pPr>
    </w:p>
    <w:p w14:paraId="3FCA377F">
      <w:pPr>
        <w:spacing w:line="240" w:lineRule="auto"/>
        <w:ind w:firstLine="640"/>
        <w:jc w:val="both"/>
      </w:pPr>
    </w:p>
    <w:p w14:paraId="753D7FE6">
      <w:pPr>
        <w:spacing w:line="240" w:lineRule="auto"/>
        <w:ind w:firstLine="640"/>
        <w:jc w:val="both"/>
      </w:pPr>
    </w:p>
    <w:p w14:paraId="6F1EB65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D1F8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E0028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6E0028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FF52F7"/>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026CE5"/>
    <w:rsid w:val="1191516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3986</Words>
  <Characters>4565</Characters>
  <Lines>0</Lines>
  <Paragraphs>0</Paragraphs>
  <TotalTime>10</TotalTime>
  <ScaleCrop>false</ScaleCrop>
  <LinksUpToDate>false</LinksUpToDate>
  <CharactersWithSpaces>4573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2025-11-07T09:14:54Z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