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96559D">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44A2D79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93E07FA">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4FC5D43">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7CE8F0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0255322">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裕民县巴尔鲁克山国有林管理局2024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5BC2123B">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5EA02AE1">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69E34C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61C4F3D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3826E708">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700FEE8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68C31A8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730F7BA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57FBE42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1E179E3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51477868">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08A0B359">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202D9AEE">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2104AF3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CDD09D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3C62F13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15F1E0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0818E5B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11ADA363">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246A563C">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21E0DCCC">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1791358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77F841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2A3C37F1">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06BCD53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7B63454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30A4EAC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240D62C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0577C01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23A06A6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5E6451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4672129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6559CBD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5B2F803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61E0992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A67E528">
      <w:r>
        <w:br w:type="page"/>
      </w:r>
    </w:p>
    <w:p w14:paraId="53384762">
      <w:pPr>
        <w:spacing w:line="640" w:lineRule="exact"/>
        <w:jc w:val="center"/>
        <w:outlineLvl w:val="1"/>
      </w:pPr>
      <w:r>
        <w:rPr>
          <w:rFonts w:ascii="黑体" w:hAnsi="黑体" w:eastAsia="黑体"/>
          <w:sz w:val="32"/>
        </w:rPr>
        <w:t>第一部分 单位概况</w:t>
      </w:r>
    </w:p>
    <w:p w14:paraId="0E55F801">
      <w:pPr>
        <w:spacing w:line="640" w:lineRule="exact"/>
        <w:ind w:firstLine="640"/>
        <w:jc w:val="both"/>
        <w:outlineLvl w:val="2"/>
      </w:pPr>
      <w:r>
        <w:rPr>
          <w:rFonts w:ascii="黑体" w:hAnsi="黑体" w:eastAsia="黑体"/>
          <w:sz w:val="32"/>
        </w:rPr>
        <w:t>一、主要职能</w:t>
      </w:r>
    </w:p>
    <w:p w14:paraId="10710FD2">
      <w:pPr>
        <w:spacing w:line="580" w:lineRule="exact"/>
        <w:ind w:firstLine="640"/>
        <w:jc w:val="both"/>
      </w:pPr>
      <w:r>
        <w:rPr>
          <w:rFonts w:ascii="仿宋_GB2312" w:hAnsi="仿宋_GB2312" w:eastAsia="仿宋_GB2312"/>
          <w:sz w:val="32"/>
        </w:rPr>
        <w:t>（一）保护和管理辖区内森林资源、国家级公益林、湿地、森林公园、生物多样性和野生动植物资源。</w:t>
      </w:r>
    </w:p>
    <w:p w14:paraId="22A18B35">
      <w:pPr>
        <w:spacing w:line="580" w:lineRule="exact"/>
        <w:ind w:firstLine="640"/>
        <w:jc w:val="both"/>
      </w:pPr>
      <w:r>
        <w:rPr>
          <w:rFonts w:ascii="仿宋_GB2312" w:hAnsi="仿宋_GB2312" w:eastAsia="仿宋_GB2312"/>
          <w:sz w:val="32"/>
        </w:rPr>
        <w:t>（二）开展辖区内森林防火、病虫害的防治、造林、森林培育、森林抚育、森林管护、森林资源监测、建立森林资源档案和林业科学研究。</w:t>
      </w:r>
    </w:p>
    <w:p w14:paraId="7E66B4A3">
      <w:pPr>
        <w:spacing w:line="580" w:lineRule="exact"/>
        <w:ind w:firstLine="640"/>
        <w:jc w:val="both"/>
      </w:pPr>
      <w:r>
        <w:rPr>
          <w:rFonts w:ascii="仿宋_GB2312" w:hAnsi="仿宋_GB2312" w:eastAsia="仿宋_GB2312"/>
          <w:sz w:val="32"/>
        </w:rPr>
        <w:t>（三）组织编制实施森林经营方案，开展多种经营，努力实施好天然林保护工程，促进森林资源培育的良性循环。</w:t>
      </w:r>
    </w:p>
    <w:p w14:paraId="42692ECE">
      <w:pPr>
        <w:spacing w:line="580" w:lineRule="exact"/>
        <w:ind w:firstLine="640"/>
        <w:jc w:val="both"/>
      </w:pPr>
      <w:r>
        <w:rPr>
          <w:rFonts w:ascii="仿宋_GB2312" w:hAnsi="仿宋_GB2312" w:eastAsia="仿宋_GB2312"/>
          <w:sz w:val="32"/>
        </w:rPr>
        <w:t>（四）配合地方政府做好辖区林区经济发展，基础设施和公共服务建设、防汛等方面的协调工作。</w:t>
      </w:r>
    </w:p>
    <w:p w14:paraId="49120ED5">
      <w:pPr>
        <w:spacing w:line="580" w:lineRule="exact"/>
        <w:ind w:firstLine="640"/>
        <w:jc w:val="both"/>
      </w:pPr>
      <w:r>
        <w:rPr>
          <w:rFonts w:ascii="仿宋_GB2312" w:hAnsi="仿宋_GB2312" w:eastAsia="仿宋_GB2312"/>
          <w:sz w:val="32"/>
        </w:rPr>
        <w:t>（五）承办主管部门下达的各项工作任务。</w:t>
      </w:r>
    </w:p>
    <w:p w14:paraId="7A0BE738">
      <w:pPr>
        <w:spacing w:line="640" w:lineRule="exact"/>
        <w:ind w:firstLine="640"/>
        <w:jc w:val="both"/>
        <w:outlineLvl w:val="2"/>
      </w:pPr>
      <w:r>
        <w:rPr>
          <w:rFonts w:ascii="黑体" w:hAnsi="黑体" w:eastAsia="黑体"/>
          <w:sz w:val="32"/>
        </w:rPr>
        <w:t>二、机构设置及人员情况</w:t>
      </w:r>
    </w:p>
    <w:p w14:paraId="627AA619">
      <w:pPr>
        <w:spacing w:line="580" w:lineRule="exact"/>
        <w:ind w:firstLine="640"/>
        <w:jc w:val="both"/>
      </w:pPr>
      <w:r>
        <w:rPr>
          <w:rFonts w:ascii="仿宋_GB2312" w:hAnsi="仿宋_GB2312" w:eastAsia="仿宋_GB2312"/>
          <w:sz w:val="32"/>
        </w:rPr>
        <w:t>裕民县巴尔鲁克山国有林管理局2024年度，实有人数43人，其中：在职人员23人，增加0人；离休人员0人，增加0人；退休人员20人,增加0人。</w:t>
      </w:r>
    </w:p>
    <w:p w14:paraId="43356AAF">
      <w:pPr>
        <w:spacing w:line="580" w:lineRule="exact"/>
        <w:ind w:firstLine="640"/>
        <w:jc w:val="both"/>
      </w:pPr>
      <w:r>
        <w:rPr>
          <w:rFonts w:ascii="仿宋_GB2312" w:hAnsi="仿宋_GB2312" w:eastAsia="仿宋_GB2312"/>
          <w:sz w:val="32"/>
        </w:rPr>
        <w:t>裕民县巴尔鲁克山国有林管理局无下属预算单位，下设2个科室，分别是：办公室、财务室。</w:t>
      </w:r>
    </w:p>
    <w:p w14:paraId="7E92D8DD">
      <w:r>
        <w:br w:type="page"/>
      </w:r>
    </w:p>
    <w:p w14:paraId="7357C746">
      <w:pPr>
        <w:spacing w:line="240" w:lineRule="auto"/>
        <w:jc w:val="center"/>
        <w:outlineLvl w:val="1"/>
      </w:pPr>
      <w:r>
        <w:rPr>
          <w:rFonts w:ascii="黑体" w:hAnsi="黑体" w:eastAsia="黑体"/>
          <w:sz w:val="32"/>
        </w:rPr>
        <w:t>第二部分 部门决算情况说明</w:t>
      </w:r>
    </w:p>
    <w:p w14:paraId="4AD1FD56">
      <w:pPr>
        <w:spacing w:line="640" w:lineRule="exact"/>
        <w:ind w:firstLine="640"/>
        <w:jc w:val="both"/>
        <w:outlineLvl w:val="2"/>
      </w:pPr>
      <w:r>
        <w:rPr>
          <w:rFonts w:ascii="黑体" w:hAnsi="黑体" w:eastAsia="黑体"/>
          <w:sz w:val="32"/>
        </w:rPr>
        <w:t>一、收入支出决算总体情况说明</w:t>
      </w:r>
    </w:p>
    <w:p w14:paraId="28C5642D">
      <w:pPr>
        <w:spacing w:line="580" w:lineRule="exact"/>
        <w:ind w:firstLine="640"/>
        <w:jc w:val="both"/>
      </w:pPr>
      <w:r>
        <w:rPr>
          <w:rFonts w:ascii="仿宋_GB2312" w:hAnsi="仿宋_GB2312" w:eastAsia="仿宋_GB2312"/>
          <w:b/>
          <w:sz w:val="32"/>
        </w:rPr>
        <w:t>2024年度收入总计368.03万元，</w:t>
      </w:r>
      <w:r>
        <w:rPr>
          <w:rFonts w:ascii="仿宋_GB2312" w:hAnsi="仿宋_GB2312" w:eastAsia="仿宋_GB2312"/>
          <w:b w:val="0"/>
          <w:sz w:val="32"/>
        </w:rPr>
        <w:t>其中：本年收入合计368.03万元，使用非财政拨款结余（含专用结余）0.00万元，年初结转和结余0.00万元。</w:t>
      </w:r>
    </w:p>
    <w:p w14:paraId="5A46A8E9">
      <w:pPr>
        <w:spacing w:line="580" w:lineRule="exact"/>
        <w:ind w:firstLine="640"/>
        <w:jc w:val="both"/>
      </w:pPr>
      <w:r>
        <w:rPr>
          <w:rFonts w:ascii="仿宋_GB2312" w:hAnsi="仿宋_GB2312" w:eastAsia="仿宋_GB2312"/>
          <w:b/>
          <w:sz w:val="32"/>
        </w:rPr>
        <w:t>2024年度支出总计368.03万元，</w:t>
      </w:r>
      <w:r>
        <w:rPr>
          <w:rFonts w:ascii="仿宋_GB2312" w:hAnsi="仿宋_GB2312" w:eastAsia="仿宋_GB2312"/>
          <w:b w:val="0"/>
          <w:sz w:val="32"/>
        </w:rPr>
        <w:t>其中：本年支出合计368.03万元，结余分配0.00万元，年末结转和结余0.00万元。</w:t>
      </w:r>
    </w:p>
    <w:p w14:paraId="7DC77D03">
      <w:pPr>
        <w:spacing w:line="580" w:lineRule="exact"/>
        <w:ind w:firstLine="640"/>
        <w:jc w:val="both"/>
      </w:pPr>
      <w:r>
        <w:rPr>
          <w:rFonts w:ascii="仿宋_GB2312" w:hAnsi="仿宋_GB2312" w:eastAsia="仿宋_GB2312"/>
          <w:b w:val="0"/>
          <w:sz w:val="32"/>
        </w:rPr>
        <w:t>收入支出总体与上年相比，减少308.52万元，下降45.60%，主要原因是：本年较上年减少2023年中央财政林业草原生态保护恢复资金（国有林保护修复-森林防火补助）项目、2023年天然林资源保护修复项目、2022年中央林业改革发展资金预算（森林资源管护-天然林保护管理补助）等项目。</w:t>
      </w:r>
    </w:p>
    <w:p w14:paraId="4A2A45B1">
      <w:pPr>
        <w:spacing w:line="640" w:lineRule="exact"/>
        <w:ind w:firstLine="640"/>
        <w:jc w:val="both"/>
        <w:outlineLvl w:val="2"/>
      </w:pPr>
      <w:r>
        <w:rPr>
          <w:rFonts w:ascii="黑体" w:hAnsi="黑体" w:eastAsia="黑体"/>
          <w:sz w:val="32"/>
        </w:rPr>
        <w:t>二、收入决算情况说明</w:t>
      </w:r>
    </w:p>
    <w:p w14:paraId="68C2F416">
      <w:pPr>
        <w:spacing w:line="580" w:lineRule="exact"/>
        <w:ind w:firstLine="640"/>
        <w:jc w:val="both"/>
      </w:pPr>
      <w:r>
        <w:rPr>
          <w:rFonts w:ascii="仿宋_GB2312" w:hAnsi="仿宋_GB2312" w:eastAsia="仿宋_GB2312"/>
          <w:b/>
          <w:sz w:val="32"/>
        </w:rPr>
        <w:t>本年收入368.03万元，</w:t>
      </w:r>
      <w:r>
        <w:rPr>
          <w:rFonts w:ascii="仿宋_GB2312" w:hAnsi="仿宋_GB2312" w:eastAsia="仿宋_GB2312"/>
          <w:b w:val="0"/>
          <w:sz w:val="32"/>
        </w:rPr>
        <w:t>其中：财政拨款收入366.79万元，占99.66%；上级补助收入0.00万元，占0.00%；事业收入0.00万元，占0.00%；经营收入0.00万元，占0.00%；附属单位上缴收入0.00万元，占0.00%；其他收入1.24万元，占0.34%。</w:t>
      </w:r>
    </w:p>
    <w:p w14:paraId="79C8B77B">
      <w:pPr>
        <w:spacing w:line="640" w:lineRule="exact"/>
        <w:ind w:firstLine="640"/>
        <w:jc w:val="both"/>
        <w:outlineLvl w:val="2"/>
      </w:pPr>
      <w:r>
        <w:rPr>
          <w:rFonts w:ascii="黑体" w:hAnsi="黑体" w:eastAsia="黑体"/>
          <w:sz w:val="32"/>
        </w:rPr>
        <w:t>三、支出决算情况说明</w:t>
      </w:r>
    </w:p>
    <w:p w14:paraId="2C776A9E">
      <w:pPr>
        <w:spacing w:line="580" w:lineRule="exact"/>
        <w:ind w:firstLine="640"/>
        <w:jc w:val="both"/>
      </w:pPr>
      <w:r>
        <w:rPr>
          <w:rFonts w:ascii="仿宋_GB2312" w:hAnsi="仿宋_GB2312" w:eastAsia="仿宋_GB2312"/>
          <w:b/>
          <w:sz w:val="32"/>
        </w:rPr>
        <w:t>本年支出368.03万元，</w:t>
      </w:r>
      <w:r>
        <w:rPr>
          <w:rFonts w:ascii="仿宋_GB2312" w:hAnsi="仿宋_GB2312" w:eastAsia="仿宋_GB2312"/>
          <w:b w:val="0"/>
          <w:sz w:val="32"/>
        </w:rPr>
        <w:t>其中：基本支出357.73万元，占97.20%；项目支出10.30万元，占2.80%；上缴上级支出0.00万元，占0.00%；经营支出0.00万元，占0.00%；对附属单位补助支出0.00万元，占0.00%。</w:t>
      </w:r>
    </w:p>
    <w:p w14:paraId="442F1A60">
      <w:pPr>
        <w:spacing w:line="640" w:lineRule="exact"/>
        <w:ind w:firstLine="640"/>
        <w:jc w:val="both"/>
        <w:outlineLvl w:val="2"/>
      </w:pPr>
      <w:r>
        <w:rPr>
          <w:rFonts w:ascii="黑体" w:hAnsi="黑体" w:eastAsia="黑体"/>
          <w:sz w:val="32"/>
        </w:rPr>
        <w:t>四、财政拨款收入支出决算总体情况说明</w:t>
      </w:r>
    </w:p>
    <w:p w14:paraId="49F8AFF8">
      <w:pPr>
        <w:spacing w:line="580" w:lineRule="exact"/>
        <w:ind w:firstLine="640"/>
        <w:jc w:val="both"/>
      </w:pPr>
      <w:r>
        <w:rPr>
          <w:rFonts w:ascii="仿宋_GB2312" w:hAnsi="仿宋_GB2312" w:eastAsia="仿宋_GB2312"/>
          <w:b/>
          <w:sz w:val="32"/>
        </w:rPr>
        <w:t>2024年度财政拨款收入总计366.79万元，</w:t>
      </w:r>
      <w:r>
        <w:rPr>
          <w:rFonts w:ascii="仿宋_GB2312" w:hAnsi="仿宋_GB2312" w:eastAsia="仿宋_GB2312"/>
          <w:b w:val="0"/>
          <w:sz w:val="32"/>
        </w:rPr>
        <w:t>其中：年初财政拨款结转和结余0.00万元，本年财政拨款收入366.79万元。</w:t>
      </w:r>
      <w:r>
        <w:rPr>
          <w:rFonts w:ascii="仿宋_GB2312" w:hAnsi="仿宋_GB2312" w:eastAsia="仿宋_GB2312"/>
          <w:b/>
          <w:sz w:val="32"/>
        </w:rPr>
        <w:t>财政拨款支出总计366.79万元，</w:t>
      </w:r>
      <w:r>
        <w:rPr>
          <w:rFonts w:ascii="仿宋_GB2312" w:hAnsi="仿宋_GB2312" w:eastAsia="仿宋_GB2312"/>
          <w:b w:val="0"/>
          <w:sz w:val="32"/>
        </w:rPr>
        <w:t>其中：年末财政拨款结转和结余0.00万元，本年财政拨款支出366.79万元。</w:t>
      </w:r>
    </w:p>
    <w:p w14:paraId="6D5C6FF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309.76万元，下降45.79%，主要原因是：本年较上年减少2023年中央财政林业草原生态保护恢复资金（国有林保护修复-森林防火补助）项目、2023年天然林资源保护修复项目、2022年中央林业改革发展资金预算（森林资源管护-天然林保护管理补助）等项目。</w:t>
      </w:r>
      <w:r>
        <w:rPr>
          <w:rFonts w:ascii="仿宋_GB2312" w:hAnsi="仿宋_GB2312" w:eastAsia="仿宋_GB2312"/>
          <w:b/>
          <w:sz w:val="32"/>
        </w:rPr>
        <w:t>与年初预算相比，</w:t>
      </w:r>
      <w:r>
        <w:rPr>
          <w:rFonts w:ascii="仿宋_GB2312" w:hAnsi="仿宋_GB2312" w:eastAsia="仿宋_GB2312"/>
          <w:b w:val="0"/>
          <w:sz w:val="32"/>
        </w:rPr>
        <w:t>年初预算数542.71万元，决算数366.79万元，预决算差异率-32.42%，主要原因是：年初纳入预算的新疆塔城地区裕民县巴尔鲁克山国有林管理局天然林资源保护修复2022年度第二批资金预算项目、2016年国有林场改革项目等项目，决算未支出，导致预决算产生差异。</w:t>
      </w:r>
    </w:p>
    <w:p w14:paraId="3923F49B">
      <w:pPr>
        <w:spacing w:line="640" w:lineRule="exact"/>
        <w:ind w:firstLine="640"/>
        <w:jc w:val="both"/>
        <w:outlineLvl w:val="2"/>
      </w:pPr>
      <w:r>
        <w:rPr>
          <w:rFonts w:ascii="黑体" w:hAnsi="黑体" w:eastAsia="黑体"/>
          <w:sz w:val="32"/>
        </w:rPr>
        <w:t>五、一般公共预算财政拨款支出决算情况说明</w:t>
      </w:r>
    </w:p>
    <w:p w14:paraId="1EC5A46E">
      <w:pPr>
        <w:spacing w:line="640" w:lineRule="exact"/>
        <w:ind w:firstLine="640"/>
        <w:jc w:val="both"/>
        <w:outlineLvl w:val="3"/>
      </w:pPr>
      <w:r>
        <w:rPr>
          <w:rFonts w:ascii="楷体_GB2312" w:hAnsi="楷体_GB2312" w:eastAsia="楷体_GB2312"/>
          <w:b/>
          <w:sz w:val="32"/>
        </w:rPr>
        <w:t>（一）一般公共预算财政拨款支出决算总体情况</w:t>
      </w:r>
    </w:p>
    <w:p w14:paraId="1DB8B808">
      <w:pPr>
        <w:spacing w:line="580" w:lineRule="exact"/>
        <w:ind w:firstLine="640"/>
        <w:jc w:val="both"/>
      </w:pPr>
      <w:r>
        <w:rPr>
          <w:rFonts w:ascii="仿宋_GB2312" w:hAnsi="仿宋_GB2312" w:eastAsia="仿宋_GB2312"/>
          <w:b/>
          <w:sz w:val="32"/>
        </w:rPr>
        <w:t>2024年度一般公共预算财政拨款支出366.79万元，</w:t>
      </w:r>
      <w:r>
        <w:rPr>
          <w:rFonts w:ascii="仿宋_GB2312" w:hAnsi="仿宋_GB2312" w:eastAsia="仿宋_GB2312"/>
          <w:b w:val="0"/>
          <w:sz w:val="32"/>
        </w:rPr>
        <w:t>占本年支出合计的99.66%。</w:t>
      </w:r>
      <w:r>
        <w:rPr>
          <w:rFonts w:ascii="仿宋_GB2312" w:hAnsi="仿宋_GB2312" w:eastAsia="仿宋_GB2312"/>
          <w:b/>
          <w:sz w:val="32"/>
        </w:rPr>
        <w:t>与上年相比，</w:t>
      </w:r>
      <w:r>
        <w:rPr>
          <w:rFonts w:ascii="仿宋_GB2312" w:hAnsi="仿宋_GB2312" w:eastAsia="仿宋_GB2312"/>
          <w:b w:val="0"/>
          <w:sz w:val="32"/>
        </w:rPr>
        <w:t>减少309.76万元，下降45.79%，主要原因是：本年较上年减少2023年中央财政林业草原生态保护恢复资金（国有林保护修复-森林防火补助）项目、2023年天然林资源保护修复项目、2022年中央林业改革发展资金预算（森林资源管护-天然林保护管理补助）等项目。</w:t>
      </w:r>
      <w:r>
        <w:rPr>
          <w:rFonts w:ascii="仿宋_GB2312" w:hAnsi="仿宋_GB2312" w:eastAsia="仿宋_GB2312"/>
          <w:b/>
          <w:sz w:val="32"/>
        </w:rPr>
        <w:t>与年初预算相比,</w:t>
      </w:r>
      <w:r>
        <w:rPr>
          <w:rFonts w:ascii="仿宋_GB2312" w:hAnsi="仿宋_GB2312" w:eastAsia="仿宋_GB2312"/>
          <w:b w:val="0"/>
          <w:sz w:val="32"/>
        </w:rPr>
        <w:t>年初预算数542.71万元，决算数366.79万元，预决算差异率-32.42%，主要原因是：年初纳入预算的新疆塔城地区裕民县巴尔鲁克山国有林管理局天然林资源保护修复2022年度第二批资金预算项目、2016年国有林场改革项目等项目，决算未支出，导致预决算产生差异。</w:t>
      </w:r>
    </w:p>
    <w:p w14:paraId="0A92BBC5">
      <w:pPr>
        <w:spacing w:line="640" w:lineRule="exact"/>
        <w:ind w:firstLine="640"/>
        <w:jc w:val="both"/>
        <w:outlineLvl w:val="3"/>
      </w:pPr>
      <w:r>
        <w:rPr>
          <w:rFonts w:ascii="楷体_GB2312" w:hAnsi="楷体_GB2312" w:eastAsia="楷体_GB2312"/>
          <w:b/>
          <w:sz w:val="32"/>
        </w:rPr>
        <w:t>（二）一般公共预算财政拨款支出决算结构情况</w:t>
      </w:r>
    </w:p>
    <w:p w14:paraId="615E7253">
      <w:pPr>
        <w:spacing w:line="580" w:lineRule="exact"/>
        <w:ind w:firstLine="640"/>
        <w:jc w:val="both"/>
      </w:pPr>
      <w:r>
        <w:rPr>
          <w:rFonts w:ascii="仿宋_GB2312" w:hAnsi="仿宋_GB2312" w:eastAsia="仿宋_GB2312"/>
          <w:b w:val="0"/>
          <w:sz w:val="32"/>
        </w:rPr>
        <w:t>1.社会保障和就业支出(类)48.05万元,占13.10%。</w:t>
      </w:r>
    </w:p>
    <w:p w14:paraId="724FC4EB">
      <w:pPr>
        <w:spacing w:line="580" w:lineRule="exact"/>
        <w:ind w:firstLine="640"/>
        <w:jc w:val="both"/>
      </w:pPr>
      <w:r>
        <w:rPr>
          <w:rFonts w:ascii="仿宋_GB2312" w:hAnsi="仿宋_GB2312" w:eastAsia="仿宋_GB2312"/>
          <w:b w:val="0"/>
          <w:sz w:val="32"/>
        </w:rPr>
        <w:t>2.卫生健康支出(类)14.34万元,占3.91%。</w:t>
      </w:r>
    </w:p>
    <w:p w14:paraId="33154036">
      <w:pPr>
        <w:spacing w:line="580" w:lineRule="exact"/>
        <w:ind w:firstLine="640"/>
        <w:jc w:val="both"/>
      </w:pPr>
      <w:r>
        <w:rPr>
          <w:rFonts w:ascii="仿宋_GB2312" w:hAnsi="仿宋_GB2312" w:eastAsia="仿宋_GB2312"/>
          <w:b w:val="0"/>
          <w:sz w:val="32"/>
        </w:rPr>
        <w:t>3.农林水支出(类)276.92万元,占75.50%。</w:t>
      </w:r>
    </w:p>
    <w:p w14:paraId="5C0B04E6">
      <w:pPr>
        <w:spacing w:line="580" w:lineRule="exact"/>
        <w:ind w:firstLine="640"/>
        <w:jc w:val="both"/>
      </w:pPr>
      <w:r>
        <w:rPr>
          <w:rFonts w:ascii="仿宋_GB2312" w:hAnsi="仿宋_GB2312" w:eastAsia="仿宋_GB2312"/>
          <w:b w:val="0"/>
          <w:sz w:val="32"/>
        </w:rPr>
        <w:t>4.住房保障支出(类)27.48万元,占7.49%。</w:t>
      </w:r>
    </w:p>
    <w:p w14:paraId="681BA347">
      <w:pPr>
        <w:spacing w:line="640" w:lineRule="exact"/>
        <w:ind w:firstLine="640"/>
        <w:jc w:val="both"/>
        <w:outlineLvl w:val="3"/>
      </w:pPr>
      <w:r>
        <w:rPr>
          <w:rFonts w:ascii="楷体_GB2312" w:hAnsi="楷体_GB2312" w:eastAsia="楷体_GB2312"/>
          <w:b/>
          <w:sz w:val="32"/>
        </w:rPr>
        <w:t>（三）一般公共预算财政拨款支出决算具体情况</w:t>
      </w:r>
    </w:p>
    <w:p w14:paraId="2A9B23F4">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1.社会保障和就业支出(类)行政事业单位养老支出(款)事业单位离退休(项):支出决算数为13.71万元，比上年决算减少15.54万元，下降53.13%,主要原因是：本年较上年减少退休死亡人员抚恤金的支出。</w:t>
      </w:r>
    </w:p>
    <w:p w14:paraId="6A11D771">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33.83万元，比上年决算增加1.83万元，增长5.72%,主要原因是：本年在职人员工资基数调增，养老缴费基数上涨，相应支出增加。</w:t>
      </w:r>
    </w:p>
    <w:p w14:paraId="142E9338">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3.社会保障和就业支出(类)行政事业单位养老支出(款)机关事业单位职业年金缴费支出(项):支出决算数为0.51万元，比上年决算减少5.70万元，下降91.79%,主要原因是：本年</w:t>
      </w:r>
      <w:r>
        <w:rPr>
          <w:rFonts w:hint="eastAsia" w:ascii="仿宋_GB2312" w:hAnsi="仿宋_GB2312" w:eastAsia="仿宋_GB2312"/>
          <w:b w:val="0"/>
          <w:sz w:val="32"/>
          <w:lang w:val="en-US" w:eastAsia="zh-CN"/>
        </w:rPr>
        <w:t>补发往年退休人员职业年金缴费较上年减少</w:t>
      </w:r>
      <w:r>
        <w:rPr>
          <w:rFonts w:ascii="仿宋_GB2312" w:hAnsi="仿宋_GB2312" w:eastAsia="仿宋_GB2312"/>
          <w:b w:val="0"/>
          <w:sz w:val="32"/>
        </w:rPr>
        <w:t>，导致职业年金缴费支出减少。</w:t>
      </w:r>
    </w:p>
    <w:p w14:paraId="7DF60591">
      <w:pPr>
        <w:spacing w:line="580" w:lineRule="exact"/>
        <w:ind w:firstLine="640"/>
        <w:jc w:val="both"/>
      </w:pPr>
      <w:r>
        <w:rPr>
          <w:rFonts w:ascii="仿宋_GB2312" w:hAnsi="仿宋_GB2312" w:eastAsia="仿宋_GB2312"/>
          <w:b w:val="0"/>
          <w:sz w:val="32"/>
        </w:rPr>
        <w:t>4.卫生健康支出(类)行政事业单位医疗(款)事业单位医疗(项):支出决算数为14.34万元，比上年决算增加1.17万元，增长8.88%,主要原因是：本年在职人员工资</w:t>
      </w:r>
      <w:r>
        <w:rPr>
          <w:rFonts w:hint="eastAsia" w:ascii="仿宋_GB2312" w:hAnsi="仿宋_GB2312" w:eastAsia="仿宋_GB2312"/>
          <w:b w:val="0"/>
          <w:sz w:val="32"/>
          <w:lang w:val="en-US" w:eastAsia="zh-CN"/>
        </w:rPr>
        <w:t>调增</w:t>
      </w:r>
      <w:r>
        <w:rPr>
          <w:rFonts w:ascii="仿宋_GB2312" w:hAnsi="仿宋_GB2312" w:eastAsia="仿宋_GB2312"/>
          <w:b w:val="0"/>
          <w:sz w:val="32"/>
        </w:rPr>
        <w:t>，医疗缴费基数上涨，相应支出增加。</w:t>
      </w:r>
    </w:p>
    <w:p w14:paraId="49852FB1">
      <w:pPr>
        <w:spacing w:line="580" w:lineRule="exact"/>
        <w:ind w:firstLine="640"/>
        <w:jc w:val="both"/>
      </w:pPr>
      <w:r>
        <w:rPr>
          <w:rFonts w:ascii="仿宋_GB2312" w:hAnsi="仿宋_GB2312" w:eastAsia="仿宋_GB2312"/>
          <w:b w:val="0"/>
          <w:sz w:val="32"/>
        </w:rPr>
        <w:t>5.节能环保支出(类)天然林保护(款)森林管护(项):支出决算数为0.00万元，比上年决算减少196.63万元，下降100.00%,主要原因是：本年较上年减少2023年森林防火项目、2023年天保工程区国有林管护项目。</w:t>
      </w:r>
    </w:p>
    <w:p w14:paraId="7E3B7B4F">
      <w:pPr>
        <w:spacing w:line="580" w:lineRule="exact"/>
        <w:ind w:firstLine="640"/>
        <w:jc w:val="both"/>
      </w:pPr>
      <w:r>
        <w:rPr>
          <w:rFonts w:ascii="仿宋_GB2312" w:hAnsi="仿宋_GB2312" w:eastAsia="仿宋_GB2312"/>
          <w:b w:val="0"/>
          <w:sz w:val="32"/>
        </w:rPr>
        <w:t>6.农林水支出(类)林业和草原(款)事业机构(项):支出决算数为267.86万元，比上年决算减少5.61万元，下降2.05%,主要原因是：本年</w:t>
      </w:r>
      <w:r>
        <w:rPr>
          <w:rFonts w:hint="eastAsia" w:ascii="仿宋_GB2312" w:hAnsi="仿宋_GB2312" w:eastAsia="仿宋_GB2312"/>
          <w:b w:val="0"/>
          <w:sz w:val="32"/>
          <w:lang w:val="en-US" w:eastAsia="zh-CN"/>
        </w:rPr>
        <w:t>未补发在职人员绩效</w:t>
      </w:r>
      <w:r>
        <w:rPr>
          <w:rFonts w:ascii="仿宋_GB2312" w:hAnsi="仿宋_GB2312" w:eastAsia="仿宋_GB2312"/>
          <w:b w:val="0"/>
          <w:sz w:val="32"/>
        </w:rPr>
        <w:t>，导致人员经费减少。</w:t>
      </w:r>
    </w:p>
    <w:p w14:paraId="4BC1039F">
      <w:pPr>
        <w:spacing w:line="580" w:lineRule="exact"/>
        <w:ind w:firstLine="640"/>
        <w:jc w:val="both"/>
      </w:pPr>
      <w:r>
        <w:rPr>
          <w:rFonts w:ascii="仿宋_GB2312" w:hAnsi="仿宋_GB2312" w:eastAsia="仿宋_GB2312"/>
          <w:b w:val="0"/>
          <w:sz w:val="32"/>
        </w:rPr>
        <w:t>7.农林水支出(类)林业和草原(款)森林资源管理(项):支出决算数为0.00万元，比上年决算减少100.47万元，下降100.00%,主要原因是：本年较上年减少2022年森林防火项目、2022年天然林保护管理及森林资源管护、天然林资源保护二期、森林资源监测等项目。</w:t>
      </w:r>
    </w:p>
    <w:p w14:paraId="29173D1D">
      <w:pPr>
        <w:spacing w:line="580" w:lineRule="exact"/>
        <w:ind w:firstLine="640"/>
        <w:jc w:val="both"/>
      </w:pPr>
      <w:r>
        <w:rPr>
          <w:rFonts w:ascii="仿宋_GB2312" w:hAnsi="仿宋_GB2312" w:eastAsia="仿宋_GB2312"/>
          <w:b w:val="0"/>
          <w:sz w:val="32"/>
        </w:rPr>
        <w:t>8.农林水支出(类)林业和草原(款)林业草原防灾减灾(项):支出决算数为9.07万元，比上年决算增加9.07万元，增长100.00%,主要原因是：本年较上年新增苏运河管护区草场打捆销售收入安排人工及机械费项目。</w:t>
      </w:r>
    </w:p>
    <w:p w14:paraId="3DCEDB2D">
      <w:pPr>
        <w:spacing w:line="580" w:lineRule="exact"/>
        <w:ind w:firstLine="640"/>
        <w:jc w:val="both"/>
      </w:pPr>
      <w:r>
        <w:rPr>
          <w:rFonts w:ascii="仿宋_GB2312" w:hAnsi="仿宋_GB2312" w:eastAsia="仿宋_GB2312"/>
          <w:b w:val="0"/>
          <w:sz w:val="32"/>
        </w:rPr>
        <w:t>9.住房保障支出(类)住房改革支出(款)住房公积金(项):支出决算数为27.48万元，比上年决算增加2.13万元，增长8.40%,主要原因是：本年在职人员工资基数调增，公积金缴费基数上涨，相应支出增加。</w:t>
      </w:r>
    </w:p>
    <w:p w14:paraId="625B03CA">
      <w:pPr>
        <w:spacing w:line="640" w:lineRule="exact"/>
        <w:ind w:firstLine="640"/>
        <w:jc w:val="both"/>
        <w:outlineLvl w:val="2"/>
      </w:pPr>
      <w:r>
        <w:rPr>
          <w:rFonts w:ascii="黑体" w:hAnsi="黑体" w:eastAsia="黑体"/>
          <w:sz w:val="32"/>
        </w:rPr>
        <w:t>六、一般公共预算财政拨款基本支出决算情况说明</w:t>
      </w:r>
    </w:p>
    <w:p w14:paraId="5E857FA2">
      <w:pPr>
        <w:spacing w:line="580" w:lineRule="exact"/>
        <w:ind w:firstLine="640"/>
        <w:jc w:val="both"/>
      </w:pPr>
      <w:r>
        <w:rPr>
          <w:rFonts w:ascii="仿宋_GB2312" w:hAnsi="仿宋_GB2312" w:eastAsia="仿宋_GB2312"/>
          <w:b w:val="0"/>
          <w:sz w:val="32"/>
        </w:rPr>
        <w:t>2024年度一般公共预算财政拨款基本支出357.73万元，其中：</w:t>
      </w:r>
      <w:r>
        <w:rPr>
          <w:rFonts w:ascii="仿宋_GB2312" w:hAnsi="仿宋_GB2312" w:eastAsia="仿宋_GB2312"/>
          <w:b/>
          <w:sz w:val="32"/>
        </w:rPr>
        <w:t>人员经费346.30万元，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包括：基本工资、津贴补贴、奖金、绩效工资、机关事业单位基本养老保险缴费、职业年金缴费、职工基本医疗保险缴费、其他社会保障缴费、住房公积金、退休费、生活补助。</w:t>
      </w:r>
    </w:p>
    <w:p w14:paraId="1BB915D7">
      <w:pPr>
        <w:spacing w:line="580" w:lineRule="exact"/>
        <w:ind w:firstLine="640"/>
        <w:jc w:val="both"/>
      </w:pPr>
      <w:r>
        <w:rPr>
          <w:rFonts w:ascii="仿宋_GB2312" w:hAnsi="仿宋_GB2312" w:eastAsia="仿宋_GB2312"/>
          <w:b/>
          <w:sz w:val="32"/>
        </w:rPr>
        <w:t>公用经费11.43万元，</w:t>
      </w:r>
      <w:r>
        <w:rPr>
          <w:rFonts w:ascii="仿宋_GB2312" w:hAnsi="仿宋_GB2312" w:eastAsia="仿宋_GB2312"/>
          <w:b w:val="0"/>
          <w:sz w:val="32"/>
        </w:rPr>
        <w:t>包括：办公费、水费、取暖费、差旅费、租赁费、工会经费、公务用车运行维护费。</w:t>
      </w:r>
    </w:p>
    <w:p w14:paraId="4FA851FC">
      <w:pPr>
        <w:spacing w:line="640" w:lineRule="exact"/>
        <w:ind w:firstLine="640"/>
        <w:jc w:val="both"/>
        <w:outlineLvl w:val="2"/>
      </w:pPr>
      <w:r>
        <w:rPr>
          <w:rFonts w:ascii="黑体" w:hAnsi="黑体" w:eastAsia="黑体"/>
          <w:sz w:val="32"/>
        </w:rPr>
        <w:t>七、政府性基金预算财政拨款收入支出决算情况说明</w:t>
      </w:r>
    </w:p>
    <w:p w14:paraId="41E0256A">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934E94F">
      <w:pPr>
        <w:spacing w:line="640" w:lineRule="exact"/>
        <w:ind w:firstLine="640"/>
        <w:jc w:val="both"/>
        <w:outlineLvl w:val="2"/>
      </w:pPr>
      <w:r>
        <w:rPr>
          <w:rFonts w:ascii="黑体" w:hAnsi="黑体" w:eastAsia="黑体"/>
          <w:sz w:val="32"/>
        </w:rPr>
        <w:t>八、国有资本经营预算财政拨款收入支出决算情况说明</w:t>
      </w:r>
    </w:p>
    <w:p w14:paraId="2642F8A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559A3ED">
      <w:pPr>
        <w:spacing w:line="640" w:lineRule="exact"/>
        <w:ind w:firstLine="640"/>
        <w:jc w:val="both"/>
        <w:outlineLvl w:val="2"/>
      </w:pPr>
      <w:r>
        <w:rPr>
          <w:rFonts w:ascii="黑体" w:hAnsi="黑体" w:eastAsia="黑体"/>
          <w:sz w:val="32"/>
        </w:rPr>
        <w:t>九、财政拨款“三公”经费支出决算情况说明</w:t>
      </w:r>
    </w:p>
    <w:p w14:paraId="6F2D01DE">
      <w:pPr>
        <w:spacing w:line="580" w:lineRule="exact"/>
        <w:ind w:firstLine="640"/>
        <w:jc w:val="both"/>
      </w:pPr>
      <w:r>
        <w:rPr>
          <w:rFonts w:ascii="仿宋_GB2312" w:hAnsi="仿宋_GB2312" w:eastAsia="仿宋_GB2312"/>
          <w:b/>
          <w:sz w:val="32"/>
        </w:rPr>
        <w:t>2024年度财政拨款“三公”经费支出1.24万元，</w:t>
      </w:r>
      <w:r>
        <w:rPr>
          <w:rFonts w:ascii="仿宋_GB2312" w:hAnsi="仿宋_GB2312" w:eastAsia="仿宋_GB2312"/>
          <w:b w:val="0"/>
          <w:sz w:val="32"/>
        </w:rPr>
        <w:t>比上年减少1.16万元，下降48.33%，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1.24万元，占100.00%，比上年减少1.16万元，下降48.33%，主要原因是：严格落实中央八项规定精神，厉行节约，减少公务用车运行维护费。公务接待费支出0.00万元，占0.00%，比上年增加0.00万元，增长0.00%，主要原因是：2023年与2024年均未安排公务接待费支出。</w:t>
      </w:r>
    </w:p>
    <w:p w14:paraId="26CCC0B6">
      <w:pPr>
        <w:spacing w:line="580" w:lineRule="exact"/>
        <w:ind w:firstLine="640"/>
        <w:jc w:val="both"/>
      </w:pPr>
      <w:r>
        <w:rPr>
          <w:rFonts w:ascii="仿宋_GB2312" w:hAnsi="仿宋_GB2312" w:eastAsia="仿宋_GB2312"/>
          <w:b/>
          <w:sz w:val="32"/>
        </w:rPr>
        <w:t>具体情况如下：</w:t>
      </w:r>
    </w:p>
    <w:p w14:paraId="751DB323">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F9D77DB">
      <w:pPr>
        <w:spacing w:line="580" w:lineRule="exact"/>
        <w:ind w:firstLine="640"/>
        <w:jc w:val="both"/>
      </w:pPr>
      <w:r>
        <w:rPr>
          <w:rFonts w:ascii="仿宋_GB2312" w:hAnsi="仿宋_GB2312" w:eastAsia="仿宋_GB2312"/>
          <w:b w:val="0"/>
          <w:sz w:val="32"/>
        </w:rPr>
        <w:t>公务用车购置及运行维护费1.24万元，其中：公务用车购置费0.00万元，公务用车运行维护费1.24万元。公务用车运行维护费开支内容包括公务用车燃油费、车辆保险费、维修费等。公务用车购置数0辆，公务用车保有量2辆。国有资产占用情况中固定资产车辆2辆，与公务用车保有量差异原因是：本单位固定资产车辆与公务用车保有量一致无差异。</w:t>
      </w:r>
    </w:p>
    <w:p w14:paraId="6296C55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8EC38D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1.24万元，决算数1.24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1.24万元，决算数1.24万元，预决算差异率0.00%，主要原因是：严格按照预算执行，预决算无差异。公务接待费全年预算数0.00万元，决算数0.00万元，预决算差异率0.00%，主要原因是：本单位无公务接待费。</w:t>
      </w:r>
    </w:p>
    <w:p w14:paraId="10DB9102">
      <w:pPr>
        <w:spacing w:line="640" w:lineRule="exact"/>
        <w:ind w:firstLine="640"/>
        <w:jc w:val="both"/>
        <w:outlineLvl w:val="2"/>
      </w:pPr>
      <w:r>
        <w:rPr>
          <w:rFonts w:ascii="黑体" w:hAnsi="黑体" w:eastAsia="黑体"/>
          <w:sz w:val="32"/>
        </w:rPr>
        <w:t>十、其他重要事项的情况说明</w:t>
      </w:r>
    </w:p>
    <w:p w14:paraId="28D0328D">
      <w:pPr>
        <w:spacing w:line="640" w:lineRule="exact"/>
        <w:ind w:firstLine="640"/>
        <w:jc w:val="both"/>
        <w:outlineLvl w:val="3"/>
      </w:pPr>
      <w:r>
        <w:rPr>
          <w:rFonts w:ascii="楷体_GB2312" w:hAnsi="楷体_GB2312" w:eastAsia="楷体_GB2312"/>
          <w:b/>
          <w:sz w:val="32"/>
        </w:rPr>
        <w:t>（一）机关运行经费及公用经费支出情况</w:t>
      </w:r>
    </w:p>
    <w:p w14:paraId="10C13B67">
      <w:pPr>
        <w:spacing w:line="580" w:lineRule="exact"/>
        <w:ind w:firstLine="640"/>
        <w:jc w:val="both"/>
      </w:pPr>
      <w:r>
        <w:rPr>
          <w:rFonts w:ascii="仿宋_GB2312" w:hAnsi="仿宋_GB2312" w:eastAsia="仿宋_GB2312"/>
          <w:b w:val="0"/>
          <w:sz w:val="32"/>
        </w:rPr>
        <w:t>2024年度裕民县巴尔鲁克山国有林管理局（事业单位）公用经费支出11.43万元，比上年减少0.57万元，下降4.75%，主要原因是：本年公务用车运行维护费支出较上年减少，故公用经费支出较上年减少。</w:t>
      </w:r>
    </w:p>
    <w:p w14:paraId="44AAA48D">
      <w:pPr>
        <w:spacing w:line="640" w:lineRule="exact"/>
        <w:ind w:firstLine="640"/>
        <w:jc w:val="both"/>
        <w:outlineLvl w:val="3"/>
      </w:pPr>
      <w:r>
        <w:rPr>
          <w:rFonts w:ascii="楷体_GB2312" w:hAnsi="楷体_GB2312" w:eastAsia="楷体_GB2312"/>
          <w:b/>
          <w:sz w:val="32"/>
        </w:rPr>
        <w:t>（二）政府采购情况</w:t>
      </w:r>
    </w:p>
    <w:p w14:paraId="4D18A7B1">
      <w:pPr>
        <w:spacing w:line="580" w:lineRule="exact"/>
        <w:ind w:firstLine="640"/>
        <w:jc w:val="both"/>
      </w:pPr>
      <w:r>
        <w:rPr>
          <w:rFonts w:ascii="仿宋_GB2312" w:hAnsi="仿宋_GB2312" w:eastAsia="仿宋_GB2312"/>
          <w:b w:val="0"/>
          <w:sz w:val="32"/>
        </w:rPr>
        <w:t>2024年度政府采购支出总额1.19万元，其中：政府采购货物支出0.00万元、政府采购工程支出0.00万元、政府采购服务支出1.19万元。</w:t>
      </w:r>
    </w:p>
    <w:p w14:paraId="511B1618">
      <w:pPr>
        <w:spacing w:line="580" w:lineRule="exact"/>
        <w:ind w:firstLine="640"/>
        <w:jc w:val="both"/>
      </w:pPr>
      <w:r>
        <w:rPr>
          <w:rFonts w:ascii="仿宋_GB2312" w:hAnsi="仿宋_GB2312" w:eastAsia="仿宋_GB2312"/>
          <w:b w:val="0"/>
          <w:sz w:val="32"/>
        </w:rPr>
        <w:t>授予中小企业合同金额1.19万元，占政府采购支出总额的100.00%，其中：授予小微企业合同金额1.19万元，占政府采购支出总额的100.00%。</w:t>
      </w:r>
    </w:p>
    <w:p w14:paraId="43B6DE36">
      <w:pPr>
        <w:spacing w:line="640" w:lineRule="exact"/>
        <w:ind w:firstLine="640"/>
        <w:jc w:val="both"/>
        <w:outlineLvl w:val="3"/>
      </w:pPr>
      <w:r>
        <w:rPr>
          <w:rFonts w:ascii="楷体_GB2312" w:hAnsi="楷体_GB2312" w:eastAsia="楷体_GB2312"/>
          <w:b/>
          <w:sz w:val="32"/>
        </w:rPr>
        <w:t>（三）国有资产占用情况说明</w:t>
      </w:r>
    </w:p>
    <w:p w14:paraId="5BAA3055">
      <w:pPr>
        <w:spacing w:line="580" w:lineRule="exact"/>
        <w:ind w:firstLine="640"/>
        <w:jc w:val="both"/>
      </w:pPr>
      <w:r>
        <w:rPr>
          <w:rFonts w:hint="eastAsia" w:ascii="仿宋_GB2312" w:hAnsi="仿宋_GB2312" w:eastAsia="仿宋_GB2312"/>
          <w:b w:val="0"/>
          <w:sz w:val="32"/>
          <w:lang w:eastAsia="zh-CN"/>
        </w:rPr>
        <w:t>截至2024</w:t>
      </w:r>
      <w:r>
        <w:rPr>
          <w:rFonts w:ascii="仿宋_GB2312" w:hAnsi="仿宋_GB2312" w:eastAsia="仿宋_GB2312"/>
          <w:b w:val="0"/>
          <w:sz w:val="32"/>
        </w:rPr>
        <w:t>年12月31日，房屋1,671.52平方米，价值352.00万元。车辆2辆，价值49.40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14:paraId="41723EB2">
      <w:pPr>
        <w:spacing w:line="640" w:lineRule="exact"/>
        <w:ind w:firstLine="640"/>
        <w:jc w:val="both"/>
        <w:outlineLvl w:val="2"/>
      </w:pPr>
      <w:r>
        <w:rPr>
          <w:rFonts w:ascii="黑体" w:hAnsi="黑体" w:eastAsia="黑体"/>
          <w:sz w:val="32"/>
        </w:rPr>
        <w:t>十一、预算绩效的情况说明</w:t>
      </w:r>
    </w:p>
    <w:p w14:paraId="3CA4688A">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368.03万元，实际执行总额368.03万元；预算绩效评价项目3个，全年预算数170.23万元，全年执行数10.31万元。预算绩效管理取得的成效：一是在项目实施过程中做好定期监督检查，严格按照项目管理规范进行，在项目资金使用过程中，严格落实把关，按照项目资金使用范围做好审核工作，让项目资金落于实处。在项目完成后，做好受益群众民意调查及项目防范工作，二是严格坚持先做事、后验收、再拨付的原则，杜绝了资金被挤占和挪用现象的发生，跟踪检查到位。财政、纪检、监察等职能单位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发现的问题及原因：一是相关绩效管理方面专业知识的系统性学习有待加强。各项指标的设置要进一步优化、完善，主要在细化、量化上改进；二是在绩效自评过程中，</w:t>
      </w:r>
      <w:r>
        <w:rPr>
          <w:rFonts w:hint="eastAsia" w:ascii="仿宋_GB2312" w:hAnsi="仿宋_GB2312" w:eastAsia="仿宋_GB2312"/>
          <w:b w:val="0"/>
          <w:sz w:val="32"/>
          <w:lang w:eastAsia="zh-CN"/>
        </w:rPr>
        <w:t>由于</w:t>
      </w:r>
      <w:r>
        <w:rPr>
          <w:rFonts w:ascii="仿宋_GB2312" w:hAnsi="仿宋_GB2312" w:eastAsia="仿宋_GB2312"/>
          <w:b w:val="0"/>
          <w:sz w:val="32"/>
        </w:rPr>
        <w:t>部分人员缺乏相关绩效管理专业知识，自评价工作还存在自我审定的局限性，影响评价质量。下一步改进措施：一是多进行有关绩效管理工作方面的培训，积极组织第三方开展绩效管理工作培训，进一步夯实业务基础，提高</w:t>
      </w:r>
      <w:r>
        <w:rPr>
          <w:rFonts w:hint="eastAsia" w:ascii="仿宋_GB2312" w:hAnsi="仿宋_GB2312" w:eastAsia="仿宋_GB2312"/>
          <w:b w:val="0"/>
          <w:sz w:val="32"/>
          <w:lang w:eastAsia="zh-CN"/>
        </w:rPr>
        <w:t>本单位</w:t>
      </w:r>
      <w:r>
        <w:rPr>
          <w:rFonts w:ascii="仿宋_GB2312" w:hAnsi="仿宋_GB2312" w:eastAsia="仿宋_GB2312"/>
          <w:b w:val="0"/>
          <w:sz w:val="32"/>
        </w:rPr>
        <w:t>绩效人员水平；二是进一步完善项目评价过程中有关数据和资料的收集、整理、审核及分析</w:t>
      </w:r>
      <w:r>
        <w:rPr>
          <w:rFonts w:hint="eastAsia" w:ascii="仿宋_GB2312" w:hAnsi="仿宋_GB2312" w:eastAsia="仿宋_GB2312"/>
          <w:b w:val="0"/>
          <w:sz w:val="32"/>
          <w:lang w:eastAsia="zh-CN"/>
        </w:rPr>
        <w:t>，在</w:t>
      </w:r>
      <w:r>
        <w:rPr>
          <w:rFonts w:ascii="仿宋_GB2312" w:hAnsi="仿宋_GB2312" w:eastAsia="仿宋_GB2312"/>
          <w:b w:val="0"/>
          <w:sz w:val="32"/>
        </w:rPr>
        <w:t>项目启动时同步做好档案的归纳与整理，及时整理、收集、汇总，健全档案资料，项目后续管理有待进一步加强和跟踪；三是进一步加强对绩效管理工作的组织领导，提高对预算绩效管理工作重要性的认识，总结经验查找问题，抓紧研究制定更全面更完善的绩效评价管理办法。具体附整体支出绩效自评表，项目支出绩效自评表和评价报告。</w:t>
      </w:r>
    </w:p>
    <w:p w14:paraId="6D36903B">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14:paraId="3CD3F48A">
        <w:tblPrEx>
          <w:tblCellMar>
            <w:top w:w="0" w:type="dxa"/>
            <w:left w:w="108" w:type="dxa"/>
            <w:bottom w:w="0" w:type="dxa"/>
            <w:right w:w="108" w:type="dxa"/>
          </w:tblCellMar>
        </w:tblPrEx>
        <w:tc>
          <w:tcPr>
            <w:tcW w:w="8840" w:type="dxa"/>
            <w:gridSpan w:val="8"/>
            <w:vAlign w:val="center"/>
          </w:tcPr>
          <w:p w14:paraId="2015F103">
            <w:pPr>
              <w:jc w:val="center"/>
            </w:pPr>
            <w:r>
              <w:rPr>
                <w:rFonts w:ascii="宋体" w:hAnsi="宋体" w:eastAsia="宋体"/>
                <w:sz w:val="24"/>
              </w:rPr>
              <w:t>单位整体支出绩效自评表</w:t>
            </w:r>
          </w:p>
        </w:tc>
      </w:tr>
      <w:tr w14:paraId="677C42CD">
        <w:tblPrEx>
          <w:tblCellMar>
            <w:top w:w="0" w:type="dxa"/>
            <w:left w:w="108" w:type="dxa"/>
            <w:bottom w:w="0" w:type="dxa"/>
            <w:right w:w="108" w:type="dxa"/>
          </w:tblCellMar>
        </w:tblPrEx>
        <w:tc>
          <w:tcPr>
            <w:tcW w:w="8840" w:type="dxa"/>
            <w:gridSpan w:val="8"/>
            <w:vAlign w:val="center"/>
          </w:tcPr>
          <w:p w14:paraId="74E362E5">
            <w:pPr>
              <w:jc w:val="center"/>
            </w:pPr>
            <w:r>
              <w:rPr>
                <w:rFonts w:ascii="宋体" w:hAnsi="宋体" w:eastAsia="宋体"/>
                <w:sz w:val="24"/>
              </w:rPr>
              <w:t>（2024年度）</w:t>
            </w:r>
          </w:p>
        </w:tc>
      </w:tr>
      <w:tr w14:paraId="2FC2117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F0350D">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1EE024">
            <w:pPr>
              <w:jc w:val="center"/>
            </w:pPr>
            <w:r>
              <w:rPr>
                <w:rFonts w:ascii="宋体" w:hAnsi="宋体" w:eastAsia="宋体"/>
                <w:sz w:val="16"/>
              </w:rPr>
              <w:t>裕民县巴尔鲁克山国有林管理局</w:t>
            </w:r>
          </w:p>
        </w:tc>
      </w:tr>
      <w:tr w14:paraId="7B29637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0B0597">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C80711">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C5FFAE">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FBC688">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DCB136">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FC4F0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13E5A3">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15C574">
            <w:pPr>
              <w:jc w:val="center"/>
            </w:pPr>
            <w:r>
              <w:rPr>
                <w:rFonts w:ascii="宋体" w:hAnsi="宋体" w:eastAsia="宋体"/>
                <w:sz w:val="16"/>
              </w:rPr>
              <w:t>得分</w:t>
            </w:r>
          </w:p>
        </w:tc>
      </w:tr>
      <w:tr w14:paraId="55E433C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36DB24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C69B2E">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B76C79">
            <w:pPr>
              <w:jc w:val="center"/>
            </w:pPr>
            <w:r>
              <w:rPr>
                <w:rFonts w:ascii="宋体" w:hAnsi="宋体" w:eastAsia="宋体"/>
                <w:sz w:val="16"/>
              </w:rPr>
              <w:t>543.94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27707D">
            <w:pPr>
              <w:jc w:val="center"/>
            </w:pPr>
            <w:r>
              <w:rPr>
                <w:rFonts w:ascii="宋体" w:hAnsi="宋体" w:eastAsia="宋体"/>
                <w:sz w:val="16"/>
              </w:rPr>
              <w:t>368.03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A49D83">
            <w:pPr>
              <w:jc w:val="center"/>
            </w:pPr>
            <w:r>
              <w:rPr>
                <w:rFonts w:ascii="宋体" w:hAnsi="宋体" w:eastAsia="宋体"/>
                <w:sz w:val="16"/>
              </w:rPr>
              <w:t>368.03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A0FB0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47A2D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A028D5">
            <w:pPr>
              <w:jc w:val="center"/>
            </w:pPr>
            <w:r>
              <w:rPr>
                <w:rFonts w:ascii="宋体" w:hAnsi="宋体" w:eastAsia="宋体"/>
                <w:sz w:val="16"/>
              </w:rPr>
              <w:t>10</w:t>
            </w:r>
          </w:p>
        </w:tc>
      </w:tr>
      <w:tr w14:paraId="6233B6D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D1F5E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4DA2F7">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B0735B">
            <w:pPr>
              <w:jc w:val="center"/>
            </w:pPr>
            <w:r>
              <w:rPr>
                <w:rFonts w:ascii="宋体" w:hAnsi="宋体" w:eastAsia="宋体"/>
                <w:sz w:val="16"/>
              </w:rPr>
              <w:t>161.16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CB141A">
            <w:pPr>
              <w:jc w:val="center"/>
            </w:pPr>
            <w:r>
              <w:rPr>
                <w:rFonts w:ascii="宋体" w:hAnsi="宋体" w:eastAsia="宋体"/>
                <w:sz w:val="16"/>
              </w:rPr>
              <w:t>1.24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552457">
            <w:pPr>
              <w:jc w:val="center"/>
            </w:pPr>
            <w:r>
              <w:rPr>
                <w:rFonts w:ascii="宋体" w:hAnsi="宋体" w:eastAsia="宋体"/>
                <w:sz w:val="16"/>
              </w:rPr>
              <w:t>1.24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41D40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1831C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42F04C">
            <w:pPr>
              <w:jc w:val="center"/>
            </w:pPr>
            <w:r>
              <w:rPr>
                <w:rFonts w:ascii="宋体" w:hAnsi="宋体" w:eastAsia="宋体"/>
                <w:sz w:val="16"/>
              </w:rPr>
              <w:t>-</w:t>
            </w:r>
          </w:p>
        </w:tc>
      </w:tr>
      <w:tr w14:paraId="5F14E7F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81AD16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F94D18">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8E24F6">
            <w:pPr>
              <w:jc w:val="center"/>
            </w:pPr>
            <w:r>
              <w:rPr>
                <w:rFonts w:ascii="宋体" w:hAnsi="宋体" w:eastAsia="宋体"/>
                <w:sz w:val="16"/>
              </w:rPr>
              <w:t>382.78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181299">
            <w:pPr>
              <w:jc w:val="center"/>
            </w:pPr>
            <w:r>
              <w:rPr>
                <w:rFonts w:ascii="宋体" w:hAnsi="宋体" w:eastAsia="宋体"/>
                <w:sz w:val="16"/>
              </w:rPr>
              <w:t>366.79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92E101">
            <w:pPr>
              <w:jc w:val="center"/>
            </w:pPr>
            <w:r>
              <w:rPr>
                <w:rFonts w:ascii="宋体" w:hAnsi="宋体" w:eastAsia="宋体"/>
                <w:sz w:val="16"/>
              </w:rPr>
              <w:t>366.79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A4209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C9FFD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328273">
            <w:pPr>
              <w:jc w:val="center"/>
            </w:pPr>
            <w:r>
              <w:rPr>
                <w:rFonts w:ascii="宋体" w:hAnsi="宋体" w:eastAsia="宋体"/>
                <w:sz w:val="16"/>
              </w:rPr>
              <w:t>-</w:t>
            </w:r>
          </w:p>
        </w:tc>
      </w:tr>
      <w:tr w14:paraId="46AA37D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6D932BA">
            <w:bookmarkStart w:id="0" w:name="_GoBack" w:colFirst="5" w:colLast="7"/>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5C62F0">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1B75E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0D08B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B9A8D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64055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2A9F4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8E722A">
            <w:pPr>
              <w:jc w:val="center"/>
            </w:pPr>
            <w:r>
              <w:rPr>
                <w:rFonts w:ascii="宋体" w:hAnsi="宋体" w:eastAsia="宋体"/>
                <w:sz w:val="16"/>
              </w:rPr>
              <w:t>-</w:t>
            </w:r>
          </w:p>
        </w:tc>
      </w:tr>
      <w:bookmarkEnd w:id="0"/>
      <w:tr w14:paraId="3E8D2C6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243879">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B38579A">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5B79254">
            <w:pPr>
              <w:jc w:val="center"/>
            </w:pPr>
            <w:r>
              <w:rPr>
                <w:rFonts w:ascii="宋体" w:hAnsi="宋体" w:eastAsia="宋体"/>
                <w:sz w:val="16"/>
              </w:rPr>
              <w:t>实际完成情况</w:t>
            </w:r>
          </w:p>
        </w:tc>
      </w:tr>
      <w:tr w14:paraId="7791917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BE9183"/>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D7FE2C8">
            <w:pPr>
              <w:jc w:val="both"/>
            </w:pPr>
            <w:r>
              <w:rPr>
                <w:rFonts w:ascii="宋体" w:hAnsi="宋体" w:eastAsia="宋体"/>
                <w:sz w:val="16"/>
              </w:rPr>
              <w:t>抓好森林管护工作，明确各管护区公益林护林员任务，确保57.56万亩公益林区不出现乱砍滥伐，以及火灾等情况发生；抓好森林防火应急小分队建设，组织开展防火演练，提高应急处突能力，有效防范林区火灾；抓好天然林保护恢复工作，有效保障森林资源安全；开展铁列克提林区鼠害防治及林区松材线虫病检疫工作，保护林业产业及森林资源和国土生态安全等；健全智能管护体系，为全县森林资源保驾护航。</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D251DF3">
            <w:pPr>
              <w:jc w:val="both"/>
            </w:pPr>
            <w:r>
              <w:rPr>
                <w:rFonts w:ascii="宋体" w:hAnsi="宋体" w:eastAsia="宋体"/>
                <w:sz w:val="16"/>
              </w:rPr>
              <w:t>抓好森林管护工作，明确各管护区公益林护林员任务，全年开展公益林管护，开展公益林宣传2次，确保了57.56万亩公益林区不出现乱砍滥伐，以及火灾等情况发生；抓好森林防火应急小分队建设，组建7人应急小分队，组织开展防火演练3次，提高应急处突能力，有效防范林区火灾；抓好天然林保护恢复工作，有效保障森林资源安全；完成铁列克提林区鼠害防治2万亩，保护林业产业及森林资源和国土生态安全等；健全智能管护体系，</w:t>
            </w:r>
            <w:r>
              <w:rPr>
                <w:rFonts w:hint="eastAsia" w:ascii="宋体" w:hAnsi="宋体"/>
                <w:sz w:val="16"/>
                <w:lang w:eastAsia="zh-CN"/>
              </w:rPr>
              <w:t>租赁</w:t>
            </w:r>
            <w:r>
              <w:rPr>
                <w:rFonts w:ascii="宋体" w:hAnsi="宋体" w:eastAsia="宋体"/>
                <w:sz w:val="16"/>
              </w:rPr>
              <w:t>智能管护平台2个，为全县森林资源保驾护航。</w:t>
            </w:r>
          </w:p>
        </w:tc>
      </w:tr>
      <w:tr w14:paraId="237B4BA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142AD3">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171F52">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0203BA">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775470">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37AD9E">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107CBE">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A34762">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596BAF">
            <w:pPr>
              <w:jc w:val="center"/>
            </w:pPr>
            <w:r>
              <w:rPr>
                <w:rFonts w:ascii="宋体" w:hAnsi="宋体" w:eastAsia="宋体"/>
                <w:sz w:val="16"/>
              </w:rPr>
              <w:t>得分</w:t>
            </w:r>
          </w:p>
        </w:tc>
      </w:tr>
      <w:tr w14:paraId="6B6C229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5855FB">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9A3B5A">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5C39D3">
            <w:pPr>
              <w:jc w:val="center"/>
            </w:pPr>
            <w:r>
              <w:rPr>
                <w:rFonts w:ascii="宋体" w:hAnsi="宋体" w:eastAsia="宋体"/>
                <w:sz w:val="16"/>
              </w:rPr>
              <w:t>开展公益林宣传</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E89519">
            <w:pPr>
              <w:jc w:val="center"/>
            </w:pPr>
            <w:r>
              <w:rPr>
                <w:rFonts w:ascii="宋体" w:hAnsi="宋体" w:eastAsia="宋体"/>
                <w:sz w:val="16"/>
              </w:rPr>
              <w: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82D653">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89650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7ABB39">
            <w:pPr>
              <w:jc w:val="center"/>
            </w:pPr>
            <w:r>
              <w:rPr>
                <w:rFonts w:ascii="宋体" w:hAnsi="宋体" w:eastAsia="宋体"/>
                <w:sz w:val="16"/>
              </w:rPr>
              <w: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34BEF4">
            <w:pPr>
              <w:jc w:val="center"/>
            </w:pPr>
            <w:r>
              <w:rPr>
                <w:rFonts w:ascii="宋体" w:hAnsi="宋体" w:eastAsia="宋体"/>
                <w:sz w:val="16"/>
              </w:rPr>
              <w:t>15</w:t>
            </w:r>
          </w:p>
        </w:tc>
      </w:tr>
      <w:tr w14:paraId="7DBE49E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223C8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C1E172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581A7E">
            <w:pPr>
              <w:jc w:val="center"/>
            </w:pPr>
            <w:r>
              <w:rPr>
                <w:rFonts w:ascii="宋体" w:hAnsi="宋体" w:eastAsia="宋体"/>
                <w:sz w:val="16"/>
              </w:rPr>
              <w:t>开展防火演练次数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0FC4C6">
            <w:pPr>
              <w:jc w:val="center"/>
            </w:pPr>
            <w:r>
              <w:rPr>
                <w:rFonts w:ascii="宋体" w:hAnsi="宋体" w:eastAsia="宋体"/>
                <w:sz w:val="16"/>
              </w:rPr>
              <w: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055C4B">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1EB114">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C43765">
            <w:pPr>
              <w:jc w:val="center"/>
            </w:pPr>
            <w:r>
              <w:rPr>
                <w:rFonts w:ascii="宋体" w:hAnsi="宋体" w:eastAsia="宋体"/>
                <w:sz w:val="16"/>
              </w:rPr>
              <w: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0D85EC">
            <w:pPr>
              <w:jc w:val="center"/>
            </w:pPr>
            <w:r>
              <w:rPr>
                <w:rFonts w:ascii="宋体" w:hAnsi="宋体" w:eastAsia="宋体"/>
                <w:sz w:val="16"/>
              </w:rPr>
              <w:t>15</w:t>
            </w:r>
          </w:p>
        </w:tc>
      </w:tr>
      <w:tr w14:paraId="6D320AB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3ACB0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16540A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986CC4">
            <w:pPr>
              <w:jc w:val="center"/>
            </w:pPr>
            <w:r>
              <w:rPr>
                <w:rFonts w:ascii="宋体" w:hAnsi="宋体" w:eastAsia="宋体"/>
                <w:sz w:val="16"/>
              </w:rPr>
              <w:t>完成公益林管护面积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D75EAF">
            <w:pPr>
              <w:jc w:val="center"/>
            </w:pPr>
            <w:r>
              <w:rPr>
                <w:rFonts w:ascii="宋体" w:hAnsi="宋体" w:eastAsia="宋体"/>
                <w:sz w:val="16"/>
              </w:rPr>
              <w:t>57.56万亩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C4EE48">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D32062">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70EB97">
            <w:pPr>
              <w:jc w:val="center"/>
            </w:pPr>
            <w:r>
              <w:rPr>
                <w:rFonts w:ascii="宋体" w:hAnsi="宋体" w:eastAsia="宋体"/>
                <w:sz w:val="16"/>
              </w:rPr>
              <w:t>57.56万亩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DB47A5">
            <w:pPr>
              <w:jc w:val="center"/>
            </w:pPr>
            <w:r>
              <w:rPr>
                <w:rFonts w:ascii="宋体" w:hAnsi="宋体" w:eastAsia="宋体"/>
                <w:sz w:val="16"/>
              </w:rPr>
              <w:t>15</w:t>
            </w:r>
          </w:p>
        </w:tc>
      </w:tr>
      <w:tr w14:paraId="4FE78E1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8A193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FB9A2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69BE11">
            <w:pPr>
              <w:jc w:val="center"/>
            </w:pPr>
            <w:r>
              <w:rPr>
                <w:rFonts w:ascii="宋体" w:hAnsi="宋体" w:eastAsia="宋体"/>
                <w:sz w:val="16"/>
              </w:rPr>
              <w:t>铁列克提林区鼠害防治面积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BE9FF6">
            <w:pPr>
              <w:jc w:val="center"/>
            </w:pPr>
            <w:r>
              <w:rPr>
                <w:rFonts w:ascii="宋体" w:hAnsi="宋体" w:eastAsia="宋体"/>
                <w:sz w:val="16"/>
              </w:rPr>
              <w:t>2万亩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569E35">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09CF3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89AC31">
            <w:pPr>
              <w:jc w:val="center"/>
            </w:pPr>
            <w:r>
              <w:rPr>
                <w:rFonts w:ascii="宋体" w:hAnsi="宋体" w:eastAsia="宋体"/>
                <w:sz w:val="16"/>
              </w:rPr>
              <w:t>2万亩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327F9C">
            <w:pPr>
              <w:jc w:val="center"/>
            </w:pPr>
            <w:r>
              <w:rPr>
                <w:rFonts w:ascii="宋体" w:hAnsi="宋体" w:eastAsia="宋体"/>
                <w:sz w:val="16"/>
              </w:rPr>
              <w:t>15</w:t>
            </w:r>
          </w:p>
        </w:tc>
      </w:tr>
      <w:tr w14:paraId="6AF413B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12A2D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F1CE4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D57184">
            <w:pPr>
              <w:jc w:val="center"/>
            </w:pPr>
            <w:r>
              <w:rPr>
                <w:rFonts w:hint="eastAsia" w:ascii="宋体" w:hAnsi="宋体"/>
                <w:sz w:val="16"/>
                <w:lang w:eastAsia="zh-CN"/>
              </w:rPr>
              <w:t>租赁</w:t>
            </w:r>
            <w:r>
              <w:rPr>
                <w:rFonts w:ascii="宋体" w:hAnsi="宋体" w:eastAsia="宋体"/>
                <w:sz w:val="16"/>
              </w:rPr>
              <w:t>智能管护平台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2AC779">
            <w:pPr>
              <w:jc w:val="center"/>
            </w:pPr>
            <w:r>
              <w:rPr>
                <w:rFonts w:ascii="宋体" w:hAnsi="宋体" w:eastAsia="宋体"/>
                <w:sz w:val="16"/>
              </w:rPr>
              <w: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6ED299">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17E18F">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1C4733">
            <w:pPr>
              <w:jc w:val="center"/>
            </w:pPr>
            <w:r>
              <w:rPr>
                <w:rFonts w:ascii="宋体" w:hAnsi="宋体" w:eastAsia="宋体"/>
                <w:sz w:val="16"/>
              </w:rPr>
              <w: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57A826">
            <w:pPr>
              <w:jc w:val="center"/>
            </w:pPr>
            <w:r>
              <w:rPr>
                <w:rFonts w:ascii="宋体" w:hAnsi="宋体" w:eastAsia="宋体"/>
                <w:sz w:val="16"/>
              </w:rPr>
              <w:t>15</w:t>
            </w:r>
          </w:p>
        </w:tc>
      </w:tr>
      <w:tr w14:paraId="7BBA03F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A8B1B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C7B405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D6E7B9">
            <w:pPr>
              <w:jc w:val="center"/>
            </w:pPr>
            <w:r>
              <w:rPr>
                <w:rFonts w:ascii="宋体" w:hAnsi="宋体" w:eastAsia="宋体"/>
                <w:sz w:val="16"/>
              </w:rPr>
              <w:t>组建应急小分队人数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AB83E8">
            <w:pPr>
              <w:jc w:val="center"/>
            </w:pPr>
            <w:r>
              <w:rPr>
                <w:rFonts w:ascii="宋体" w:hAnsi="宋体" w:eastAsia="宋体"/>
                <w:sz w:val="16"/>
              </w:rPr>
              <w:t>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884A1C">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E578E4">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2FA20B">
            <w:pPr>
              <w:jc w:val="center"/>
            </w:pPr>
            <w:r>
              <w:rPr>
                <w:rFonts w:ascii="宋体" w:hAnsi="宋体" w:eastAsia="宋体"/>
                <w:sz w:val="16"/>
              </w:rPr>
              <w:t>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30A671">
            <w:pPr>
              <w:jc w:val="center"/>
            </w:pPr>
            <w:r>
              <w:rPr>
                <w:rFonts w:ascii="宋体" w:hAnsi="宋体" w:eastAsia="宋体"/>
                <w:sz w:val="16"/>
              </w:rPr>
              <w:t>15</w:t>
            </w:r>
          </w:p>
        </w:tc>
      </w:tr>
    </w:tbl>
    <w:p w14:paraId="11C25712">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EE9B1D7">
        <w:tblPrEx>
          <w:tblCellMar>
            <w:top w:w="0" w:type="dxa"/>
            <w:left w:w="108" w:type="dxa"/>
            <w:bottom w:w="0" w:type="dxa"/>
            <w:right w:w="108" w:type="dxa"/>
          </w:tblCellMar>
        </w:tblPrEx>
        <w:tc>
          <w:tcPr>
            <w:tcW w:w="8848" w:type="dxa"/>
            <w:gridSpan w:val="14"/>
            <w:vAlign w:val="center"/>
          </w:tcPr>
          <w:p w14:paraId="5AB216E6">
            <w:pPr>
              <w:jc w:val="center"/>
            </w:pPr>
            <w:r>
              <w:rPr>
                <w:rFonts w:ascii="宋体" w:hAnsi="宋体" w:eastAsia="宋体"/>
                <w:sz w:val="24"/>
              </w:rPr>
              <w:t>项目支出绩效自评表</w:t>
            </w:r>
          </w:p>
        </w:tc>
      </w:tr>
      <w:tr w14:paraId="66A19AF3">
        <w:tblPrEx>
          <w:tblCellMar>
            <w:top w:w="0" w:type="dxa"/>
            <w:left w:w="108" w:type="dxa"/>
            <w:bottom w:w="0" w:type="dxa"/>
            <w:right w:w="108" w:type="dxa"/>
          </w:tblCellMar>
        </w:tblPrEx>
        <w:tc>
          <w:tcPr>
            <w:tcW w:w="8848" w:type="dxa"/>
            <w:gridSpan w:val="14"/>
            <w:vAlign w:val="center"/>
          </w:tcPr>
          <w:p w14:paraId="3D4FA2BE">
            <w:pPr>
              <w:jc w:val="center"/>
            </w:pPr>
            <w:r>
              <w:rPr>
                <w:rFonts w:ascii="宋体" w:hAnsi="宋体" w:eastAsia="宋体"/>
                <w:sz w:val="24"/>
              </w:rPr>
              <w:t>(2024年度)</w:t>
            </w:r>
          </w:p>
        </w:tc>
      </w:tr>
      <w:tr w14:paraId="626F5B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490A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79C3C1E">
            <w:pPr>
              <w:jc w:val="center"/>
            </w:pPr>
            <w:r>
              <w:rPr>
                <w:rFonts w:ascii="宋体" w:hAnsi="宋体" w:eastAsia="宋体"/>
                <w:sz w:val="16"/>
              </w:rPr>
              <w:t>塔城地区裕民县巴尔鲁克山国有林管理局天然林资源保护修护2022年度第二批资金</w:t>
            </w:r>
          </w:p>
        </w:tc>
      </w:tr>
      <w:tr w14:paraId="792D591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717C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15E8E5">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9FA1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61FE2C">
            <w:pPr>
              <w:jc w:val="center"/>
            </w:pPr>
            <w:r>
              <w:rPr>
                <w:rFonts w:ascii="宋体" w:hAnsi="宋体" w:eastAsia="宋体"/>
                <w:sz w:val="16"/>
              </w:rPr>
              <w:t>裕民县巴尔鲁克山国有林管理局</w:t>
            </w:r>
          </w:p>
        </w:tc>
      </w:tr>
      <w:tr w14:paraId="3291524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C0623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7406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1A00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CDE2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8D07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40D8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CF7C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0162D">
            <w:pPr>
              <w:jc w:val="center"/>
            </w:pPr>
            <w:r>
              <w:rPr>
                <w:rFonts w:ascii="宋体" w:hAnsi="宋体" w:eastAsia="宋体"/>
                <w:sz w:val="16"/>
              </w:rPr>
              <w:t>得分</w:t>
            </w:r>
          </w:p>
        </w:tc>
      </w:tr>
      <w:tr w14:paraId="1D9EA4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80E04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2D15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CD1E9">
            <w:pPr>
              <w:jc w:val="center"/>
            </w:pPr>
            <w:r>
              <w:rPr>
                <w:rFonts w:ascii="宋体" w:hAnsi="宋体" w:eastAsia="宋体"/>
                <w:sz w:val="16"/>
              </w:rPr>
              <w:t>88.79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DE660">
            <w:pPr>
              <w:jc w:val="center"/>
            </w:pPr>
            <w:r>
              <w:rPr>
                <w:rFonts w:ascii="宋体" w:hAnsi="宋体" w:eastAsia="宋体"/>
                <w:sz w:val="16"/>
              </w:rPr>
              <w:t>88.79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F85E4">
            <w:pPr>
              <w:jc w:val="center"/>
            </w:pPr>
            <w:r>
              <w:rPr>
                <w:rFonts w:ascii="宋体" w:hAnsi="宋体" w:eastAsia="宋体"/>
                <w:sz w:val="16"/>
              </w:rPr>
              <w:t>1.24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49C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CDB4A">
            <w:pPr>
              <w:jc w:val="center"/>
            </w:pPr>
            <w:r>
              <w:rPr>
                <w:rFonts w:ascii="宋体" w:hAnsi="宋体" w:eastAsia="宋体"/>
                <w:sz w:val="16"/>
              </w:rPr>
              <w:t>1.40%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BC127">
            <w:pPr>
              <w:jc w:val="center"/>
            </w:pPr>
            <w:r>
              <w:rPr>
                <w:rFonts w:ascii="宋体" w:hAnsi="宋体" w:eastAsia="宋体"/>
                <w:sz w:val="16"/>
              </w:rPr>
              <w:t>0.14</w:t>
            </w:r>
          </w:p>
        </w:tc>
      </w:tr>
      <w:tr w14:paraId="666D2E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17DB0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38EE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2DF11">
            <w:pPr>
              <w:jc w:val="center"/>
            </w:pPr>
            <w:r>
              <w:rPr>
                <w:rFonts w:ascii="宋体" w:hAnsi="宋体" w:eastAsia="宋体"/>
                <w:sz w:val="16"/>
              </w:rPr>
              <w:t>88.79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79DA9">
            <w:pPr>
              <w:jc w:val="center"/>
            </w:pPr>
            <w:r>
              <w:rPr>
                <w:rFonts w:ascii="宋体" w:hAnsi="宋体" w:eastAsia="宋体"/>
                <w:sz w:val="16"/>
              </w:rPr>
              <w:t>88.79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21C28">
            <w:pPr>
              <w:jc w:val="center"/>
            </w:pPr>
            <w:r>
              <w:rPr>
                <w:rFonts w:ascii="宋体" w:hAnsi="宋体" w:eastAsia="宋体"/>
                <w:sz w:val="16"/>
              </w:rPr>
              <w:t>1.24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5D1F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064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18BCE">
            <w:pPr>
              <w:jc w:val="center"/>
            </w:pPr>
            <w:r>
              <w:rPr>
                <w:rFonts w:ascii="宋体" w:hAnsi="宋体" w:eastAsia="宋体"/>
                <w:sz w:val="16"/>
              </w:rPr>
              <w:t>—</w:t>
            </w:r>
          </w:p>
        </w:tc>
      </w:tr>
      <w:tr w14:paraId="39BFF5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068AF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9E26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965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D4B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3CBD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D7F0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E50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5A071">
            <w:pPr>
              <w:jc w:val="center"/>
            </w:pPr>
            <w:r>
              <w:rPr>
                <w:rFonts w:ascii="宋体" w:hAnsi="宋体" w:eastAsia="宋体"/>
                <w:sz w:val="16"/>
              </w:rPr>
              <w:t>—</w:t>
            </w:r>
          </w:p>
        </w:tc>
      </w:tr>
      <w:tr w14:paraId="5EF7605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76787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CA136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8A3C87">
            <w:pPr>
              <w:jc w:val="center"/>
            </w:pPr>
            <w:r>
              <w:rPr>
                <w:rFonts w:ascii="宋体" w:hAnsi="宋体" w:eastAsia="宋体"/>
                <w:sz w:val="16"/>
              </w:rPr>
              <w:t>实际完成情况</w:t>
            </w:r>
          </w:p>
        </w:tc>
      </w:tr>
      <w:tr w14:paraId="3FEDF1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3D9EB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239BC0">
            <w:pPr>
              <w:jc w:val="both"/>
            </w:pPr>
            <w:r>
              <w:rPr>
                <w:rFonts w:ascii="宋体" w:hAnsi="宋体" w:eastAsia="宋体"/>
                <w:sz w:val="16"/>
              </w:rPr>
              <w:t>该项目预算资金88.79万元，主要是对7个管护站进行维护、</w:t>
            </w:r>
            <w:r>
              <w:rPr>
                <w:rFonts w:hint="eastAsia" w:ascii="宋体" w:hAnsi="宋体"/>
                <w:sz w:val="16"/>
                <w:lang w:eastAsia="zh-CN"/>
              </w:rPr>
              <w:t>租赁</w:t>
            </w:r>
            <w:r>
              <w:rPr>
                <w:rFonts w:ascii="宋体" w:hAnsi="宋体" w:eastAsia="宋体"/>
                <w:sz w:val="16"/>
              </w:rPr>
              <w:t>2个高空云台，通过管护站所修建供电设施、简易维修、信息化平台等方面的建设，改善了林区职工生产生活条件，使林区职工能够更</w:t>
            </w:r>
            <w:r>
              <w:rPr>
                <w:rFonts w:hint="eastAsia" w:ascii="宋体" w:hAnsi="宋体"/>
                <w:sz w:val="16"/>
                <w:lang w:eastAsia="zh-CN"/>
              </w:rPr>
              <w:t>安心地</w:t>
            </w:r>
            <w:r>
              <w:rPr>
                <w:rFonts w:ascii="宋体" w:hAnsi="宋体" w:eastAsia="宋体"/>
                <w:sz w:val="16"/>
              </w:rPr>
              <w:t>护林守林，林区社会经济发展由稳步复苏进一步向和谐发展转变，民生明显改善，社会保障能力全面提升，林区社会和谐稳定。目标1：管护站基础设施明显改善，修缮管护站，护林员工作、生活环境得到改善。目标2：智能管护和信息化建设得到提升，通过建设视频监控实现林业管理现代化。</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8B8B12">
            <w:pPr>
              <w:jc w:val="both"/>
            </w:pPr>
            <w:r>
              <w:rPr>
                <w:rFonts w:ascii="宋体" w:hAnsi="宋体" w:eastAsia="宋体"/>
                <w:sz w:val="16"/>
              </w:rPr>
              <w:t>塔城地区裕民县巴尔鲁克山国有林管理局天然林资源保护修护2022年度第二批资金，预算资金88.79万元，</w:t>
            </w:r>
            <w:r>
              <w:rPr>
                <w:rFonts w:hint="eastAsia" w:ascii="宋体" w:hAnsi="宋体"/>
                <w:sz w:val="16"/>
                <w:lang w:eastAsia="zh-CN"/>
              </w:rPr>
              <w:t>截至2024</w:t>
            </w:r>
            <w:r>
              <w:rPr>
                <w:rFonts w:ascii="宋体" w:hAnsi="宋体" w:eastAsia="宋体"/>
                <w:sz w:val="16"/>
              </w:rPr>
              <w:t>年12月31日支付1.24万元，已完成了7个管护站的维修，2个智能高空巡护平台的搭建，7个管护站维修已完成，2座高空视频监控云台搭建完成，</w:t>
            </w:r>
            <w:r>
              <w:rPr>
                <w:rFonts w:hint="eastAsia" w:ascii="宋体" w:hAnsi="宋体"/>
                <w:sz w:val="16"/>
                <w:lang w:eastAsia="zh-CN"/>
              </w:rPr>
              <w:t>项目</w:t>
            </w:r>
            <w:r>
              <w:rPr>
                <w:rFonts w:ascii="宋体" w:hAnsi="宋体" w:eastAsia="宋体"/>
                <w:sz w:val="16"/>
              </w:rPr>
              <w:t>由于冬季林区无法进入，暂无法进行验收。管护站维修改造提升了护林员工作、生活环境，提高了护林员工作的积极性和主动性。高空云台的建设使森林防火智能化建设进一步提升，实现了林业防火管理现代化。</w:t>
            </w:r>
          </w:p>
        </w:tc>
      </w:tr>
      <w:tr w14:paraId="66D9CEF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52344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B16D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F34E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D8B4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895C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FFFE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7685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040B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1976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3EEC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2CDE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C487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2706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4A326">
            <w:pPr>
              <w:jc w:val="center"/>
            </w:pPr>
            <w:r>
              <w:rPr>
                <w:rFonts w:ascii="宋体" w:hAnsi="宋体" w:eastAsia="宋体"/>
                <w:sz w:val="16"/>
              </w:rPr>
              <w:t>偏差原因分析及改进措施</w:t>
            </w:r>
          </w:p>
        </w:tc>
      </w:tr>
      <w:tr w14:paraId="780FAD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15E6B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82011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2C84F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9D923">
            <w:pPr>
              <w:jc w:val="center"/>
            </w:pPr>
            <w:r>
              <w:rPr>
                <w:rFonts w:ascii="宋体" w:hAnsi="宋体" w:eastAsia="宋体"/>
                <w:sz w:val="16"/>
              </w:rPr>
              <w:t>管护站基础设施维护个数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C2497">
            <w:pPr>
              <w:jc w:val="center"/>
            </w:pPr>
            <w:r>
              <w:rPr>
                <w:rFonts w:ascii="宋体" w:hAnsi="宋体" w:eastAsia="宋体"/>
                <w:sz w:val="16"/>
              </w:rPr>
              <w:t>=7座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E26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84B0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0AD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B6D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02D7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35548">
            <w:pPr>
              <w:jc w:val="center"/>
            </w:pPr>
            <w:r>
              <w:rPr>
                <w:rFonts w:ascii="宋体" w:hAnsi="宋体" w:eastAsia="宋体"/>
                <w:sz w:val="16"/>
              </w:rPr>
              <w:t>7座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87C8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07A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BCD0B">
            <w:pPr>
              <w:jc w:val="center"/>
            </w:pPr>
          </w:p>
        </w:tc>
      </w:tr>
      <w:tr w14:paraId="7EF9CD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E9FD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9468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A805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B08C0">
            <w:pPr>
              <w:jc w:val="center"/>
            </w:pPr>
            <w:r>
              <w:rPr>
                <w:rFonts w:hint="eastAsia" w:ascii="宋体" w:hAnsi="宋体"/>
                <w:sz w:val="16"/>
                <w:lang w:eastAsia="zh-CN"/>
              </w:rPr>
              <w:t>租赁</w:t>
            </w:r>
            <w:r>
              <w:rPr>
                <w:rFonts w:ascii="宋体" w:hAnsi="宋体" w:eastAsia="宋体"/>
                <w:sz w:val="16"/>
              </w:rPr>
              <w:t>高空视频监控云台个数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523EA">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DBE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2F64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7C1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440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92D0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AE13D">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3556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9F0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65C75">
            <w:pPr>
              <w:jc w:val="center"/>
            </w:pPr>
          </w:p>
        </w:tc>
      </w:tr>
      <w:tr w14:paraId="297441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6A97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6C3E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B97D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1D8D3">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912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A7E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8235A">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B6C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1F1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713F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20E0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ADBE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DC49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8CA9F">
            <w:pPr>
              <w:jc w:val="center"/>
            </w:pPr>
            <w:r>
              <w:rPr>
                <w:rFonts w:ascii="宋体" w:hAnsi="宋体" w:eastAsia="宋体"/>
                <w:sz w:val="16"/>
              </w:rPr>
              <w:t>项目已实施完成，项目区冬季无法达到，未开展审计决算，待路通后及时开展决算。</w:t>
            </w:r>
          </w:p>
        </w:tc>
      </w:tr>
      <w:tr w14:paraId="08F831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261E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FE5D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FA23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4D19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CE3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1488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970E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59C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3F38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7C65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FBE7D">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655E0">
            <w:pPr>
              <w:jc w:val="center"/>
            </w:pPr>
            <w:r>
              <w:rPr>
                <w:rFonts w:ascii="宋体" w:hAnsi="宋体" w:eastAsia="宋体"/>
                <w:sz w:val="16"/>
              </w:rPr>
              <w:t>1.40%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8305C">
            <w:pPr>
              <w:jc w:val="center"/>
            </w:pPr>
            <w:r>
              <w:rPr>
                <w:rFonts w:ascii="宋体" w:hAnsi="宋体" w:eastAsia="宋体"/>
                <w:sz w:val="16"/>
              </w:rPr>
              <w:t>0.14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17AAF">
            <w:pPr>
              <w:jc w:val="center"/>
            </w:pPr>
            <w:r>
              <w:rPr>
                <w:rFonts w:ascii="宋体" w:hAnsi="宋体" w:eastAsia="宋体"/>
                <w:sz w:val="16"/>
              </w:rPr>
              <w:t>项目已实施完成，项目区冬季无法达到，未开展审计决算，待路通后及时开展决算，进行支付</w:t>
            </w:r>
          </w:p>
        </w:tc>
      </w:tr>
      <w:tr w14:paraId="5A3F3C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F54E6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25D9D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AFB91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1B45B">
            <w:pPr>
              <w:jc w:val="center"/>
            </w:pPr>
            <w:r>
              <w:rPr>
                <w:rFonts w:hint="eastAsia" w:ascii="宋体" w:hAnsi="宋体"/>
                <w:sz w:val="16"/>
                <w:lang w:eastAsia="zh-CN"/>
              </w:rPr>
              <w:t>租赁</w:t>
            </w:r>
            <w:r>
              <w:rPr>
                <w:rFonts w:ascii="宋体" w:hAnsi="宋体" w:eastAsia="宋体"/>
                <w:sz w:val="16"/>
              </w:rPr>
              <w:t>高空视频监控云台平均成本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F5D35">
            <w:pPr>
              <w:jc w:val="center"/>
            </w:pPr>
            <w:r>
              <w:rPr>
                <w:rFonts w:ascii="宋体" w:hAnsi="宋体" w:eastAsia="宋体"/>
                <w:sz w:val="16"/>
              </w:rPr>
              <w:t>&lt;=24.575万元/个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315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C462D">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100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5CA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E53E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AA3D0">
            <w:pPr>
              <w:jc w:val="center"/>
            </w:pPr>
            <w:r>
              <w:rPr>
                <w:rFonts w:ascii="宋体" w:hAnsi="宋体" w:eastAsia="宋体"/>
                <w:sz w:val="16"/>
              </w:rPr>
              <w:t>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8C29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A849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02B04">
            <w:pPr>
              <w:jc w:val="center"/>
            </w:pPr>
            <w:r>
              <w:rPr>
                <w:rFonts w:ascii="宋体" w:hAnsi="宋体" w:eastAsia="宋体"/>
                <w:sz w:val="16"/>
              </w:rPr>
              <w:t>项目已实施完成，项目区冬季无法达到，待验收后，进行支付</w:t>
            </w:r>
          </w:p>
        </w:tc>
      </w:tr>
      <w:tr w14:paraId="0A1FBB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5081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091A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4668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71247">
            <w:pPr>
              <w:jc w:val="center"/>
            </w:pPr>
            <w:r>
              <w:rPr>
                <w:rFonts w:ascii="宋体" w:hAnsi="宋体" w:eastAsia="宋体"/>
                <w:sz w:val="16"/>
              </w:rPr>
              <w:t>管护站维修平均成本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93317">
            <w:pPr>
              <w:jc w:val="center"/>
            </w:pPr>
            <w:r>
              <w:rPr>
                <w:rFonts w:ascii="宋体" w:hAnsi="宋体" w:eastAsia="宋体"/>
                <w:sz w:val="16"/>
              </w:rPr>
              <w:t>&lt;=5.66万元/座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9EB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3D0D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2EF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B20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7E38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3B012">
            <w:pPr>
              <w:jc w:val="center"/>
            </w:pPr>
            <w:r>
              <w:rPr>
                <w:rFonts w:ascii="宋体" w:hAnsi="宋体" w:eastAsia="宋体"/>
                <w:sz w:val="16"/>
              </w:rPr>
              <w:t>0万元/座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2536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03F7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59B1E">
            <w:pPr>
              <w:jc w:val="center"/>
            </w:pPr>
            <w:r>
              <w:rPr>
                <w:rFonts w:ascii="宋体" w:hAnsi="宋体" w:eastAsia="宋体"/>
                <w:sz w:val="16"/>
              </w:rPr>
              <w:t>项目已实施完成，项目区冬季无法达到，未开展审计决算，待路通后及时开展决算，进行支付</w:t>
            </w:r>
          </w:p>
        </w:tc>
      </w:tr>
      <w:tr w14:paraId="3B0D40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D92AA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5DD3C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9998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7E58D">
            <w:pPr>
              <w:jc w:val="center"/>
            </w:pPr>
            <w:r>
              <w:rPr>
                <w:rFonts w:ascii="宋体" w:hAnsi="宋体" w:eastAsia="宋体"/>
                <w:sz w:val="16"/>
              </w:rPr>
              <w:t>实现林业管理现代化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48DEA">
            <w:pPr>
              <w:jc w:val="center"/>
            </w:pPr>
            <w:r>
              <w:rPr>
                <w:rFonts w:ascii="宋体" w:hAnsi="宋体" w:eastAsia="宋体"/>
                <w:sz w:val="16"/>
              </w:rPr>
              <w:t>全面实现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F35D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9D5A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367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1632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B636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391DB">
            <w:pPr>
              <w:jc w:val="center"/>
            </w:pPr>
            <w:r>
              <w:rPr>
                <w:rFonts w:ascii="宋体" w:hAnsi="宋体" w:eastAsia="宋体"/>
                <w:sz w:val="16"/>
              </w:rPr>
              <w:t>全面实现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5D15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F72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78D63">
            <w:pPr>
              <w:jc w:val="center"/>
            </w:pPr>
          </w:p>
        </w:tc>
      </w:tr>
      <w:tr w14:paraId="049D48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E574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4E7A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615B6">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739F8">
            <w:pPr>
              <w:jc w:val="center"/>
            </w:pPr>
            <w:r>
              <w:rPr>
                <w:rFonts w:ascii="宋体" w:hAnsi="宋体" w:eastAsia="宋体"/>
                <w:sz w:val="16"/>
              </w:rPr>
              <w:t>森林火灾受害控制率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5F45D">
            <w:pPr>
              <w:jc w:val="center"/>
            </w:pPr>
            <w:r>
              <w:rPr>
                <w:rFonts w:ascii="宋体" w:hAnsi="宋体" w:eastAsia="宋体"/>
                <w:sz w:val="16"/>
              </w:rPr>
              <w:t>&lt;=1‰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DA3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C3E9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C53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E9E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C161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9058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C845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7E0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8DF5B">
            <w:pPr>
              <w:jc w:val="center"/>
            </w:pPr>
          </w:p>
        </w:tc>
      </w:tr>
      <w:tr w14:paraId="3A5385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D032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731A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469D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C16D9">
            <w:pPr>
              <w:jc w:val="center"/>
            </w:pPr>
            <w:r>
              <w:rPr>
                <w:rFonts w:ascii="宋体" w:hAnsi="宋体" w:eastAsia="宋体"/>
                <w:sz w:val="16"/>
              </w:rPr>
              <w:t>林区职工满意度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B3F4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FA6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27F7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123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8E25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9CAE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FF12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97A5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A8F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406CF">
            <w:pPr>
              <w:jc w:val="center"/>
            </w:pPr>
          </w:p>
        </w:tc>
      </w:tr>
      <w:tr w14:paraId="52362CB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370247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3841E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981EE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FE9A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96F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90058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73436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66AD8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7513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2FBC2">
            <w:pPr>
              <w:jc w:val="center"/>
            </w:pPr>
            <w:r>
              <w:rPr>
                <w:rFonts w:ascii="宋体" w:hAnsi="宋体" w:eastAsia="宋体"/>
                <w:sz w:val="16"/>
              </w:rPr>
              <w:t>50.28分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FC9CED"/>
        </w:tc>
      </w:tr>
    </w:tbl>
    <w:p w14:paraId="2DF35361">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A0F2EAB">
        <w:tblPrEx>
          <w:tblCellMar>
            <w:top w:w="0" w:type="dxa"/>
            <w:left w:w="108" w:type="dxa"/>
            <w:bottom w:w="0" w:type="dxa"/>
            <w:right w:w="108" w:type="dxa"/>
          </w:tblCellMar>
        </w:tblPrEx>
        <w:tc>
          <w:tcPr>
            <w:tcW w:w="8848" w:type="dxa"/>
            <w:gridSpan w:val="14"/>
            <w:vAlign w:val="center"/>
          </w:tcPr>
          <w:p w14:paraId="1A5DD3B6">
            <w:pPr>
              <w:jc w:val="center"/>
            </w:pPr>
            <w:r>
              <w:rPr>
                <w:rFonts w:ascii="宋体" w:hAnsi="宋体" w:eastAsia="宋体"/>
                <w:sz w:val="24"/>
              </w:rPr>
              <w:t>项目支出绩效自评表</w:t>
            </w:r>
          </w:p>
        </w:tc>
      </w:tr>
      <w:tr w14:paraId="72AE1310">
        <w:tblPrEx>
          <w:tblCellMar>
            <w:top w:w="0" w:type="dxa"/>
            <w:left w:w="108" w:type="dxa"/>
            <w:bottom w:w="0" w:type="dxa"/>
            <w:right w:w="108" w:type="dxa"/>
          </w:tblCellMar>
        </w:tblPrEx>
        <w:tc>
          <w:tcPr>
            <w:tcW w:w="8848" w:type="dxa"/>
            <w:gridSpan w:val="14"/>
            <w:vAlign w:val="center"/>
          </w:tcPr>
          <w:p w14:paraId="5B61F7E1">
            <w:pPr>
              <w:jc w:val="center"/>
            </w:pPr>
            <w:r>
              <w:rPr>
                <w:rFonts w:ascii="宋体" w:hAnsi="宋体" w:eastAsia="宋体"/>
                <w:sz w:val="24"/>
              </w:rPr>
              <w:t>(2024年度)</w:t>
            </w:r>
          </w:p>
        </w:tc>
      </w:tr>
      <w:tr w14:paraId="2DDD81C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E77B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6E5A2C4">
            <w:pPr>
              <w:jc w:val="center"/>
            </w:pPr>
            <w:r>
              <w:rPr>
                <w:rFonts w:ascii="宋体" w:hAnsi="宋体" w:eastAsia="宋体"/>
                <w:sz w:val="16"/>
              </w:rPr>
              <w:t>苏运河管护区草场打捆销售收入安排人工及机械费</w:t>
            </w:r>
          </w:p>
        </w:tc>
      </w:tr>
      <w:tr w14:paraId="059BD2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28A7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DE74F9">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0526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55FC60">
            <w:pPr>
              <w:jc w:val="center"/>
            </w:pPr>
            <w:r>
              <w:rPr>
                <w:rFonts w:ascii="宋体" w:hAnsi="宋体" w:eastAsia="宋体"/>
                <w:sz w:val="16"/>
              </w:rPr>
              <w:t>裕民县巴尔鲁克山国有林管理局</w:t>
            </w:r>
          </w:p>
        </w:tc>
      </w:tr>
      <w:tr w14:paraId="04495F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B53DB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E0A3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6937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C4E7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1B99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659B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0A78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4079A">
            <w:pPr>
              <w:jc w:val="center"/>
            </w:pPr>
            <w:r>
              <w:rPr>
                <w:rFonts w:ascii="宋体" w:hAnsi="宋体" w:eastAsia="宋体"/>
                <w:sz w:val="16"/>
              </w:rPr>
              <w:t>得分</w:t>
            </w:r>
          </w:p>
        </w:tc>
      </w:tr>
      <w:tr w14:paraId="257103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6E82C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0936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5E0D2">
            <w:pPr>
              <w:jc w:val="center"/>
            </w:pPr>
            <w:r>
              <w:rPr>
                <w:rFonts w:ascii="宋体" w:hAnsi="宋体" w:eastAsia="宋体"/>
                <w:sz w:val="16"/>
              </w:rPr>
              <w:t>9.07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5A9B1">
            <w:pPr>
              <w:jc w:val="center"/>
            </w:pPr>
            <w:r>
              <w:rPr>
                <w:rFonts w:ascii="宋体" w:hAnsi="宋体" w:eastAsia="宋体"/>
                <w:sz w:val="16"/>
              </w:rPr>
              <w:t>9.07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31E83">
            <w:pPr>
              <w:jc w:val="center"/>
            </w:pPr>
            <w:r>
              <w:rPr>
                <w:rFonts w:ascii="宋体" w:hAnsi="宋体" w:eastAsia="宋体"/>
                <w:sz w:val="16"/>
              </w:rPr>
              <w:t>9.07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91E2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BC69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568B6">
            <w:pPr>
              <w:jc w:val="center"/>
            </w:pPr>
            <w:r>
              <w:rPr>
                <w:rFonts w:ascii="宋体" w:hAnsi="宋体" w:eastAsia="宋体"/>
                <w:sz w:val="16"/>
              </w:rPr>
              <w:t>10.00</w:t>
            </w:r>
          </w:p>
        </w:tc>
      </w:tr>
      <w:tr w14:paraId="58939B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90E7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999A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48FC7">
            <w:pPr>
              <w:jc w:val="center"/>
            </w:pPr>
            <w:r>
              <w:rPr>
                <w:rFonts w:ascii="宋体" w:hAnsi="宋体" w:eastAsia="宋体"/>
                <w:sz w:val="16"/>
              </w:rPr>
              <w:t>9.07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CA3B7">
            <w:pPr>
              <w:jc w:val="center"/>
            </w:pPr>
            <w:r>
              <w:rPr>
                <w:rFonts w:ascii="宋体" w:hAnsi="宋体" w:eastAsia="宋体"/>
                <w:sz w:val="16"/>
              </w:rPr>
              <w:t>9.07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EC2EA">
            <w:pPr>
              <w:jc w:val="center"/>
            </w:pPr>
            <w:r>
              <w:rPr>
                <w:rFonts w:ascii="宋体" w:hAnsi="宋体" w:eastAsia="宋体"/>
                <w:sz w:val="16"/>
              </w:rPr>
              <w:t>9.07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A89C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6FC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FA13F">
            <w:pPr>
              <w:jc w:val="center"/>
            </w:pPr>
            <w:r>
              <w:rPr>
                <w:rFonts w:ascii="宋体" w:hAnsi="宋体" w:eastAsia="宋体"/>
                <w:sz w:val="16"/>
              </w:rPr>
              <w:t>—</w:t>
            </w:r>
          </w:p>
        </w:tc>
      </w:tr>
      <w:tr w14:paraId="65D50D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A2EDD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3DFF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5503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596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17B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7D8D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EBA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5D0B5">
            <w:pPr>
              <w:jc w:val="center"/>
            </w:pPr>
            <w:r>
              <w:rPr>
                <w:rFonts w:ascii="宋体" w:hAnsi="宋体" w:eastAsia="宋体"/>
                <w:sz w:val="16"/>
              </w:rPr>
              <w:t>—</w:t>
            </w:r>
          </w:p>
        </w:tc>
      </w:tr>
      <w:tr w14:paraId="6B8EC3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75F44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0FF82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10839C">
            <w:pPr>
              <w:jc w:val="center"/>
            </w:pPr>
            <w:r>
              <w:rPr>
                <w:rFonts w:ascii="宋体" w:hAnsi="宋体" w:eastAsia="宋体"/>
                <w:sz w:val="16"/>
              </w:rPr>
              <w:t>实际完成情况</w:t>
            </w:r>
          </w:p>
        </w:tc>
      </w:tr>
      <w:tr w14:paraId="58E176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8E3D1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75BB51">
            <w:pPr>
              <w:jc w:val="both"/>
            </w:pPr>
            <w:r>
              <w:rPr>
                <w:rFonts w:ascii="宋体" w:hAnsi="宋体" w:eastAsia="宋体"/>
                <w:sz w:val="16"/>
              </w:rPr>
              <w:t>项目预算9.07资金，完成支付苏运河小平台打草费用及人工费尾款项目1个，支付过程中达到资金支付准确100%，资金支付及时100%，资金成本9.07万元，有效提高单位公信力，施工方满意度90%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F6D9B1">
            <w:pPr>
              <w:jc w:val="both"/>
            </w:pPr>
            <w:r>
              <w:rPr>
                <w:rFonts w:ascii="宋体" w:hAnsi="宋体" w:eastAsia="宋体"/>
                <w:sz w:val="16"/>
              </w:rPr>
              <w:t>支付苏运河小平台打草费用及人工费有效提高单位公信力，施工方满意。</w:t>
            </w:r>
          </w:p>
        </w:tc>
      </w:tr>
      <w:tr w14:paraId="38D72D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F423E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11F7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2459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9F36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C721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F502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767C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FC4D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10A2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40DD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9AF1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BDA4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4739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50295">
            <w:pPr>
              <w:jc w:val="center"/>
            </w:pPr>
            <w:r>
              <w:rPr>
                <w:rFonts w:ascii="宋体" w:hAnsi="宋体" w:eastAsia="宋体"/>
                <w:sz w:val="16"/>
              </w:rPr>
              <w:t>偏差原因分析及改进措施</w:t>
            </w:r>
          </w:p>
        </w:tc>
      </w:tr>
      <w:tr w14:paraId="6BFCF0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33AAF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CA1B7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A95D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55D61">
            <w:pPr>
              <w:jc w:val="center"/>
            </w:pPr>
            <w:r>
              <w:rPr>
                <w:rFonts w:ascii="宋体" w:hAnsi="宋体" w:eastAsia="宋体"/>
                <w:sz w:val="16"/>
              </w:rPr>
              <w:t>工程尾款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7BA4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9D1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100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9B2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894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5B6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7B9B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E79F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3D8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E2E95">
            <w:pPr>
              <w:jc w:val="center"/>
            </w:pPr>
          </w:p>
        </w:tc>
      </w:tr>
      <w:tr w14:paraId="1B37F6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813B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A3B9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25C6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A4B65">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C1E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55A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36A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65DE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31B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301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8EE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4B1F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6ABB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3547D">
            <w:pPr>
              <w:jc w:val="center"/>
            </w:pPr>
          </w:p>
        </w:tc>
      </w:tr>
      <w:tr w14:paraId="162B3B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6E91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7337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5FFD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038D3">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495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2EC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8F9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9331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139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477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504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CDF0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3759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18EAD">
            <w:pPr>
              <w:jc w:val="center"/>
            </w:pPr>
          </w:p>
        </w:tc>
      </w:tr>
      <w:tr w14:paraId="0AE3F5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794E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8591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6734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1159A">
            <w:pPr>
              <w:jc w:val="center"/>
            </w:pPr>
            <w:r>
              <w:rPr>
                <w:rFonts w:ascii="宋体" w:hAnsi="宋体" w:eastAsia="宋体"/>
                <w:sz w:val="16"/>
              </w:rPr>
              <w:t>工程尾款成本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2A8E6">
            <w:pPr>
              <w:jc w:val="center"/>
            </w:pPr>
            <w:r>
              <w:rPr>
                <w:rFonts w:ascii="宋体" w:hAnsi="宋体" w:eastAsia="宋体"/>
                <w:sz w:val="16"/>
              </w:rPr>
              <w:t>&lt;=9.07万元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39B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EE1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60A0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4DE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4DF6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51CF9">
            <w:pPr>
              <w:jc w:val="center"/>
            </w:pPr>
            <w:r>
              <w:rPr>
                <w:rFonts w:ascii="宋体" w:hAnsi="宋体" w:eastAsia="宋体"/>
                <w:sz w:val="16"/>
              </w:rPr>
              <w:t>9.07万元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01FA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F245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8614D">
            <w:pPr>
              <w:jc w:val="center"/>
            </w:pPr>
          </w:p>
        </w:tc>
      </w:tr>
      <w:tr w14:paraId="44BC3D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48B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09C8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69D9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96F1F">
            <w:pPr>
              <w:jc w:val="center"/>
            </w:pPr>
            <w:r>
              <w:rPr>
                <w:rFonts w:ascii="宋体" w:hAnsi="宋体" w:eastAsia="宋体"/>
                <w:sz w:val="16"/>
              </w:rPr>
              <w:t>提高单位公信力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ABAF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337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268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CBBC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186C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466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91B8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80EE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2D1E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B5754">
            <w:pPr>
              <w:jc w:val="center"/>
            </w:pPr>
          </w:p>
        </w:tc>
      </w:tr>
      <w:tr w14:paraId="43E59A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1308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4395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9383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59FBE">
            <w:pPr>
              <w:jc w:val="center"/>
            </w:pPr>
            <w:r>
              <w:rPr>
                <w:rFonts w:ascii="宋体" w:hAnsi="宋体" w:eastAsia="宋体"/>
                <w:sz w:val="16"/>
              </w:rPr>
              <w:t>施工方满意度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9A1C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D05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F9E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0EA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7DFB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E409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D8BF1">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05F1C">
            <w:pPr>
              <w:jc w:val="center"/>
            </w:pPr>
            <w:r>
              <w:rPr>
                <w:rFonts w:ascii="宋体" w:hAnsi="宋体" w:eastAsia="宋体"/>
                <w:sz w:val="16"/>
              </w:rPr>
              <w:t>108.89%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AA2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168AE">
            <w:pPr>
              <w:jc w:val="center"/>
            </w:pPr>
            <w:r>
              <w:rPr>
                <w:rFonts w:ascii="宋体" w:hAnsi="宋体" w:eastAsia="宋体"/>
                <w:sz w:val="16"/>
              </w:rPr>
              <w:t>施工方满意度比预期值较高</w:t>
            </w:r>
          </w:p>
        </w:tc>
      </w:tr>
      <w:tr w14:paraId="29B28E8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42D942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17E28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94624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4196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CD5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EE7C8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D0344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E6D44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CD77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08BD6">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F4DE92"/>
        </w:tc>
      </w:tr>
    </w:tbl>
    <w:p w14:paraId="0FF33EC0">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9DBCF6F">
        <w:tblPrEx>
          <w:tblCellMar>
            <w:top w:w="0" w:type="dxa"/>
            <w:left w:w="108" w:type="dxa"/>
            <w:bottom w:w="0" w:type="dxa"/>
            <w:right w:w="108" w:type="dxa"/>
          </w:tblCellMar>
        </w:tblPrEx>
        <w:tc>
          <w:tcPr>
            <w:tcW w:w="8848" w:type="dxa"/>
            <w:gridSpan w:val="14"/>
            <w:vAlign w:val="center"/>
          </w:tcPr>
          <w:p w14:paraId="34B8BD1C">
            <w:pPr>
              <w:jc w:val="center"/>
            </w:pPr>
            <w:r>
              <w:rPr>
                <w:rFonts w:ascii="宋体" w:hAnsi="宋体" w:eastAsia="宋体"/>
                <w:sz w:val="24"/>
              </w:rPr>
              <w:t>项目支出绩效自评表</w:t>
            </w:r>
          </w:p>
        </w:tc>
      </w:tr>
      <w:tr w14:paraId="24AE3F90">
        <w:tblPrEx>
          <w:tblCellMar>
            <w:top w:w="0" w:type="dxa"/>
            <w:left w:w="108" w:type="dxa"/>
            <w:bottom w:w="0" w:type="dxa"/>
            <w:right w:w="108" w:type="dxa"/>
          </w:tblCellMar>
        </w:tblPrEx>
        <w:tc>
          <w:tcPr>
            <w:tcW w:w="8848" w:type="dxa"/>
            <w:gridSpan w:val="14"/>
            <w:vAlign w:val="center"/>
          </w:tcPr>
          <w:p w14:paraId="5C8B145C">
            <w:pPr>
              <w:jc w:val="center"/>
            </w:pPr>
            <w:r>
              <w:rPr>
                <w:rFonts w:ascii="宋体" w:hAnsi="宋体" w:eastAsia="宋体"/>
                <w:sz w:val="24"/>
              </w:rPr>
              <w:t>(2024年度)</w:t>
            </w:r>
          </w:p>
        </w:tc>
      </w:tr>
      <w:tr w14:paraId="7B4060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47ED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AE7BD3A">
            <w:pPr>
              <w:jc w:val="center"/>
            </w:pPr>
            <w:r>
              <w:rPr>
                <w:rFonts w:ascii="宋体" w:hAnsi="宋体" w:eastAsia="宋体"/>
                <w:sz w:val="16"/>
              </w:rPr>
              <w:t>裕民县2016年度自治区国有林场改革补助资金</w:t>
            </w:r>
          </w:p>
        </w:tc>
      </w:tr>
      <w:tr w14:paraId="7509B1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1D52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B843B5">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6154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3276D7">
            <w:pPr>
              <w:jc w:val="center"/>
            </w:pPr>
            <w:r>
              <w:rPr>
                <w:rFonts w:ascii="宋体" w:hAnsi="宋体" w:eastAsia="宋体"/>
                <w:sz w:val="16"/>
              </w:rPr>
              <w:t>裕民县巴尔鲁克山国有林管理局</w:t>
            </w:r>
          </w:p>
        </w:tc>
      </w:tr>
      <w:tr w14:paraId="359A1D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F07DD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DF99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2B7F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56C6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48DB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87AB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C97C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A0A77">
            <w:pPr>
              <w:jc w:val="center"/>
            </w:pPr>
            <w:r>
              <w:rPr>
                <w:rFonts w:ascii="宋体" w:hAnsi="宋体" w:eastAsia="宋体"/>
                <w:sz w:val="16"/>
              </w:rPr>
              <w:t>得分</w:t>
            </w:r>
          </w:p>
        </w:tc>
      </w:tr>
      <w:tr w14:paraId="6E18AD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DD0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8C0C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FAC3F">
            <w:pPr>
              <w:jc w:val="center"/>
            </w:pPr>
            <w:r>
              <w:rPr>
                <w:rFonts w:ascii="宋体" w:hAnsi="宋体" w:eastAsia="宋体"/>
                <w:sz w:val="16"/>
              </w:rPr>
              <w:t>72.37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719AA">
            <w:pPr>
              <w:jc w:val="center"/>
            </w:pPr>
            <w:r>
              <w:rPr>
                <w:rFonts w:ascii="宋体" w:hAnsi="宋体" w:eastAsia="宋体"/>
                <w:sz w:val="16"/>
              </w:rPr>
              <w:t>72.37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05B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CA57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EA7A4">
            <w:pPr>
              <w:jc w:val="center"/>
            </w:pPr>
            <w:r>
              <w:rPr>
                <w:rFonts w:ascii="宋体" w:hAnsi="宋体" w:eastAsia="宋体"/>
                <w:sz w:val="16"/>
              </w:rPr>
              <w:t>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093D2">
            <w:pPr>
              <w:jc w:val="center"/>
            </w:pPr>
            <w:r>
              <w:rPr>
                <w:rFonts w:ascii="宋体" w:hAnsi="宋体" w:eastAsia="宋体"/>
                <w:sz w:val="16"/>
              </w:rPr>
              <w:t>0.00</w:t>
            </w:r>
          </w:p>
        </w:tc>
      </w:tr>
      <w:tr w14:paraId="509807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AE072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BA52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FA7CB">
            <w:pPr>
              <w:jc w:val="center"/>
            </w:pPr>
            <w:r>
              <w:rPr>
                <w:rFonts w:ascii="宋体" w:hAnsi="宋体" w:eastAsia="宋体"/>
                <w:sz w:val="16"/>
              </w:rPr>
              <w:t>72.37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6ED61">
            <w:pPr>
              <w:jc w:val="center"/>
            </w:pPr>
            <w:r>
              <w:rPr>
                <w:rFonts w:ascii="宋体" w:hAnsi="宋体" w:eastAsia="宋体"/>
                <w:sz w:val="16"/>
              </w:rPr>
              <w:t>72.37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BCD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DBE9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3B2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73AD4">
            <w:pPr>
              <w:jc w:val="center"/>
            </w:pPr>
            <w:r>
              <w:rPr>
                <w:rFonts w:ascii="宋体" w:hAnsi="宋体" w:eastAsia="宋体"/>
                <w:sz w:val="16"/>
              </w:rPr>
              <w:t>—</w:t>
            </w:r>
          </w:p>
        </w:tc>
      </w:tr>
      <w:tr w14:paraId="240448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88D8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D0DC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062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8E6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E93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8692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F99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21C6E">
            <w:pPr>
              <w:jc w:val="center"/>
            </w:pPr>
            <w:r>
              <w:rPr>
                <w:rFonts w:ascii="宋体" w:hAnsi="宋体" w:eastAsia="宋体"/>
                <w:sz w:val="16"/>
              </w:rPr>
              <w:t>—</w:t>
            </w:r>
          </w:p>
        </w:tc>
      </w:tr>
      <w:tr w14:paraId="58D3EA6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B4542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2289A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C84D5C">
            <w:pPr>
              <w:jc w:val="center"/>
            </w:pPr>
            <w:r>
              <w:rPr>
                <w:rFonts w:ascii="宋体" w:hAnsi="宋体" w:eastAsia="宋体"/>
                <w:sz w:val="16"/>
              </w:rPr>
              <w:t>实际完成情况</w:t>
            </w:r>
          </w:p>
        </w:tc>
      </w:tr>
      <w:tr w14:paraId="7B77E9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2D2F8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B1941C">
            <w:pPr>
              <w:jc w:val="both"/>
            </w:pPr>
            <w:r>
              <w:rPr>
                <w:rFonts w:ascii="宋体" w:hAnsi="宋体" w:eastAsia="宋体"/>
                <w:sz w:val="16"/>
              </w:rPr>
              <w:t>该项目在以前年度已完工，本年预算为 72.37万元，用于支付项目剩余工程款，提高政府公信力。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5609C2">
            <w:pPr>
              <w:jc w:val="both"/>
            </w:pPr>
            <w:r>
              <w:rPr>
                <w:rFonts w:ascii="宋体" w:hAnsi="宋体" w:eastAsia="宋体"/>
                <w:sz w:val="16"/>
              </w:rPr>
              <w:t>裕民县2016年度自治区国有林场改革补助资金预算金额72.37万元，</w:t>
            </w:r>
            <w:r>
              <w:rPr>
                <w:rFonts w:hint="eastAsia" w:ascii="宋体" w:hAnsi="宋体"/>
                <w:sz w:val="16"/>
                <w:lang w:eastAsia="zh-CN"/>
              </w:rPr>
              <w:t>截至2024</w:t>
            </w:r>
            <w:r>
              <w:rPr>
                <w:rFonts w:ascii="宋体" w:hAnsi="宋体" w:eastAsia="宋体"/>
                <w:sz w:val="16"/>
              </w:rPr>
              <w:t>年12月31日支付0.00万元，本项目为尾款项目，未完成尾款项目支付。</w:t>
            </w:r>
          </w:p>
        </w:tc>
      </w:tr>
      <w:tr w14:paraId="03CC41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262CB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E369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1CA9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B427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4423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4837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73FD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A2B9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0555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F675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B5C4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6F10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5A30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CD2E8">
            <w:pPr>
              <w:jc w:val="center"/>
            </w:pPr>
            <w:r>
              <w:rPr>
                <w:rFonts w:ascii="宋体" w:hAnsi="宋体" w:eastAsia="宋体"/>
                <w:sz w:val="16"/>
              </w:rPr>
              <w:t>偏差原因分析及改进措施</w:t>
            </w:r>
          </w:p>
        </w:tc>
      </w:tr>
      <w:tr w14:paraId="69C9099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766FA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2407A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D513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86E2E">
            <w:pPr>
              <w:jc w:val="center"/>
            </w:pPr>
            <w:r>
              <w:rPr>
                <w:rFonts w:ascii="宋体" w:hAnsi="宋体" w:eastAsia="宋体"/>
                <w:sz w:val="16"/>
              </w:rPr>
              <w:t>尾款项目个数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FDD0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0CC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3BBB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25F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992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BEE3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4F57F">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E0C2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C464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A5684">
            <w:pPr>
              <w:jc w:val="center"/>
            </w:pPr>
            <w:r>
              <w:rPr>
                <w:rFonts w:ascii="宋体" w:hAnsi="宋体" w:eastAsia="宋体"/>
                <w:sz w:val="16"/>
              </w:rPr>
              <w:t>偏差原因分析：资金未到位，尾款未支付导致项目未完成。</w:t>
            </w:r>
          </w:p>
        </w:tc>
      </w:tr>
      <w:tr w14:paraId="10F9CB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EBF3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F78F9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94C7D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4153D">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5C5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D73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5360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596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F0B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40D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051F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184B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0646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2AB03">
            <w:pPr>
              <w:jc w:val="center"/>
            </w:pPr>
            <w:r>
              <w:rPr>
                <w:rFonts w:ascii="宋体" w:hAnsi="宋体" w:eastAsia="宋体"/>
                <w:sz w:val="16"/>
              </w:rPr>
              <w:t>偏差原因分析：资金未到位，尾款未支付导致资金支付合规率为0。</w:t>
            </w:r>
          </w:p>
        </w:tc>
      </w:tr>
      <w:tr w14:paraId="38FD2A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34F6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CBF0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6491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B0A23">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26F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115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D0FB9">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51C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B6E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3668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CE0E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FE0D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E904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26B8D">
            <w:pPr>
              <w:jc w:val="center"/>
            </w:pPr>
            <w:r>
              <w:rPr>
                <w:rFonts w:ascii="宋体" w:hAnsi="宋体" w:eastAsia="宋体"/>
                <w:sz w:val="16"/>
              </w:rPr>
              <w:t>偏差原因分析：资金未到位，尾款未支付导致资金支付准确率为0。</w:t>
            </w:r>
          </w:p>
        </w:tc>
      </w:tr>
      <w:tr w14:paraId="57A5AE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ADB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B87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E2AE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B7CE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9CB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3062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652FD">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03B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E74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DC85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77BE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3221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69E4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5BCEB">
            <w:pPr>
              <w:jc w:val="center"/>
            </w:pPr>
            <w:r>
              <w:rPr>
                <w:rFonts w:ascii="宋体" w:hAnsi="宋体" w:eastAsia="宋体"/>
                <w:sz w:val="16"/>
              </w:rPr>
              <w:t>偏差原因分析：资金未到位，尾款未支付导致资金支付及时率为0。</w:t>
            </w:r>
          </w:p>
        </w:tc>
      </w:tr>
      <w:tr w14:paraId="0BFBF2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2327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AB14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313A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5E710">
            <w:pPr>
              <w:jc w:val="center"/>
            </w:pPr>
            <w:r>
              <w:rPr>
                <w:rFonts w:ascii="宋体" w:hAnsi="宋体" w:eastAsia="宋体"/>
                <w:sz w:val="16"/>
              </w:rPr>
              <w:t>支付尾款成本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5758C">
            <w:pPr>
              <w:jc w:val="center"/>
            </w:pPr>
            <w:r>
              <w:rPr>
                <w:rFonts w:ascii="宋体" w:hAnsi="宋体" w:eastAsia="宋体"/>
                <w:sz w:val="16"/>
              </w:rPr>
              <w:t>&lt;=72.37万元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AF7D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9546D">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6929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112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2FEB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FE622">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B36F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24E1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F66DB">
            <w:pPr>
              <w:jc w:val="center"/>
            </w:pPr>
            <w:r>
              <w:rPr>
                <w:rFonts w:ascii="宋体" w:hAnsi="宋体" w:eastAsia="宋体"/>
                <w:sz w:val="16"/>
              </w:rPr>
              <w:t>偏差原因分析：资金未到位，尾款未支付。</w:t>
            </w:r>
          </w:p>
        </w:tc>
      </w:tr>
      <w:tr w14:paraId="7FD81F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A8D1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A29A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2F19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F87CE">
            <w:pPr>
              <w:jc w:val="center"/>
            </w:pPr>
            <w:r>
              <w:rPr>
                <w:rFonts w:ascii="宋体" w:hAnsi="宋体" w:eastAsia="宋体"/>
                <w:sz w:val="16"/>
              </w:rPr>
              <w:t>提高政府公信力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586F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FAB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140C9">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7F63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3AD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5AFB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30F89">
            <w:pPr>
              <w:jc w:val="center"/>
            </w:pPr>
            <w:r>
              <w:rPr>
                <w:rFonts w:ascii="宋体" w:hAnsi="宋体" w:eastAsia="宋体"/>
                <w:sz w:val="16"/>
              </w:rPr>
              <w:t>未达预期值指标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0F23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C43C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F8223">
            <w:pPr>
              <w:jc w:val="center"/>
            </w:pPr>
            <w:r>
              <w:rPr>
                <w:rFonts w:ascii="宋体" w:hAnsi="宋体" w:eastAsia="宋体"/>
                <w:sz w:val="16"/>
              </w:rPr>
              <w:t>偏差原因分析：资金未到位，尾款未支付导致政府公信力未提高。</w:t>
            </w:r>
          </w:p>
        </w:tc>
      </w:tr>
      <w:tr w14:paraId="27CFE3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871E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4E82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27A3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6F1FF">
            <w:pPr>
              <w:jc w:val="center"/>
            </w:pPr>
            <w:r>
              <w:rPr>
                <w:rFonts w:ascii="宋体" w:hAnsi="宋体" w:eastAsia="宋体"/>
                <w:sz w:val="16"/>
              </w:rPr>
              <w:t>施工方满意度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095B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013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18239">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6D4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05FF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0480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3C90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BD17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B0DA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3F91A">
            <w:pPr>
              <w:jc w:val="center"/>
            </w:pPr>
            <w:r>
              <w:rPr>
                <w:rFonts w:ascii="宋体" w:hAnsi="宋体" w:eastAsia="宋体"/>
                <w:sz w:val="16"/>
              </w:rPr>
              <w:t>偏差原因分析：资金未到位，项目未完成，施工方满意度为0。</w:t>
            </w:r>
          </w:p>
        </w:tc>
      </w:tr>
      <w:tr w14:paraId="76C46E4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7374C4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8E717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39433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1028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43D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F8C47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035BC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114B5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02F0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23A46">
            <w:pPr>
              <w:jc w:val="center"/>
            </w:pPr>
            <w:r>
              <w:rPr>
                <w:rFonts w:ascii="宋体" w:hAnsi="宋体" w:eastAsia="宋体"/>
                <w:sz w:val="16"/>
              </w:rPr>
              <w:t>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9AAE36"/>
        </w:tc>
      </w:tr>
    </w:tbl>
    <w:p w14:paraId="36A07A54">
      <w:r>
        <w:br w:type="page"/>
      </w:r>
    </w:p>
    <w:p w14:paraId="7FEDE8FA">
      <w:pPr>
        <w:spacing w:line="640" w:lineRule="exact"/>
        <w:ind w:firstLine="640"/>
        <w:jc w:val="both"/>
        <w:outlineLvl w:val="2"/>
      </w:pPr>
      <w:r>
        <w:rPr>
          <w:rFonts w:ascii="黑体" w:hAnsi="黑体" w:eastAsia="黑体"/>
          <w:sz w:val="32"/>
        </w:rPr>
        <w:t>十二、其他需说明的事项</w:t>
      </w:r>
    </w:p>
    <w:p w14:paraId="04EC23E7">
      <w:pPr>
        <w:spacing w:line="580" w:lineRule="exact"/>
        <w:ind w:firstLine="640"/>
        <w:jc w:val="both"/>
      </w:pPr>
      <w:r>
        <w:rPr>
          <w:rFonts w:ascii="仿宋_GB2312" w:hAnsi="仿宋_GB2312" w:eastAsia="仿宋_GB2312"/>
          <w:b w:val="0"/>
          <w:sz w:val="32"/>
        </w:rPr>
        <w:t>本单位无其他说明的事项。</w:t>
      </w:r>
    </w:p>
    <w:p w14:paraId="442D972F">
      <w:r>
        <w:br w:type="page"/>
      </w:r>
    </w:p>
    <w:p w14:paraId="584FF481">
      <w:pPr>
        <w:spacing w:line="240" w:lineRule="auto"/>
        <w:jc w:val="center"/>
        <w:outlineLvl w:val="1"/>
      </w:pPr>
      <w:r>
        <w:rPr>
          <w:rFonts w:ascii="黑体" w:hAnsi="黑体" w:eastAsia="黑体"/>
          <w:sz w:val="32"/>
        </w:rPr>
        <w:t>第三部分 专业名词解释</w:t>
      </w:r>
    </w:p>
    <w:p w14:paraId="0BDF8E7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D437BF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1068F7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7E3020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62886D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48E15B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3AA798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216DB6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1C42D2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3E3C60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E16583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8D70E0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A2FF15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AB1C6A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9A450CE">
      <w:r>
        <w:br w:type="page"/>
      </w:r>
    </w:p>
    <w:p w14:paraId="65C3A830">
      <w:pPr>
        <w:spacing w:line="240" w:lineRule="auto"/>
        <w:jc w:val="center"/>
        <w:outlineLvl w:val="1"/>
      </w:pPr>
      <w:r>
        <w:rPr>
          <w:rFonts w:ascii="黑体" w:hAnsi="黑体" w:eastAsia="黑体"/>
          <w:sz w:val="32"/>
        </w:rPr>
        <w:t>第四部分 部门决算报表（见附表）</w:t>
      </w:r>
    </w:p>
    <w:p w14:paraId="5CD82626">
      <w:pPr>
        <w:spacing w:line="240" w:lineRule="auto"/>
        <w:ind w:firstLine="640"/>
        <w:jc w:val="both"/>
      </w:pPr>
      <w:r>
        <w:rPr>
          <w:rFonts w:ascii="仿宋_GB2312" w:hAnsi="仿宋_GB2312" w:eastAsia="仿宋_GB2312"/>
          <w:b w:val="0"/>
          <w:sz w:val="32"/>
        </w:rPr>
        <w:t>一、《收入支出决算总表》</w:t>
      </w:r>
    </w:p>
    <w:p w14:paraId="47AF7347">
      <w:pPr>
        <w:spacing w:line="240" w:lineRule="auto"/>
        <w:ind w:firstLine="640"/>
        <w:jc w:val="both"/>
      </w:pPr>
      <w:r>
        <w:rPr>
          <w:rFonts w:ascii="仿宋_GB2312" w:hAnsi="仿宋_GB2312" w:eastAsia="仿宋_GB2312"/>
          <w:b w:val="0"/>
          <w:sz w:val="32"/>
        </w:rPr>
        <w:t>二、《收入决算表》</w:t>
      </w:r>
    </w:p>
    <w:p w14:paraId="7169691E">
      <w:pPr>
        <w:spacing w:line="240" w:lineRule="auto"/>
        <w:ind w:firstLine="640"/>
        <w:jc w:val="both"/>
      </w:pPr>
      <w:r>
        <w:rPr>
          <w:rFonts w:ascii="仿宋_GB2312" w:hAnsi="仿宋_GB2312" w:eastAsia="仿宋_GB2312"/>
          <w:b w:val="0"/>
          <w:sz w:val="32"/>
        </w:rPr>
        <w:t>三、《支出决算表》</w:t>
      </w:r>
    </w:p>
    <w:p w14:paraId="6212B2B3">
      <w:pPr>
        <w:spacing w:line="240" w:lineRule="auto"/>
        <w:ind w:firstLine="640"/>
        <w:jc w:val="both"/>
      </w:pPr>
      <w:r>
        <w:rPr>
          <w:rFonts w:ascii="仿宋_GB2312" w:hAnsi="仿宋_GB2312" w:eastAsia="仿宋_GB2312"/>
          <w:b w:val="0"/>
          <w:sz w:val="32"/>
        </w:rPr>
        <w:t>四、《财政拨款收入支出决算总表》</w:t>
      </w:r>
    </w:p>
    <w:p w14:paraId="6CD1D1F4">
      <w:pPr>
        <w:spacing w:line="240" w:lineRule="auto"/>
        <w:ind w:firstLine="640"/>
        <w:jc w:val="both"/>
      </w:pPr>
      <w:r>
        <w:rPr>
          <w:rFonts w:ascii="仿宋_GB2312" w:hAnsi="仿宋_GB2312" w:eastAsia="仿宋_GB2312"/>
          <w:b w:val="0"/>
          <w:sz w:val="32"/>
        </w:rPr>
        <w:t>五、《一般公共预算财政拨款支出决算表》</w:t>
      </w:r>
    </w:p>
    <w:p w14:paraId="6FAB3410">
      <w:pPr>
        <w:spacing w:line="240" w:lineRule="auto"/>
        <w:ind w:firstLine="640"/>
        <w:jc w:val="both"/>
      </w:pPr>
      <w:r>
        <w:rPr>
          <w:rFonts w:ascii="仿宋_GB2312" w:hAnsi="仿宋_GB2312" w:eastAsia="仿宋_GB2312"/>
          <w:b w:val="0"/>
          <w:sz w:val="32"/>
        </w:rPr>
        <w:t>六、《一般公共预算财政拨款基本支出决算表》</w:t>
      </w:r>
    </w:p>
    <w:p w14:paraId="2B3F6615">
      <w:pPr>
        <w:spacing w:line="240" w:lineRule="auto"/>
        <w:ind w:firstLine="640"/>
        <w:jc w:val="both"/>
      </w:pPr>
      <w:r>
        <w:rPr>
          <w:rFonts w:ascii="仿宋_GB2312" w:hAnsi="仿宋_GB2312" w:eastAsia="仿宋_GB2312"/>
          <w:b w:val="0"/>
          <w:sz w:val="32"/>
        </w:rPr>
        <w:t>七、《政府性基金预算财政拨款收入支出决算表》</w:t>
      </w:r>
    </w:p>
    <w:p w14:paraId="77C75505">
      <w:pPr>
        <w:spacing w:line="240" w:lineRule="auto"/>
        <w:ind w:firstLine="640"/>
        <w:jc w:val="both"/>
      </w:pPr>
      <w:r>
        <w:rPr>
          <w:rFonts w:ascii="仿宋_GB2312" w:hAnsi="仿宋_GB2312" w:eastAsia="仿宋_GB2312"/>
          <w:b w:val="0"/>
          <w:sz w:val="32"/>
        </w:rPr>
        <w:t>八、《国有资本经营预算财政拨款收入支出决算表》</w:t>
      </w:r>
    </w:p>
    <w:p w14:paraId="623BB175">
      <w:pPr>
        <w:spacing w:line="240" w:lineRule="auto"/>
        <w:ind w:firstLine="640"/>
        <w:jc w:val="both"/>
      </w:pPr>
      <w:r>
        <w:rPr>
          <w:rFonts w:ascii="仿宋_GB2312" w:hAnsi="仿宋_GB2312" w:eastAsia="仿宋_GB2312"/>
          <w:b w:val="0"/>
          <w:sz w:val="32"/>
        </w:rPr>
        <w:t>九、《财政拨款“三公”经费支出决算表》</w:t>
      </w:r>
    </w:p>
    <w:p w14:paraId="28014C1A">
      <w:pPr>
        <w:spacing w:line="240" w:lineRule="auto"/>
        <w:ind w:firstLine="640"/>
        <w:jc w:val="both"/>
      </w:pPr>
    </w:p>
    <w:p w14:paraId="16274328">
      <w:pPr>
        <w:spacing w:line="240" w:lineRule="auto"/>
        <w:ind w:firstLine="640"/>
        <w:jc w:val="both"/>
      </w:pPr>
    </w:p>
    <w:p w14:paraId="054B1E45">
      <w:pPr>
        <w:spacing w:line="240" w:lineRule="auto"/>
        <w:ind w:firstLine="640"/>
        <w:jc w:val="both"/>
      </w:pPr>
    </w:p>
    <w:p w14:paraId="44FD0FCA">
      <w:pPr>
        <w:spacing w:line="240" w:lineRule="auto"/>
        <w:ind w:firstLine="640"/>
        <w:jc w:val="both"/>
      </w:pPr>
    </w:p>
    <w:p w14:paraId="4121F2A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DEBC487-2BB5-4343-BA6F-998E003C10E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A58363EF-1F90-4CB9-9482-FEBCC1F7A9B6}"/>
  </w:font>
  <w:font w:name="仿宋_GB2312">
    <w:altName w:val="仿宋"/>
    <w:panose1 w:val="02010609030101010101"/>
    <w:charset w:val="86"/>
    <w:family w:val="modern"/>
    <w:pitch w:val="default"/>
    <w:sig w:usb0="00000000" w:usb1="00000000" w:usb2="00000000" w:usb3="00000000" w:csb0="00040000" w:csb1="00000000"/>
    <w:embedRegular r:id="rId3" w:fontKey="{1988E56E-1D25-4AB2-99F8-CAE79777B0CD}"/>
  </w:font>
  <w:font w:name="楷体_GB2312">
    <w:altName w:val="楷体"/>
    <w:panose1 w:val="02010609030101010101"/>
    <w:charset w:val="86"/>
    <w:family w:val="auto"/>
    <w:pitch w:val="default"/>
    <w:sig w:usb0="00000000" w:usb1="00000000" w:usb2="00000000" w:usb3="00000000" w:csb0="00040000" w:csb1="00000000"/>
    <w:embedRegular r:id="rId4" w:fontKey="{D54EF47F-130E-49BE-AFB2-BEF490951BBB}"/>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CFD868">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38C9198">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038C9198">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BC448E8"/>
    <w:rsid w:val="1C317E4F"/>
    <w:rsid w:val="1C472464"/>
    <w:rsid w:val="1DAF458D"/>
    <w:rsid w:val="1E086ACE"/>
    <w:rsid w:val="1E4B5CA5"/>
    <w:rsid w:val="1EAA4A5F"/>
    <w:rsid w:val="1F587A0B"/>
    <w:rsid w:val="1FD77845"/>
    <w:rsid w:val="2064678E"/>
    <w:rsid w:val="20BC0B75"/>
    <w:rsid w:val="20DD6197"/>
    <w:rsid w:val="21F317F2"/>
    <w:rsid w:val="2241392C"/>
    <w:rsid w:val="23BC04D2"/>
    <w:rsid w:val="25275618"/>
    <w:rsid w:val="263071E0"/>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D6100F7"/>
    <w:rsid w:val="3EA7725F"/>
    <w:rsid w:val="3EC014A1"/>
    <w:rsid w:val="40834692"/>
    <w:rsid w:val="41C640A0"/>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151e6941-50bb-481f-bf41-ec24155a56b7</errorID>
      <errorWord>2月31日</errorWord>
      <group>L1_Sensitive</group>
      <groupName>敏感问题</groupName>
      <ability>L2_UserSensitive</ability>
      <abilityName>自定义敏感词</abilityName>
      <candidateList/>
      <explain>来自自定义敏感词库。</explain>
      <paraID>5BAA3055</paraID>
      <start>8</start>
      <end>13</end>
      <status>unmodified</status>
      <modifiedWord/>
      <trackRevisions>false</trackRevisions>
    </reviewItem>
    <reviewItem>
      <errorID>efd7d5ad-8cd7-4986-85fb-e8f76953ac1c</errorID>
      <errorWord>由干</errorWord>
      <group>L1_Word</group>
      <groupName>字词问题</groupName>
      <ability>L2_Typo</ability>
      <abilityName>字词错误</abilityName>
      <candidateList>
        <item>由于</item>
      </candidateList>
      <explain>存在字形相近字词的误用。</explain>
      <paraID>3CA4688A</paraID>
      <start>457</start>
      <end>459</end>
      <status>modified</status>
      <modifiedWord>由于</modifiedWord>
      <trackRevisions>false</trackRevisions>
    </reviewItem>
    <reviewItem>
      <errorID>37c81e4b-006a-4c8d-97a2-b84f3921fe76</errorID>
      <errorWord>部分</errorWord>
      <group>L1_Word</group>
      <groupName>字词问题</groupName>
      <ability>L2_Typo</ability>
      <abilityName>字词错误</abilityName>
      <candidateList>
        <item>部</item>
      </candidateList>
      <explain>❶部分；部位：内～｜上～｜胸～｜局～。❷〈名〉中央政府按业务划分的单位（级别比局、厅高）：外交～｜商务～。❸一般机关企业按业务划分的单位：编辑～｜门市～。❹军队（连以上）等的领导机构或其所在地：连～｜司令～。❺〈名〉指部队：率～突围。❻〈书〉统辖；统率；所～｜～领。❼〈量〉a）用于书籍、影片等：两～字典｜一～纪录片｜三～电视剧。b）用于机器或车辆：一～机器｜两～汽车。❽（Bù）〈名〉姓。</explain>
      <paraID>3CA4688A</paraID>
      <start>459</start>
      <end>461</end>
      <status>ignored</status>
      <modifiedWord/>
      <trackRevisions>false</trackRevisions>
    </reviewItem>
    <reviewItem>
      <errorID>c795c748-7862-4b81-a672-a6e42a1bb991</errorID>
      <errorWord>我单位</errorWord>
      <group>L1_Other</group>
      <groupName>其他问题</groupName>
      <ability>L2_UserTypo</ability>
      <abilityName>自定义错误</abilityName>
      <candidateList>
        <item>本单位</item>
      </candidateList>
      <explain>来自自定义错词库。</explain>
      <paraID>3CA4688A</paraID>
      <start>557</start>
      <end>560</end>
      <status>modified</status>
      <modifiedWord>本单位</modifiedWord>
      <trackRevisions>false</trackRevisions>
    </reviewItem>
    <reviewItem>
      <errorID>90360aef-e0cc-4f0e-a396-6d640cfcb1b5</errorID>
      <errorWord>监控</errorWord>
      <group>L1_Sensitive</group>
      <groupName>敏感问题</groupName>
      <ability>L2_UserSensitive</ability>
      <abilityName>自定义敏感词</abilityName>
      <candidateList/>
      <explain>来自自定义敏感词库。</explain>
      <paraID>21239BC0</paraID>
      <start>211</start>
      <end>213</end>
      <status>unmodified</status>
      <modifiedWord/>
      <trackRevisions>false</trackRevisions>
    </reviewItem>
    <reviewItem>
      <errorID>c38086e3-cdf9-46f6-b09d-5839d2d42de1</errorID>
      <errorWord>2月31日</errorWord>
      <group>L1_Sensitive</group>
      <groupName>敏感问题</groupName>
      <ability>L2_UserSensitive</ability>
      <abilityName>自定义敏感词</abilityName>
      <candidateList/>
      <explain>来自自定义敏感词库。</explain>
      <paraID>  8B8B12</paraID>
      <start>59</start>
      <end>64</end>
      <status>unmodified</status>
      <modifiedWord/>
      <trackRevisions>false</trackRevisions>
    </reviewItem>
    <reviewItem>
      <errorID>ae47f6b1-fc22-4305-b3e4-658c1776db9f</errorID>
      <errorWord>监控</errorWord>
      <group>L1_Sensitive</group>
      <groupName>敏感问题</groupName>
      <ability>L2_UserSensitive</ability>
      <abilityName>自定义敏感词</abilityName>
      <candidateList/>
      <explain>来自自定义敏感词库。</explain>
      <paraID>  8B8B12</paraID>
      <start>117</start>
      <end>119</end>
      <status>unmodified</status>
      <modifiedWord/>
      <trackRevisions>false</trackRevisions>
    </reviewItem>
    <reviewItem>
      <errorID>957f85bf-d022-434d-86fd-de50b2833201</errorID>
      <errorWord>监控</errorWord>
      <group>L1_Sensitive</group>
      <groupName>敏感问题</groupName>
      <ability>L2_UserSensitive</ability>
      <abilityName>自定义敏感词</abilityName>
      <candidateList/>
      <explain>来自自定义敏感词库。</explain>
      <paraID>3E9B08C0</paraID>
      <start>6</start>
      <end>8</end>
      <status>unmodified</status>
      <modifiedWord/>
      <trackRevisions>false</trackRevisions>
    </reviewItem>
    <reviewItem>
      <errorID>df30a2ec-e14e-47d5-b939-7a40557749f3</errorID>
      <errorWord>监控</errorWord>
      <group>L1_Sensitive</group>
      <groupName>敏感问题</groupName>
      <ability>L2_UserSensitive</ability>
      <abilityName>自定义敏感词</abilityName>
      <candidateList/>
      <explain>来自自定义敏感词库。</explain>
      <paraID>22E1B45B</paraID>
      <start>6</start>
      <end>8</end>
      <status>unmodified</status>
      <modifiedWord/>
      <trackRevisions>false</trackRevisions>
    </reviewItem>
    <reviewItem>
      <errorID>46464bfd-41da-4195-a886-63f40592ca35</errorID>
      <errorWord>2月31日</errorWord>
      <group>L1_Sensitive</group>
      <groupName>敏感问题</groupName>
      <ability>L2_UserSensitive</ability>
      <abilityName>自定义敏感词</abilityName>
      <candidateList/>
      <explain>来自自定义敏感词库。</explain>
      <paraID>3E5609C2</paraID>
      <start>42</start>
      <end>47</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fe435e-e740-4c28-974c-8d80deb5d90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5300</Words>
  <Characters>6069</Characters>
  <Lines>0</Lines>
  <Paragraphs>0</Paragraphs>
  <TotalTime>11</TotalTime>
  <ScaleCrop>false</ScaleCrop>
  <LinksUpToDate>false</LinksUpToDate>
  <CharactersWithSpaces>6077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2025-11-07T08:29:42Z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