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裕民县察汗托海牧场卫生院2024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96D6DA">
      <w:r>
        <w:br w:type="page"/>
      </w:r>
    </w:p>
    <w:p w14:paraId="7D647398">
      <w:pPr>
        <w:spacing w:line="640" w:lineRule="exact"/>
        <w:jc w:val="center"/>
        <w:outlineLvl w:val="1"/>
      </w:pPr>
      <w:r>
        <w:rPr>
          <w:rFonts w:ascii="黑体" w:hAnsi="黑体" w:eastAsia="黑体"/>
          <w:sz w:val="32"/>
        </w:rPr>
        <w:t>第一部分 单位概况</w:t>
      </w:r>
    </w:p>
    <w:p w14:paraId="5ED1F768">
      <w:pPr>
        <w:spacing w:line="640" w:lineRule="exact"/>
        <w:ind w:firstLine="640"/>
        <w:jc w:val="both"/>
        <w:outlineLvl w:val="2"/>
      </w:pPr>
      <w:r>
        <w:rPr>
          <w:rFonts w:ascii="黑体" w:hAnsi="黑体" w:eastAsia="黑体"/>
          <w:sz w:val="32"/>
        </w:rPr>
        <w:t>一、主要职能</w:t>
      </w:r>
    </w:p>
    <w:p w14:paraId="3456084A">
      <w:pPr>
        <w:spacing w:line="580" w:lineRule="exact"/>
        <w:ind w:firstLine="640"/>
        <w:jc w:val="both"/>
      </w:pPr>
      <w:r>
        <w:rPr>
          <w:rFonts w:ascii="仿宋_GB2312" w:hAnsi="仿宋_GB2312" w:eastAsia="仿宋_GB2312"/>
          <w:sz w:val="32"/>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14:paraId="57745B50">
      <w:pPr>
        <w:spacing w:line="580" w:lineRule="exact"/>
        <w:ind w:firstLine="640"/>
        <w:jc w:val="both"/>
      </w:pPr>
      <w:r>
        <w:rPr>
          <w:rFonts w:ascii="仿宋_GB2312" w:hAnsi="仿宋_GB2312" w:eastAsia="仿宋_GB2312"/>
          <w:sz w:val="32"/>
        </w:rPr>
        <w:t>（二）协助开展突发公共卫生事件应急调查和处置工作，对所属行政村卫生室实行管理，承担对村卫生室和乡村医生的业务管理和指导。协助做好城乡居民基本医疗保险工作。</w:t>
      </w:r>
    </w:p>
    <w:p w14:paraId="47726338">
      <w:pPr>
        <w:spacing w:line="640" w:lineRule="exact"/>
        <w:ind w:firstLine="640"/>
        <w:jc w:val="both"/>
        <w:outlineLvl w:val="2"/>
      </w:pPr>
      <w:r>
        <w:rPr>
          <w:rFonts w:ascii="黑体" w:hAnsi="黑体" w:eastAsia="黑体"/>
          <w:sz w:val="32"/>
        </w:rPr>
        <w:t>二、机构设置及人员情况</w:t>
      </w:r>
    </w:p>
    <w:p w14:paraId="71E2EC0D">
      <w:pPr>
        <w:spacing w:line="580" w:lineRule="exact"/>
        <w:ind w:firstLine="640"/>
        <w:jc w:val="both"/>
      </w:pPr>
      <w:r>
        <w:rPr>
          <w:rFonts w:ascii="仿宋_GB2312" w:hAnsi="仿宋_GB2312" w:eastAsia="仿宋_GB2312"/>
          <w:sz w:val="32"/>
        </w:rPr>
        <w:t>裕民县察汗托海牧场卫生院2024年度，实有人数13人，其中：在职人员11人，增加0人；离休人员0人，增加0人；退休人员2人,增加0人。</w:t>
      </w:r>
    </w:p>
    <w:p w14:paraId="46C5D50C">
      <w:pPr>
        <w:spacing w:line="580" w:lineRule="exact"/>
        <w:ind w:firstLine="640"/>
        <w:jc w:val="both"/>
      </w:pPr>
      <w:r>
        <w:rPr>
          <w:rFonts w:ascii="仿宋_GB2312" w:hAnsi="仿宋_GB2312" w:eastAsia="仿宋_GB2312"/>
          <w:sz w:val="32"/>
        </w:rPr>
        <w:t>裕民县察汗托海牧场卫生院无下属预算单位，下设</w:t>
      </w:r>
      <w:r>
        <w:rPr>
          <w:rFonts w:hint="eastAsia" w:ascii="仿宋_GB2312" w:hAnsi="仿宋_GB2312" w:eastAsia="仿宋_GB2312"/>
          <w:sz w:val="32"/>
          <w:lang w:val="en-US" w:eastAsia="zh-CN"/>
        </w:rPr>
        <w:t>9</w:t>
      </w:r>
      <w:r>
        <w:rPr>
          <w:rFonts w:ascii="仿宋_GB2312" w:hAnsi="仿宋_GB2312" w:eastAsia="仿宋_GB2312"/>
          <w:sz w:val="32"/>
        </w:rPr>
        <w:t>个科室，分别是：医生办公室、护士办公室、药房、防</w:t>
      </w:r>
      <w:r>
        <w:rPr>
          <w:rFonts w:hint="eastAsia" w:ascii="仿宋_GB2312" w:hAnsi="仿宋_GB2312" w:eastAsia="仿宋_GB2312"/>
          <w:sz w:val="32"/>
          <w:lang w:eastAsia="zh-CN"/>
        </w:rPr>
        <w:t>疫室</w:t>
      </w:r>
      <w:r>
        <w:rPr>
          <w:rFonts w:ascii="仿宋_GB2312" w:hAnsi="仿宋_GB2312" w:eastAsia="仿宋_GB2312"/>
          <w:sz w:val="32"/>
        </w:rPr>
        <w:t>、妇幼</w:t>
      </w:r>
      <w:r>
        <w:rPr>
          <w:rFonts w:hint="eastAsia" w:ascii="仿宋_GB2312" w:hAnsi="仿宋_GB2312" w:eastAsia="仿宋_GB2312"/>
          <w:sz w:val="32"/>
          <w:lang w:eastAsia="zh-CN"/>
        </w:rPr>
        <w:t>室</w:t>
      </w:r>
      <w:bookmarkStart w:id="0" w:name="_GoBack"/>
      <w:bookmarkEnd w:id="0"/>
      <w:r>
        <w:rPr>
          <w:rFonts w:ascii="仿宋_GB2312" w:hAnsi="仿宋_GB2312" w:eastAsia="仿宋_GB2312"/>
          <w:sz w:val="32"/>
        </w:rPr>
        <w:t>、B超室、化验室、基本公共卫生办公室、财务室。</w:t>
      </w:r>
    </w:p>
    <w:p w14:paraId="0A8E753F">
      <w:r>
        <w:br w:type="page"/>
      </w:r>
    </w:p>
    <w:p w14:paraId="07D16807">
      <w:pPr>
        <w:spacing w:line="240" w:lineRule="auto"/>
        <w:jc w:val="center"/>
        <w:outlineLvl w:val="1"/>
      </w:pPr>
      <w:r>
        <w:rPr>
          <w:rFonts w:ascii="黑体" w:hAnsi="黑体" w:eastAsia="黑体"/>
          <w:sz w:val="32"/>
        </w:rPr>
        <w:t>第二部分 部门决算情况说明</w:t>
      </w:r>
    </w:p>
    <w:p w14:paraId="2BBDFC66">
      <w:pPr>
        <w:spacing w:line="640" w:lineRule="exact"/>
        <w:ind w:firstLine="640"/>
        <w:jc w:val="both"/>
        <w:outlineLvl w:val="2"/>
      </w:pPr>
      <w:r>
        <w:rPr>
          <w:rFonts w:ascii="黑体" w:hAnsi="黑体" w:eastAsia="黑体"/>
          <w:sz w:val="32"/>
        </w:rPr>
        <w:t>一、收入支出决算总体情况说明</w:t>
      </w:r>
    </w:p>
    <w:p w14:paraId="5241A970">
      <w:pPr>
        <w:spacing w:line="580" w:lineRule="exact"/>
        <w:ind w:firstLine="640"/>
        <w:jc w:val="both"/>
      </w:pPr>
      <w:r>
        <w:rPr>
          <w:rFonts w:ascii="仿宋_GB2312" w:hAnsi="仿宋_GB2312" w:eastAsia="仿宋_GB2312"/>
          <w:b/>
          <w:sz w:val="32"/>
        </w:rPr>
        <w:t>2024年度收入总计148.82万元，</w:t>
      </w:r>
      <w:r>
        <w:rPr>
          <w:rFonts w:ascii="仿宋_GB2312" w:hAnsi="仿宋_GB2312" w:eastAsia="仿宋_GB2312"/>
          <w:b w:val="0"/>
          <w:sz w:val="32"/>
        </w:rPr>
        <w:t>其中：本年收入合计144.47万元，使用非财政拨款结余（含专用结余）0.00万元，年初结转和结余4.35万元。</w:t>
      </w:r>
    </w:p>
    <w:p w14:paraId="1B576397">
      <w:pPr>
        <w:spacing w:line="580" w:lineRule="exact"/>
        <w:ind w:firstLine="640"/>
        <w:jc w:val="both"/>
      </w:pPr>
      <w:r>
        <w:rPr>
          <w:rFonts w:ascii="仿宋_GB2312" w:hAnsi="仿宋_GB2312" w:eastAsia="仿宋_GB2312"/>
          <w:b/>
          <w:sz w:val="32"/>
        </w:rPr>
        <w:t>2024年度支出总计148.82万元，</w:t>
      </w:r>
      <w:r>
        <w:rPr>
          <w:rFonts w:ascii="仿宋_GB2312" w:hAnsi="仿宋_GB2312" w:eastAsia="仿宋_GB2312"/>
          <w:b w:val="0"/>
          <w:sz w:val="32"/>
        </w:rPr>
        <w:t>其中：本年支出合计147.58万元，结余分配0.00万元，年末结转和结余1.24万元。</w:t>
      </w:r>
    </w:p>
    <w:p w14:paraId="05D60FED">
      <w:pPr>
        <w:spacing w:line="580" w:lineRule="exact"/>
        <w:ind w:firstLine="640"/>
        <w:jc w:val="both"/>
      </w:pPr>
      <w:r>
        <w:rPr>
          <w:rFonts w:ascii="仿宋_GB2312" w:hAnsi="仿宋_GB2312" w:eastAsia="仿宋_GB2312"/>
          <w:b w:val="0"/>
          <w:sz w:val="32"/>
        </w:rPr>
        <w:t>收入支出总体与上年相比，减少2.06万元，下降1.37%，主要原因是：2023年补发2022年全年基础绩效奖，本年无此支出，导致本年经费减少。</w:t>
      </w:r>
    </w:p>
    <w:p w14:paraId="1EF0A3E7">
      <w:pPr>
        <w:spacing w:line="640" w:lineRule="exact"/>
        <w:ind w:firstLine="640"/>
        <w:jc w:val="both"/>
        <w:outlineLvl w:val="2"/>
      </w:pPr>
      <w:r>
        <w:rPr>
          <w:rFonts w:ascii="黑体" w:hAnsi="黑体" w:eastAsia="黑体"/>
          <w:sz w:val="32"/>
        </w:rPr>
        <w:t>二、收入决算情况说明</w:t>
      </w:r>
    </w:p>
    <w:p w14:paraId="694EA248">
      <w:pPr>
        <w:spacing w:line="580" w:lineRule="exact"/>
        <w:ind w:firstLine="640"/>
        <w:jc w:val="both"/>
      </w:pPr>
      <w:r>
        <w:rPr>
          <w:rFonts w:ascii="仿宋_GB2312" w:hAnsi="仿宋_GB2312" w:eastAsia="仿宋_GB2312"/>
          <w:b/>
          <w:sz w:val="32"/>
        </w:rPr>
        <w:t>本年收入144.47万元，</w:t>
      </w:r>
      <w:r>
        <w:rPr>
          <w:rFonts w:ascii="仿宋_GB2312" w:hAnsi="仿宋_GB2312" w:eastAsia="仿宋_GB2312"/>
          <w:b w:val="0"/>
          <w:sz w:val="32"/>
        </w:rPr>
        <w:t>其中：财政拨款收入143.99万元，占99.67%；上级补助收入0.00万元，占0.00%；事业收入0.49万元，占0.34%；经营收入0.00万元，占0.00%；附属单位上缴收入0.00万元，占0.00%；其他收入0.00万元，占0.00%。</w:t>
      </w:r>
    </w:p>
    <w:p w14:paraId="64F49CC1">
      <w:pPr>
        <w:spacing w:line="640" w:lineRule="exact"/>
        <w:ind w:firstLine="640"/>
        <w:jc w:val="both"/>
        <w:outlineLvl w:val="2"/>
      </w:pPr>
      <w:r>
        <w:rPr>
          <w:rFonts w:ascii="黑体" w:hAnsi="黑体" w:eastAsia="黑体"/>
          <w:sz w:val="32"/>
        </w:rPr>
        <w:t>三、支出决算情况说明</w:t>
      </w:r>
    </w:p>
    <w:p w14:paraId="24665B7F">
      <w:pPr>
        <w:spacing w:line="580" w:lineRule="exact"/>
        <w:ind w:firstLine="640"/>
        <w:jc w:val="both"/>
      </w:pPr>
      <w:r>
        <w:rPr>
          <w:rFonts w:ascii="仿宋_GB2312" w:hAnsi="仿宋_GB2312" w:eastAsia="仿宋_GB2312"/>
          <w:b/>
          <w:sz w:val="32"/>
        </w:rPr>
        <w:t>本年支出147.58万元，</w:t>
      </w:r>
      <w:r>
        <w:rPr>
          <w:rFonts w:ascii="仿宋_GB2312" w:hAnsi="仿宋_GB2312" w:eastAsia="仿宋_GB2312"/>
          <w:b w:val="0"/>
          <w:sz w:val="32"/>
        </w:rPr>
        <w:t>其中：基本支出147.58万元，占100.00%；项目支出0.00万元，占0.00%；上缴上级支出0.00万元，占0.00%；经营支出0.00万元，占0.00%；对附属单位补助支出0.00万元，占0.00%。</w:t>
      </w:r>
    </w:p>
    <w:p w14:paraId="1827BB81">
      <w:pPr>
        <w:spacing w:line="640" w:lineRule="exact"/>
        <w:ind w:firstLine="640"/>
        <w:jc w:val="both"/>
        <w:outlineLvl w:val="2"/>
      </w:pPr>
      <w:r>
        <w:rPr>
          <w:rFonts w:ascii="黑体" w:hAnsi="黑体" w:eastAsia="黑体"/>
          <w:sz w:val="32"/>
        </w:rPr>
        <w:t>四、财政拨款收入支出决算总体情况说明</w:t>
      </w:r>
    </w:p>
    <w:p w14:paraId="4389904C">
      <w:pPr>
        <w:spacing w:line="580" w:lineRule="exact"/>
        <w:ind w:firstLine="640"/>
        <w:jc w:val="both"/>
      </w:pPr>
      <w:r>
        <w:rPr>
          <w:rFonts w:ascii="仿宋_GB2312" w:hAnsi="仿宋_GB2312" w:eastAsia="仿宋_GB2312"/>
          <w:b/>
          <w:sz w:val="32"/>
        </w:rPr>
        <w:t>2024年度财政拨款收入总计143.99万元，</w:t>
      </w:r>
      <w:r>
        <w:rPr>
          <w:rFonts w:ascii="仿宋_GB2312" w:hAnsi="仿宋_GB2312" w:eastAsia="仿宋_GB2312"/>
          <w:b w:val="0"/>
          <w:sz w:val="32"/>
        </w:rPr>
        <w:t>其中：年初财政拨款结转和结余0.00万元，本年财政拨款收入143.99万元。</w:t>
      </w:r>
      <w:r>
        <w:rPr>
          <w:rFonts w:ascii="仿宋_GB2312" w:hAnsi="仿宋_GB2312" w:eastAsia="仿宋_GB2312"/>
          <w:b/>
          <w:sz w:val="32"/>
        </w:rPr>
        <w:t>财政拨款支出总计143.99万元，</w:t>
      </w:r>
      <w:r>
        <w:rPr>
          <w:rFonts w:ascii="仿宋_GB2312" w:hAnsi="仿宋_GB2312" w:eastAsia="仿宋_GB2312"/>
          <w:b w:val="0"/>
          <w:sz w:val="32"/>
        </w:rPr>
        <w:t>其中：年末财政拨款结转和结余0.00万元，本年财政拨款支出143.99万元。</w:t>
      </w:r>
    </w:p>
    <w:p w14:paraId="77CD0A4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减少2.54万元，下降1.73%，主要原因是：2023年补发2022年全年基础绩效奖，本年无此支出，导致本年经费减少。</w:t>
      </w:r>
      <w:r>
        <w:rPr>
          <w:rFonts w:ascii="仿宋_GB2312" w:hAnsi="仿宋_GB2312" w:eastAsia="仿宋_GB2312"/>
          <w:b/>
          <w:sz w:val="32"/>
        </w:rPr>
        <w:t>与年初预算相比，</w:t>
      </w:r>
      <w:r>
        <w:rPr>
          <w:rFonts w:ascii="仿宋_GB2312" w:hAnsi="仿宋_GB2312" w:eastAsia="仿宋_GB2312"/>
          <w:b w:val="0"/>
          <w:sz w:val="32"/>
        </w:rPr>
        <w:t>年初预算数162.64万元，决算数143.99万元，预决算差异率-11.47%，主要原因是：年初预算中包含大绩效经费，年中执行实际由人员所在卫生院执行，导致预决算存在差异。</w:t>
      </w:r>
    </w:p>
    <w:p w14:paraId="591CF52A">
      <w:pPr>
        <w:spacing w:line="640" w:lineRule="exact"/>
        <w:ind w:firstLine="640"/>
        <w:jc w:val="both"/>
        <w:outlineLvl w:val="2"/>
      </w:pPr>
      <w:r>
        <w:rPr>
          <w:rFonts w:ascii="黑体" w:hAnsi="黑体" w:eastAsia="黑体"/>
          <w:sz w:val="32"/>
        </w:rPr>
        <w:t>五、一般公共预算财政拨款支出决算情况说明</w:t>
      </w:r>
    </w:p>
    <w:p w14:paraId="3A931C51">
      <w:pPr>
        <w:spacing w:line="640" w:lineRule="exact"/>
        <w:ind w:firstLine="640"/>
        <w:jc w:val="both"/>
        <w:outlineLvl w:val="3"/>
      </w:pPr>
      <w:r>
        <w:rPr>
          <w:rFonts w:ascii="楷体_GB2312" w:hAnsi="楷体_GB2312" w:eastAsia="楷体_GB2312"/>
          <w:b/>
          <w:sz w:val="32"/>
        </w:rPr>
        <w:t>（一）一般公共预算财政拨款支出决算总体情况</w:t>
      </w:r>
    </w:p>
    <w:p w14:paraId="265005D8">
      <w:pPr>
        <w:spacing w:line="580" w:lineRule="exact"/>
        <w:ind w:firstLine="640"/>
        <w:jc w:val="both"/>
      </w:pPr>
      <w:r>
        <w:rPr>
          <w:rFonts w:ascii="仿宋_GB2312" w:hAnsi="仿宋_GB2312" w:eastAsia="仿宋_GB2312"/>
          <w:b/>
          <w:sz w:val="32"/>
        </w:rPr>
        <w:t>2024年度一般公共预算财政拨款支出143.99万元，</w:t>
      </w:r>
      <w:r>
        <w:rPr>
          <w:rFonts w:ascii="仿宋_GB2312" w:hAnsi="仿宋_GB2312" w:eastAsia="仿宋_GB2312"/>
          <w:b w:val="0"/>
          <w:sz w:val="32"/>
        </w:rPr>
        <w:t>占本年支出合计的97.57%。</w:t>
      </w:r>
      <w:r>
        <w:rPr>
          <w:rFonts w:ascii="仿宋_GB2312" w:hAnsi="仿宋_GB2312" w:eastAsia="仿宋_GB2312"/>
          <w:b/>
          <w:sz w:val="32"/>
        </w:rPr>
        <w:t>与上年相比，</w:t>
      </w:r>
      <w:r>
        <w:rPr>
          <w:rFonts w:ascii="仿宋_GB2312" w:hAnsi="仿宋_GB2312" w:eastAsia="仿宋_GB2312"/>
          <w:b w:val="0"/>
          <w:sz w:val="32"/>
        </w:rPr>
        <w:t>减少2.54万元，下降1.73%，主要原因是：2023年补发2022年全年基础绩效奖，本年无此支出，导致本年经费减少。</w:t>
      </w:r>
      <w:r>
        <w:rPr>
          <w:rFonts w:ascii="仿宋_GB2312" w:hAnsi="仿宋_GB2312" w:eastAsia="仿宋_GB2312"/>
          <w:b/>
          <w:sz w:val="32"/>
        </w:rPr>
        <w:t>与年初预算相比,</w:t>
      </w:r>
      <w:r>
        <w:rPr>
          <w:rFonts w:ascii="仿宋_GB2312" w:hAnsi="仿宋_GB2312" w:eastAsia="仿宋_GB2312"/>
          <w:b w:val="0"/>
          <w:sz w:val="32"/>
        </w:rPr>
        <w:t>年初预算数162.64万元，决算数143.99万元，预决算差异率-11.47%，主要原因是：年初预算中包含大绩效奖经费，年中执行实际由人员所在卫生部执行，导致预决算存在差异。</w:t>
      </w:r>
    </w:p>
    <w:p w14:paraId="7EBBE1BA">
      <w:pPr>
        <w:spacing w:line="640" w:lineRule="exact"/>
        <w:ind w:firstLine="640"/>
        <w:jc w:val="both"/>
        <w:outlineLvl w:val="3"/>
      </w:pPr>
      <w:r>
        <w:rPr>
          <w:rFonts w:ascii="楷体_GB2312" w:hAnsi="楷体_GB2312" w:eastAsia="楷体_GB2312"/>
          <w:b/>
          <w:sz w:val="32"/>
        </w:rPr>
        <w:t>（二）一般公共预算财政拨款支出决算结构情况</w:t>
      </w:r>
    </w:p>
    <w:p w14:paraId="3711BA7D">
      <w:pPr>
        <w:spacing w:line="580" w:lineRule="exact"/>
        <w:ind w:firstLine="640"/>
        <w:jc w:val="both"/>
      </w:pPr>
      <w:r>
        <w:rPr>
          <w:rFonts w:ascii="仿宋_GB2312" w:hAnsi="仿宋_GB2312" w:eastAsia="仿宋_GB2312"/>
          <w:b w:val="0"/>
          <w:sz w:val="32"/>
        </w:rPr>
        <w:t>1.社会保障和就业支出(类)17.82万元,占12.38%。</w:t>
      </w:r>
    </w:p>
    <w:p w14:paraId="1DB8D0D3">
      <w:pPr>
        <w:spacing w:line="580" w:lineRule="exact"/>
        <w:ind w:firstLine="640"/>
        <w:jc w:val="both"/>
      </w:pPr>
      <w:r>
        <w:rPr>
          <w:rFonts w:ascii="仿宋_GB2312" w:hAnsi="仿宋_GB2312" w:eastAsia="仿宋_GB2312"/>
          <w:b w:val="0"/>
          <w:sz w:val="32"/>
        </w:rPr>
        <w:t>2.卫生健康支出(类)112.40万元,占78.06%。</w:t>
      </w:r>
    </w:p>
    <w:p w14:paraId="05942F3A">
      <w:pPr>
        <w:spacing w:line="580" w:lineRule="exact"/>
        <w:ind w:firstLine="640"/>
        <w:jc w:val="both"/>
      </w:pPr>
      <w:r>
        <w:rPr>
          <w:rFonts w:ascii="仿宋_GB2312" w:hAnsi="仿宋_GB2312" w:eastAsia="仿宋_GB2312"/>
          <w:b w:val="0"/>
          <w:sz w:val="32"/>
        </w:rPr>
        <w:t>3.住房保障支出(类)13.76万元,占9.56%。</w:t>
      </w:r>
    </w:p>
    <w:p w14:paraId="689D3917">
      <w:pPr>
        <w:spacing w:line="640" w:lineRule="exact"/>
        <w:ind w:firstLine="640"/>
        <w:jc w:val="both"/>
        <w:outlineLvl w:val="3"/>
      </w:pPr>
      <w:r>
        <w:rPr>
          <w:rFonts w:ascii="楷体_GB2312" w:hAnsi="楷体_GB2312" w:eastAsia="楷体_GB2312"/>
          <w:b/>
          <w:sz w:val="32"/>
        </w:rPr>
        <w:t>（三）一般公共预算财政拨款支出决算具体情况</w:t>
      </w:r>
    </w:p>
    <w:p w14:paraId="18EB6F3D">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1.社会保障和就业支出(类)行政事业单位养老支出(款)事业单位离退休(项):支出决算数为1.40万元，比上年决算增加0.40万元，增长40.00%,主要原因是：本年增加退休人员基础绩效奖，退休费支出增加。</w:t>
      </w:r>
    </w:p>
    <w:p w14:paraId="0E7AEDB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16.43万元，比上年决算增加1.55万元，增长10.42%,主要原因是：人员工资基数调增，养老缴费基数上涨，相应支出增加。</w:t>
      </w:r>
    </w:p>
    <w:p w14:paraId="21A4A62D">
      <w:pPr>
        <w:spacing w:line="580" w:lineRule="exact"/>
        <w:ind w:firstLine="640"/>
        <w:jc w:val="both"/>
      </w:pPr>
      <w:r>
        <w:rPr>
          <w:rFonts w:ascii="仿宋_GB2312" w:hAnsi="仿宋_GB2312" w:eastAsia="仿宋_GB2312"/>
          <w:b w:val="0"/>
          <w:sz w:val="32"/>
        </w:rPr>
        <w:t>3.卫生健康支出(类)基层医疗卫生机构(款)乡镇卫生院(项):支出决算数为105.74万元，比上年决算减少6.78万元，下降6.03%,主要原因是：2023年补发2022年全年基础绩效奖及津贴补贴，本年无此支出，导致本年经费减少。</w:t>
      </w:r>
    </w:p>
    <w:p w14:paraId="52CDB20D">
      <w:pPr>
        <w:spacing w:line="580" w:lineRule="exact"/>
        <w:ind w:firstLine="640"/>
        <w:jc w:val="both"/>
      </w:pPr>
      <w:r>
        <w:rPr>
          <w:rFonts w:ascii="仿宋_GB2312" w:hAnsi="仿宋_GB2312" w:eastAsia="仿宋_GB2312"/>
          <w:b w:val="0"/>
          <w:sz w:val="32"/>
        </w:rPr>
        <w:t>4.卫生健康支出(类)行政事业单位医疗(款)事业单位医疗(项):支出决算数为6.66万元，比上年决算增加0.26万元，增长4.06%,主要原因是：人员工资基数调增，医疗缴费基数上涨，相应支出增加。</w:t>
      </w:r>
    </w:p>
    <w:p w14:paraId="6A3F7F7E">
      <w:pPr>
        <w:spacing w:line="580" w:lineRule="exact"/>
        <w:ind w:firstLine="640"/>
        <w:jc w:val="both"/>
      </w:pPr>
      <w:r>
        <w:rPr>
          <w:rFonts w:ascii="仿宋_GB2312" w:hAnsi="仿宋_GB2312" w:eastAsia="仿宋_GB2312"/>
          <w:b w:val="0"/>
          <w:sz w:val="32"/>
        </w:rPr>
        <w:t>5.住房保障支出(类)住房改革支出(款)住房公积金(项):支出决算数为13.76万元，比上年决算增加2.03万元，增长17.31%,主要原因是：人员工资基数调增，公积金缴费基数上涨，相应支出增加。</w:t>
      </w:r>
    </w:p>
    <w:p w14:paraId="6EB7C306">
      <w:pPr>
        <w:spacing w:line="640" w:lineRule="exact"/>
        <w:ind w:firstLine="640"/>
        <w:jc w:val="both"/>
        <w:outlineLvl w:val="2"/>
      </w:pPr>
      <w:r>
        <w:rPr>
          <w:rFonts w:ascii="黑体" w:hAnsi="黑体" w:eastAsia="黑体"/>
          <w:sz w:val="32"/>
        </w:rPr>
        <w:t>六、一般公共预算财政拨款基本支出决算情况说明</w:t>
      </w:r>
    </w:p>
    <w:p w14:paraId="479CF4BC">
      <w:pPr>
        <w:spacing w:line="580" w:lineRule="exact"/>
        <w:ind w:firstLine="640"/>
        <w:jc w:val="both"/>
      </w:pPr>
      <w:r>
        <w:rPr>
          <w:rFonts w:ascii="仿宋_GB2312" w:hAnsi="仿宋_GB2312" w:eastAsia="仿宋_GB2312"/>
          <w:b w:val="0"/>
          <w:sz w:val="32"/>
        </w:rPr>
        <w:t>2024年度一般公共预算财政拨款基本支出143.99万元，其中：</w:t>
      </w:r>
      <w:r>
        <w:rPr>
          <w:rFonts w:ascii="仿宋_GB2312" w:hAnsi="仿宋_GB2312" w:eastAsia="仿宋_GB2312"/>
          <w:b/>
          <w:sz w:val="32"/>
        </w:rPr>
        <w:t>人员经费142.37万元，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2452F777">
      <w:pPr>
        <w:spacing w:line="580" w:lineRule="exact"/>
        <w:ind w:firstLine="640"/>
        <w:jc w:val="both"/>
      </w:pPr>
      <w:r>
        <w:rPr>
          <w:rFonts w:ascii="仿宋_GB2312" w:hAnsi="仿宋_GB2312" w:eastAsia="仿宋_GB2312"/>
          <w:b/>
          <w:sz w:val="32"/>
        </w:rPr>
        <w:t>公用经费1.62万元，</w:t>
      </w:r>
      <w:r>
        <w:rPr>
          <w:rFonts w:ascii="仿宋_GB2312" w:hAnsi="仿宋_GB2312" w:eastAsia="仿宋_GB2312"/>
          <w:b w:val="0"/>
          <w:sz w:val="32"/>
        </w:rPr>
        <w:t>包括：工会经费。</w:t>
      </w:r>
    </w:p>
    <w:p w14:paraId="409CC68D">
      <w:pPr>
        <w:spacing w:line="640" w:lineRule="exact"/>
        <w:ind w:firstLine="640"/>
        <w:jc w:val="both"/>
        <w:outlineLvl w:val="2"/>
      </w:pPr>
      <w:r>
        <w:rPr>
          <w:rFonts w:ascii="黑体" w:hAnsi="黑体" w:eastAsia="黑体"/>
          <w:sz w:val="32"/>
        </w:rPr>
        <w:t>七、政府性基金预算财政拨款收入支出决算情况说明</w:t>
      </w:r>
    </w:p>
    <w:p w14:paraId="45F507F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B38F09D">
      <w:pPr>
        <w:spacing w:line="640" w:lineRule="exact"/>
        <w:ind w:firstLine="640"/>
        <w:jc w:val="both"/>
        <w:outlineLvl w:val="2"/>
      </w:pPr>
      <w:r>
        <w:rPr>
          <w:rFonts w:ascii="黑体" w:hAnsi="黑体" w:eastAsia="黑体"/>
          <w:sz w:val="32"/>
        </w:rPr>
        <w:t>八、国有资本经营预算财政拨款收入支出决算情况说明</w:t>
      </w:r>
    </w:p>
    <w:p w14:paraId="0ACC14A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192CE6">
      <w:pPr>
        <w:spacing w:line="640" w:lineRule="exact"/>
        <w:ind w:firstLine="640"/>
        <w:jc w:val="both"/>
        <w:outlineLvl w:val="2"/>
      </w:pPr>
      <w:r>
        <w:rPr>
          <w:rFonts w:ascii="黑体" w:hAnsi="黑体" w:eastAsia="黑体"/>
          <w:sz w:val="32"/>
        </w:rPr>
        <w:t>九、财政拨款“三公”经费支出决算情况说明</w:t>
      </w:r>
    </w:p>
    <w:p w14:paraId="5E95BB4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5C09457">
      <w:pPr>
        <w:spacing w:line="580" w:lineRule="exact"/>
        <w:ind w:firstLine="640"/>
        <w:jc w:val="both"/>
      </w:pPr>
      <w:r>
        <w:rPr>
          <w:rFonts w:ascii="仿宋_GB2312" w:hAnsi="仿宋_GB2312" w:eastAsia="仿宋_GB2312"/>
          <w:b/>
          <w:sz w:val="32"/>
        </w:rPr>
        <w:t>具体情况如下：</w:t>
      </w:r>
    </w:p>
    <w:p w14:paraId="02534A2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DE5071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借</w:t>
      </w:r>
      <w:r>
        <w:rPr>
          <w:rFonts w:hint="eastAsia" w:ascii="仿宋_GB2312" w:hAnsi="仿宋_GB2312" w:eastAsia="仿宋_GB2312"/>
          <w:b w:val="0"/>
          <w:sz w:val="32"/>
          <w:lang w:val="en-US" w:eastAsia="zh-CN"/>
        </w:rPr>
        <w:t>给</w:t>
      </w:r>
      <w:r>
        <w:rPr>
          <w:rFonts w:ascii="仿宋_GB2312" w:hAnsi="仿宋_GB2312" w:eastAsia="仿宋_GB2312"/>
          <w:b w:val="0"/>
          <w:sz w:val="32"/>
        </w:rPr>
        <w:t>疾控中心使用，车辆费用由</w:t>
      </w:r>
      <w:r>
        <w:rPr>
          <w:rFonts w:hint="eastAsia" w:ascii="仿宋_GB2312" w:hAnsi="仿宋_GB2312" w:eastAsia="仿宋_GB2312"/>
          <w:b w:val="0"/>
          <w:sz w:val="32"/>
          <w:lang w:val="en-US" w:eastAsia="zh-CN"/>
        </w:rPr>
        <w:t>疾控中心</w:t>
      </w:r>
      <w:r>
        <w:rPr>
          <w:rFonts w:ascii="仿宋_GB2312" w:hAnsi="仿宋_GB2312" w:eastAsia="仿宋_GB2312"/>
          <w:b w:val="0"/>
          <w:sz w:val="32"/>
        </w:rPr>
        <w:t>支付。</w:t>
      </w:r>
    </w:p>
    <w:p w14:paraId="1AC0DBB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F54B0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38FE497">
      <w:pPr>
        <w:spacing w:line="640" w:lineRule="exact"/>
        <w:ind w:firstLine="640"/>
        <w:jc w:val="both"/>
        <w:outlineLvl w:val="2"/>
      </w:pPr>
      <w:r>
        <w:rPr>
          <w:rFonts w:ascii="黑体" w:hAnsi="黑体" w:eastAsia="黑体"/>
          <w:sz w:val="32"/>
        </w:rPr>
        <w:t>十、其他重要事项的情况说明</w:t>
      </w:r>
    </w:p>
    <w:p w14:paraId="18A3728F">
      <w:pPr>
        <w:spacing w:line="640" w:lineRule="exact"/>
        <w:ind w:firstLine="640"/>
        <w:jc w:val="both"/>
        <w:outlineLvl w:val="3"/>
      </w:pPr>
      <w:r>
        <w:rPr>
          <w:rFonts w:ascii="楷体_GB2312" w:hAnsi="楷体_GB2312" w:eastAsia="楷体_GB2312"/>
          <w:b/>
          <w:sz w:val="32"/>
        </w:rPr>
        <w:t>（一）机关运行经费及公用经费支出情况</w:t>
      </w:r>
    </w:p>
    <w:p w14:paraId="62861F3D">
      <w:pPr>
        <w:spacing w:line="580" w:lineRule="exact"/>
        <w:ind w:firstLine="640"/>
        <w:jc w:val="both"/>
      </w:pPr>
      <w:r>
        <w:rPr>
          <w:rFonts w:ascii="仿宋_GB2312" w:hAnsi="仿宋_GB2312" w:eastAsia="仿宋_GB2312"/>
          <w:b w:val="0"/>
          <w:sz w:val="32"/>
        </w:rPr>
        <w:t>2024年度裕民县察汗托海牧场卫生院（事业单位）公用经费支出1.62万元，比上年增加0.07万元，增长4.52%，主要原因是：本年工会经费增加。</w:t>
      </w:r>
    </w:p>
    <w:p w14:paraId="4C7AC056">
      <w:pPr>
        <w:spacing w:line="640" w:lineRule="exact"/>
        <w:ind w:firstLine="640"/>
        <w:jc w:val="both"/>
        <w:outlineLvl w:val="3"/>
      </w:pPr>
      <w:r>
        <w:rPr>
          <w:rFonts w:ascii="楷体_GB2312" w:hAnsi="楷体_GB2312" w:eastAsia="楷体_GB2312"/>
          <w:b/>
          <w:sz w:val="32"/>
        </w:rPr>
        <w:t>（二）政府采购情况</w:t>
      </w:r>
    </w:p>
    <w:p w14:paraId="10DA5CF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815CA5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E932C60">
      <w:pPr>
        <w:spacing w:line="640" w:lineRule="exact"/>
        <w:ind w:firstLine="640"/>
        <w:jc w:val="both"/>
        <w:outlineLvl w:val="3"/>
      </w:pPr>
      <w:r>
        <w:rPr>
          <w:rFonts w:ascii="楷体_GB2312" w:hAnsi="楷体_GB2312" w:eastAsia="楷体_GB2312"/>
          <w:b/>
          <w:sz w:val="32"/>
        </w:rPr>
        <w:t>（三）国有资产占用情况说明</w:t>
      </w:r>
    </w:p>
    <w:p w14:paraId="51C16439">
      <w:pPr>
        <w:spacing w:line="580" w:lineRule="exact"/>
        <w:ind w:firstLine="640"/>
        <w:jc w:val="both"/>
      </w:pPr>
      <w:r>
        <w:rPr>
          <w:rFonts w:ascii="仿宋_GB2312" w:hAnsi="仿宋_GB2312" w:eastAsia="仿宋_GB2312"/>
          <w:b w:val="0"/>
          <w:sz w:val="32"/>
        </w:rPr>
        <w:t>截至2024年12月31日，房屋0.00平方米，价值0.00万元。车辆1辆，价值10.45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val="en-US" w:eastAsia="zh-CN"/>
        </w:rPr>
        <w:t>单位业务用车</w:t>
      </w:r>
      <w:r>
        <w:rPr>
          <w:rFonts w:ascii="仿宋_GB2312" w:hAnsi="仿宋_GB2312" w:eastAsia="仿宋_GB2312"/>
          <w:b w:val="0"/>
          <w:sz w:val="32"/>
        </w:rPr>
        <w:t>。单价100万元（含）以上设备（不含车辆）0台（套）。</w:t>
      </w:r>
    </w:p>
    <w:p w14:paraId="4D0B75E7">
      <w:pPr>
        <w:spacing w:line="640" w:lineRule="exact"/>
        <w:ind w:firstLine="640"/>
        <w:jc w:val="both"/>
        <w:outlineLvl w:val="2"/>
      </w:pPr>
      <w:r>
        <w:rPr>
          <w:rFonts w:ascii="黑体" w:hAnsi="黑体" w:eastAsia="黑体"/>
          <w:sz w:val="32"/>
        </w:rPr>
        <w:t>十一、预算绩效的情况说明</w:t>
      </w:r>
    </w:p>
    <w:p w14:paraId="656828F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148.82万元，实际执行总额147.58万元；预算绩效评价项目0个，全年预算数0.00万元，全年执行数0.00万元。预算绩效管理取得的成效：本单位本年度无绩效项目。发现的问题及原因：本单位本年度无绩效项目。下一步改进措施：本单位本年度无绩效项目。具体附整体支出绩效自评表。</w:t>
      </w:r>
    </w:p>
    <w:p w14:paraId="351B018E">
      <w:r>
        <w:br w:type="page"/>
      </w:r>
    </w:p>
    <w:tbl>
      <w:tblPr>
        <w:tblStyle w:val="9"/>
        <w:tblW w:w="0" w:type="auto"/>
        <w:tblInd w:w="0" w:type="dxa"/>
        <w:tblLayout w:type="autofit"/>
        <w:tblCellMar>
          <w:top w:w="0" w:type="dxa"/>
          <w:left w:w="108" w:type="dxa"/>
          <w:bottom w:w="0" w:type="dxa"/>
          <w:right w:w="108" w:type="dxa"/>
        </w:tblCellMar>
      </w:tblPr>
      <w:tblGrid>
        <w:gridCol w:w="1105"/>
        <w:gridCol w:w="998"/>
        <w:gridCol w:w="1338"/>
        <w:gridCol w:w="979"/>
        <w:gridCol w:w="1105"/>
        <w:gridCol w:w="1105"/>
        <w:gridCol w:w="1105"/>
        <w:gridCol w:w="1105"/>
      </w:tblGrid>
      <w:tr w14:paraId="52D2C51D">
        <w:tblPrEx>
          <w:tblCellMar>
            <w:top w:w="0" w:type="dxa"/>
            <w:left w:w="108" w:type="dxa"/>
            <w:bottom w:w="0" w:type="dxa"/>
            <w:right w:w="108" w:type="dxa"/>
          </w:tblCellMar>
        </w:tblPrEx>
        <w:tc>
          <w:tcPr>
            <w:tcW w:w="8840" w:type="dxa"/>
            <w:gridSpan w:val="8"/>
            <w:vAlign w:val="center"/>
          </w:tcPr>
          <w:p w14:paraId="2CE8064F">
            <w:pPr>
              <w:jc w:val="center"/>
            </w:pPr>
            <w:r>
              <w:rPr>
                <w:rFonts w:ascii="宋体" w:hAnsi="宋体" w:eastAsia="宋体"/>
                <w:sz w:val="24"/>
              </w:rPr>
              <w:t>单位整体支出绩效自评表</w:t>
            </w:r>
          </w:p>
        </w:tc>
      </w:tr>
      <w:tr w14:paraId="1C10728D">
        <w:tblPrEx>
          <w:tblCellMar>
            <w:top w:w="0" w:type="dxa"/>
            <w:left w:w="108" w:type="dxa"/>
            <w:bottom w:w="0" w:type="dxa"/>
            <w:right w:w="108" w:type="dxa"/>
          </w:tblCellMar>
        </w:tblPrEx>
        <w:tc>
          <w:tcPr>
            <w:tcW w:w="8840" w:type="dxa"/>
            <w:gridSpan w:val="8"/>
            <w:vAlign w:val="center"/>
          </w:tcPr>
          <w:p w14:paraId="32EAAFEA">
            <w:pPr>
              <w:jc w:val="center"/>
            </w:pPr>
            <w:r>
              <w:rPr>
                <w:rFonts w:ascii="宋体" w:hAnsi="宋体" w:eastAsia="宋体"/>
                <w:sz w:val="24"/>
              </w:rPr>
              <w:t>（2024年度）</w:t>
            </w:r>
          </w:p>
        </w:tc>
      </w:tr>
      <w:tr w14:paraId="3C8FF9C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2061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BF1F10">
            <w:pPr>
              <w:jc w:val="center"/>
            </w:pPr>
            <w:r>
              <w:rPr>
                <w:rFonts w:ascii="宋体" w:hAnsi="宋体" w:eastAsia="宋体"/>
                <w:sz w:val="16"/>
              </w:rPr>
              <w:t>裕民县察汗托海牧场卫生院</w:t>
            </w:r>
          </w:p>
        </w:tc>
      </w:tr>
      <w:tr w14:paraId="3E99D3C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5D753">
            <w:pPr>
              <w:jc w:val="center"/>
            </w:pPr>
            <w:r>
              <w:rPr>
                <w:rFonts w:ascii="宋体" w:hAnsi="宋体" w:eastAsia="宋体"/>
                <w:sz w:val="16"/>
              </w:rPr>
              <w:t>部门资金（万元）</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7987CF45">
            <w:pPr>
              <w:jc w:val="center"/>
            </w:pPr>
            <w:r>
              <w:rPr>
                <w:rFonts w:ascii="宋体" w:hAnsi="宋体" w:eastAsia="宋体"/>
                <w:sz w:val="16"/>
              </w:rPr>
              <w:t>资金来源</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6799514D">
            <w:pPr>
              <w:jc w:val="center"/>
            </w:pPr>
            <w:r>
              <w:rPr>
                <w:rFonts w:ascii="宋体" w:hAnsi="宋体" w:eastAsia="宋体"/>
                <w:sz w:val="16"/>
              </w:rPr>
              <w:t>年初预算数</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73D75B6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F1DB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C591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13AC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0906D">
            <w:pPr>
              <w:jc w:val="center"/>
            </w:pPr>
            <w:r>
              <w:rPr>
                <w:rFonts w:ascii="宋体" w:hAnsi="宋体" w:eastAsia="宋体"/>
                <w:sz w:val="16"/>
              </w:rPr>
              <w:t>得分</w:t>
            </w:r>
          </w:p>
        </w:tc>
      </w:tr>
      <w:tr w14:paraId="57513C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FC4F77"/>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41527D3A">
            <w:pPr>
              <w:jc w:val="center"/>
            </w:pPr>
            <w:r>
              <w:rPr>
                <w:rFonts w:ascii="宋体" w:hAnsi="宋体" w:eastAsia="宋体"/>
                <w:sz w:val="16"/>
              </w:rPr>
              <w:t>年度总资金</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29559366">
            <w:pPr>
              <w:jc w:val="center"/>
            </w:pPr>
            <w:r>
              <w:rPr>
                <w:rFonts w:ascii="宋体" w:hAnsi="宋体" w:eastAsia="宋体"/>
                <w:sz w:val="16"/>
              </w:rPr>
              <w:t>168.08</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75C6466B">
            <w:pPr>
              <w:jc w:val="center"/>
            </w:pPr>
            <w:r>
              <w:rPr>
                <w:rFonts w:ascii="宋体" w:hAnsi="宋体" w:eastAsia="宋体"/>
                <w:sz w:val="16"/>
              </w:rPr>
              <w:t>148.82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2F2A5">
            <w:pPr>
              <w:jc w:val="center"/>
            </w:pPr>
            <w:r>
              <w:rPr>
                <w:rFonts w:ascii="宋体" w:hAnsi="宋体" w:eastAsia="宋体"/>
                <w:sz w:val="16"/>
              </w:rPr>
              <w:t>147.58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BB1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C66BC">
            <w:pPr>
              <w:jc w:val="center"/>
            </w:pPr>
            <w:r>
              <w:rPr>
                <w:rFonts w:ascii="宋体" w:hAnsi="宋体" w:eastAsia="宋体"/>
                <w:sz w:val="16"/>
              </w:rPr>
              <w:t>99.17%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DC175">
            <w:pPr>
              <w:jc w:val="center"/>
            </w:pPr>
            <w:r>
              <w:rPr>
                <w:rFonts w:ascii="宋体" w:hAnsi="宋体" w:eastAsia="宋体"/>
                <w:sz w:val="16"/>
              </w:rPr>
              <w:t>10</w:t>
            </w:r>
          </w:p>
        </w:tc>
      </w:tr>
      <w:tr w14:paraId="20D1DE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633C9D"/>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30840FDC">
            <w:pPr>
              <w:jc w:val="center"/>
            </w:pPr>
            <w:r>
              <w:rPr>
                <w:rFonts w:ascii="宋体" w:hAnsi="宋体" w:eastAsia="宋体"/>
                <w:sz w:val="16"/>
              </w:rPr>
              <w:t>其中:上级安排资金：（万元）</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2E721FFA">
            <w:pPr>
              <w:jc w:val="center"/>
            </w:pPr>
            <w:r>
              <w:rPr>
                <w:rFonts w:ascii="宋体" w:hAnsi="宋体" w:eastAsia="宋体"/>
                <w:sz w:val="16"/>
              </w:rPr>
              <w:t>0.00</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67DC284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6FB2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B14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226E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1E520">
            <w:pPr>
              <w:jc w:val="center"/>
            </w:pPr>
            <w:r>
              <w:rPr>
                <w:rFonts w:ascii="宋体" w:hAnsi="宋体" w:eastAsia="宋体"/>
                <w:sz w:val="16"/>
              </w:rPr>
              <w:t>-</w:t>
            </w:r>
          </w:p>
        </w:tc>
      </w:tr>
      <w:tr w14:paraId="6B4221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AD7133"/>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06EA3FC9">
            <w:pPr>
              <w:jc w:val="center"/>
            </w:pPr>
            <w:r>
              <w:rPr>
                <w:rFonts w:ascii="宋体" w:hAnsi="宋体" w:eastAsia="宋体"/>
                <w:sz w:val="16"/>
              </w:rPr>
              <w:t>本级安排资金：（万元）</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21443F7B">
            <w:pPr>
              <w:jc w:val="center"/>
            </w:pPr>
            <w:r>
              <w:rPr>
                <w:rFonts w:ascii="宋体" w:hAnsi="宋体" w:eastAsia="宋体"/>
                <w:sz w:val="16"/>
              </w:rPr>
              <w:t>162.64</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6D5C6306">
            <w:pPr>
              <w:jc w:val="center"/>
            </w:pPr>
            <w:r>
              <w:rPr>
                <w:rFonts w:ascii="宋体" w:hAnsi="宋体" w:eastAsia="宋体"/>
                <w:sz w:val="16"/>
              </w:rPr>
              <w:t>143.99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5CA1B">
            <w:pPr>
              <w:jc w:val="center"/>
            </w:pPr>
            <w:r>
              <w:rPr>
                <w:rFonts w:ascii="宋体" w:hAnsi="宋体" w:eastAsia="宋体"/>
                <w:sz w:val="16"/>
              </w:rPr>
              <w:t>143.99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93E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74A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2AD2A">
            <w:pPr>
              <w:jc w:val="center"/>
            </w:pPr>
            <w:r>
              <w:rPr>
                <w:rFonts w:ascii="宋体" w:hAnsi="宋体" w:eastAsia="宋体"/>
                <w:sz w:val="16"/>
              </w:rPr>
              <w:t>-</w:t>
            </w:r>
          </w:p>
        </w:tc>
      </w:tr>
      <w:tr w14:paraId="28E18F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DB2A82"/>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2C936398">
            <w:pPr>
              <w:jc w:val="center"/>
            </w:pPr>
            <w:r>
              <w:rPr>
                <w:rFonts w:ascii="宋体" w:hAnsi="宋体" w:eastAsia="宋体"/>
                <w:sz w:val="16"/>
              </w:rPr>
              <w:t>其他资金</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45911456">
            <w:pPr>
              <w:jc w:val="center"/>
            </w:pPr>
            <w:r>
              <w:rPr>
                <w:rFonts w:ascii="宋体" w:hAnsi="宋体" w:eastAsia="宋体"/>
                <w:sz w:val="16"/>
              </w:rPr>
              <w:t>5.44</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3FCB2F4E">
            <w:pPr>
              <w:jc w:val="center"/>
            </w:pPr>
            <w:r>
              <w:rPr>
                <w:rFonts w:ascii="宋体" w:hAnsi="宋体" w:eastAsia="宋体"/>
                <w:sz w:val="16"/>
              </w:rPr>
              <w:t>4.83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C597D">
            <w:pPr>
              <w:jc w:val="center"/>
            </w:pPr>
            <w:r>
              <w:rPr>
                <w:rFonts w:ascii="宋体" w:hAnsi="宋体" w:eastAsia="宋体"/>
                <w:sz w:val="16"/>
              </w:rPr>
              <w:t>3.59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E5A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CE5E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9E95A">
            <w:pPr>
              <w:jc w:val="center"/>
            </w:pPr>
            <w:r>
              <w:rPr>
                <w:rFonts w:ascii="宋体" w:hAnsi="宋体" w:eastAsia="宋体"/>
                <w:sz w:val="16"/>
              </w:rPr>
              <w:t>-</w:t>
            </w:r>
          </w:p>
        </w:tc>
      </w:tr>
      <w:tr w14:paraId="3B1569F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5B39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7DA95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085ABF">
            <w:pPr>
              <w:jc w:val="center"/>
            </w:pPr>
            <w:r>
              <w:rPr>
                <w:rFonts w:ascii="宋体" w:hAnsi="宋体" w:eastAsia="宋体"/>
                <w:sz w:val="16"/>
              </w:rPr>
              <w:t>实际完成情况</w:t>
            </w:r>
          </w:p>
        </w:tc>
      </w:tr>
      <w:tr w14:paraId="570685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7203F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C7E873">
            <w:pPr>
              <w:jc w:val="both"/>
            </w:pPr>
            <w:r>
              <w:rPr>
                <w:rFonts w:hint="eastAsia" w:ascii="宋体" w:hAnsi="宋体"/>
                <w:sz w:val="16"/>
                <w:lang w:eastAsia="zh-CN"/>
              </w:rPr>
              <w:t>1.</w:t>
            </w:r>
            <w:r>
              <w:rPr>
                <w:rFonts w:ascii="宋体" w:hAnsi="宋体" w:eastAsia="宋体"/>
                <w:sz w:val="16"/>
              </w:rPr>
              <w:t>保障江格斯乡卫生院11人的正常办公、生活</w:t>
            </w:r>
            <w:r>
              <w:rPr>
                <w:rFonts w:hint="eastAsia" w:ascii="宋体" w:hAnsi="宋体"/>
                <w:sz w:val="16"/>
                <w:lang w:eastAsia="zh-CN"/>
              </w:rPr>
              <w:t>有</w:t>
            </w:r>
            <w:r>
              <w:rPr>
                <w:rFonts w:ascii="宋体" w:hAnsi="宋体" w:eastAsia="宋体"/>
                <w:sz w:val="16"/>
              </w:rPr>
              <w:t>秩序</w:t>
            </w:r>
            <w:r>
              <w:rPr>
                <w:rFonts w:ascii="宋体" w:hAnsi="宋体" w:eastAsia="宋体"/>
                <w:sz w:val="16"/>
              </w:rPr>
              <w:br w:type="textWrapping"/>
            </w:r>
            <w:r>
              <w:rPr>
                <w:rFonts w:ascii="宋体" w:hAnsi="宋体" w:eastAsia="宋体"/>
                <w:sz w:val="16"/>
              </w:rPr>
              <w:t>2、围绕目标任务积极推进乡镇卫生院改革</w:t>
            </w:r>
            <w:r>
              <w:rPr>
                <w:rFonts w:ascii="宋体" w:hAnsi="宋体" w:eastAsia="宋体"/>
                <w:sz w:val="16"/>
              </w:rPr>
              <w:br w:type="textWrapping"/>
            </w:r>
            <w:r>
              <w:rPr>
                <w:rFonts w:ascii="宋体" w:hAnsi="宋体" w:eastAsia="宋体"/>
                <w:sz w:val="16"/>
              </w:rPr>
              <w:t>3、保障卫生院日常运行、保障医疗服务和公共卫生服务工作正常运行</w:t>
            </w:r>
            <w:r>
              <w:rPr>
                <w:rFonts w:ascii="宋体" w:hAnsi="宋体" w:eastAsia="宋体"/>
                <w:sz w:val="16"/>
              </w:rPr>
              <w:br w:type="textWrapping"/>
            </w:r>
            <w:r>
              <w:rPr>
                <w:rFonts w:ascii="宋体" w:hAnsi="宋体" w:eastAsia="宋体"/>
                <w:sz w:val="16"/>
              </w:rPr>
              <w:t>4、加强医疗管理、提升医疗水平，做群众满意的卫生院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575575">
            <w:pPr>
              <w:jc w:val="both"/>
            </w:pPr>
            <w:r>
              <w:rPr>
                <w:rFonts w:ascii="宋体" w:hAnsi="宋体" w:eastAsia="宋体"/>
                <w:sz w:val="16"/>
              </w:rPr>
              <w:t>2024年度裕民县察汗托海牧场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等各项卫生服务工作。</w:t>
            </w:r>
          </w:p>
        </w:tc>
      </w:tr>
      <w:tr w14:paraId="233B7CC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6DBC7">
            <w:pPr>
              <w:jc w:val="center"/>
            </w:pPr>
            <w:r>
              <w:rPr>
                <w:rFonts w:ascii="宋体" w:hAnsi="宋体" w:eastAsia="宋体"/>
                <w:sz w:val="16"/>
              </w:rPr>
              <w:t>一级指标</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1AE59D71">
            <w:pPr>
              <w:jc w:val="center"/>
            </w:pPr>
            <w:r>
              <w:rPr>
                <w:rFonts w:ascii="宋体" w:hAnsi="宋体" w:eastAsia="宋体"/>
                <w:sz w:val="16"/>
              </w:rPr>
              <w:t>二级指标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01E6AED5">
            <w:pPr>
              <w:jc w:val="center"/>
            </w:pPr>
            <w:r>
              <w:rPr>
                <w:rFonts w:ascii="宋体" w:hAnsi="宋体" w:eastAsia="宋体"/>
                <w:sz w:val="16"/>
              </w:rPr>
              <w:t>三级指标</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40E904EE">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AA4C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476A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51CD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60306">
            <w:pPr>
              <w:jc w:val="center"/>
            </w:pPr>
            <w:r>
              <w:rPr>
                <w:rFonts w:ascii="宋体" w:hAnsi="宋体" w:eastAsia="宋体"/>
                <w:sz w:val="16"/>
              </w:rPr>
              <w:t>得分</w:t>
            </w:r>
          </w:p>
        </w:tc>
      </w:tr>
      <w:tr w14:paraId="6280BB8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CBA5A">
            <w:pPr>
              <w:jc w:val="center"/>
            </w:pPr>
            <w:r>
              <w:rPr>
                <w:rFonts w:ascii="宋体" w:hAnsi="宋体" w:eastAsia="宋体"/>
                <w:sz w:val="16"/>
              </w:rPr>
              <w:t>履职效能</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1C7F8438">
            <w:pPr>
              <w:jc w:val="center"/>
            </w:pPr>
            <w:r>
              <w:rPr>
                <w:rFonts w:ascii="宋体" w:hAnsi="宋体" w:eastAsia="宋体"/>
                <w:sz w:val="16"/>
              </w:rPr>
              <w:t>数量指标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029A1676">
            <w:pPr>
              <w:jc w:val="center"/>
            </w:pPr>
            <w:r>
              <w:rPr>
                <w:rFonts w:ascii="宋体" w:hAnsi="宋体" w:eastAsia="宋体"/>
                <w:sz w:val="16"/>
              </w:rPr>
              <w:t>单位职工人数</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0EBF8ACE">
            <w:pPr>
              <w:jc w:val="center"/>
            </w:pPr>
            <w:r>
              <w:rPr>
                <w:rFonts w:ascii="宋体" w:hAnsi="宋体" w:eastAsia="宋体"/>
                <w:sz w:val="16"/>
              </w:rPr>
              <w:t>=11人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BB58E">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BD7C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1E626">
            <w:pPr>
              <w:jc w:val="center"/>
            </w:pPr>
            <w:r>
              <w:rPr>
                <w:rFonts w:ascii="宋体" w:hAnsi="宋体" w:eastAsia="宋体"/>
                <w:sz w:val="16"/>
              </w:rPr>
              <w:t>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2FB03">
            <w:pPr>
              <w:jc w:val="center"/>
            </w:pPr>
            <w:r>
              <w:rPr>
                <w:rFonts w:ascii="宋体" w:hAnsi="宋体" w:eastAsia="宋体"/>
                <w:sz w:val="16"/>
              </w:rPr>
              <w:t>18</w:t>
            </w:r>
          </w:p>
        </w:tc>
      </w:tr>
      <w:tr w14:paraId="62EE48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6597C5"/>
        </w:tc>
        <w:tc>
          <w:tcPr>
            <w:tcW w:w="9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1895C">
            <w:pPr>
              <w:jc w:val="center"/>
            </w:pPr>
            <w:r>
              <w:rPr>
                <w:rFonts w:ascii="宋体" w:hAnsi="宋体" w:eastAsia="宋体"/>
                <w:sz w:val="16"/>
              </w:rPr>
              <w:t>质量指标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16EC7AAA">
            <w:pPr>
              <w:jc w:val="center"/>
            </w:pPr>
            <w:r>
              <w:rPr>
                <w:rFonts w:ascii="宋体" w:hAnsi="宋体" w:eastAsia="宋体"/>
                <w:sz w:val="16"/>
              </w:rPr>
              <w:t>高血压、2型糖尿病患者</w:t>
            </w:r>
            <w:r>
              <w:rPr>
                <w:rFonts w:hint="eastAsia" w:ascii="宋体" w:hAnsi="宋体"/>
                <w:sz w:val="16"/>
                <w:lang w:eastAsia="zh-CN"/>
              </w:rPr>
              <w:t>基层</w:t>
            </w:r>
            <w:r>
              <w:rPr>
                <w:rFonts w:ascii="宋体" w:hAnsi="宋体" w:eastAsia="宋体"/>
                <w:sz w:val="16"/>
              </w:rPr>
              <w:t>规范管理服务</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69B6979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540AF">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E31A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64FB8">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9CB9B">
            <w:pPr>
              <w:jc w:val="center"/>
            </w:pPr>
            <w:r>
              <w:rPr>
                <w:rFonts w:ascii="宋体" w:hAnsi="宋体" w:eastAsia="宋体"/>
                <w:sz w:val="16"/>
              </w:rPr>
              <w:t>0</w:t>
            </w:r>
          </w:p>
        </w:tc>
      </w:tr>
      <w:tr w14:paraId="1D363F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CE84B4"/>
        </w:tc>
        <w:tc>
          <w:tcPr>
            <w:tcW w:w="998" w:type="dxa"/>
            <w:vMerge w:val="continue"/>
            <w:tcBorders>
              <w:top w:val="single" w:color="auto" w:sz="10" w:space="0"/>
              <w:left w:val="single" w:color="auto" w:sz="10" w:space="0"/>
              <w:bottom w:val="single" w:color="auto" w:sz="10" w:space="0"/>
              <w:right w:val="single" w:color="auto" w:sz="10" w:space="0"/>
              <w:insideV w:val="single" w:sz="10" w:space="0"/>
            </w:tcBorders>
          </w:tcPr>
          <w:p w14:paraId="0D540D8A"/>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11395857">
            <w:pPr>
              <w:jc w:val="center"/>
            </w:pPr>
            <w:r>
              <w:rPr>
                <w:rFonts w:ascii="宋体" w:hAnsi="宋体" w:eastAsia="宋体"/>
                <w:sz w:val="16"/>
              </w:rPr>
              <w:t>按时完成全年医疗工作任务及公共卫生工作</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6C2985F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6D5D3">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AE23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33C71">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D2A2F">
            <w:pPr>
              <w:jc w:val="center"/>
            </w:pPr>
            <w:r>
              <w:rPr>
                <w:rFonts w:ascii="宋体" w:hAnsi="宋体" w:eastAsia="宋体"/>
                <w:sz w:val="16"/>
              </w:rPr>
              <w:t>0</w:t>
            </w:r>
          </w:p>
        </w:tc>
      </w:tr>
      <w:tr w14:paraId="497CFD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ED90DF"/>
        </w:tc>
        <w:tc>
          <w:tcPr>
            <w:tcW w:w="998" w:type="dxa"/>
            <w:vMerge w:val="continue"/>
            <w:tcBorders>
              <w:top w:val="single" w:color="auto" w:sz="10" w:space="0"/>
              <w:left w:val="single" w:color="auto" w:sz="10" w:space="0"/>
              <w:bottom w:val="single" w:color="auto" w:sz="10" w:space="0"/>
              <w:right w:val="single" w:color="auto" w:sz="10" w:space="0"/>
              <w:insideV w:val="single" w:sz="10" w:space="0"/>
            </w:tcBorders>
          </w:tcPr>
          <w:p w14:paraId="63EEA261"/>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02A104B3">
            <w:pPr>
              <w:jc w:val="center"/>
            </w:pPr>
            <w:r>
              <w:rPr>
                <w:rFonts w:ascii="宋体" w:hAnsi="宋体" w:eastAsia="宋体"/>
                <w:sz w:val="16"/>
              </w:rPr>
              <w:t>慢病患者基层规范管理服务率</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6DCD483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BBFE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90AC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37371">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EE40A">
            <w:pPr>
              <w:jc w:val="center"/>
            </w:pPr>
            <w:r>
              <w:rPr>
                <w:rFonts w:ascii="宋体" w:hAnsi="宋体" w:eastAsia="宋体"/>
                <w:sz w:val="16"/>
              </w:rPr>
              <w:t>0</w:t>
            </w:r>
          </w:p>
        </w:tc>
      </w:tr>
      <w:tr w14:paraId="55473B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FD07A2"/>
        </w:tc>
        <w:tc>
          <w:tcPr>
            <w:tcW w:w="998" w:type="dxa"/>
            <w:vMerge w:val="continue"/>
            <w:tcBorders>
              <w:top w:val="single" w:color="auto" w:sz="10" w:space="0"/>
              <w:left w:val="single" w:color="auto" w:sz="10" w:space="0"/>
              <w:bottom w:val="single" w:color="auto" w:sz="10" w:space="0"/>
              <w:right w:val="single" w:color="auto" w:sz="10" w:space="0"/>
              <w:insideV w:val="single" w:sz="10" w:space="0"/>
            </w:tcBorders>
          </w:tcPr>
          <w:p w14:paraId="7D16110F"/>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6BA005AA">
            <w:pPr>
              <w:jc w:val="center"/>
            </w:pPr>
            <w:r>
              <w:rPr>
                <w:rFonts w:ascii="宋体" w:hAnsi="宋体" w:eastAsia="宋体"/>
                <w:sz w:val="16"/>
              </w:rPr>
              <w:t>提高医疗服务水平、参加医疗改革促进医患关系和谐发展</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048832A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D5919">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A6BB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B1956">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BBCE4">
            <w:pPr>
              <w:jc w:val="center"/>
            </w:pPr>
            <w:r>
              <w:rPr>
                <w:rFonts w:ascii="宋体" w:hAnsi="宋体" w:eastAsia="宋体"/>
                <w:sz w:val="16"/>
              </w:rPr>
              <w:t>0</w:t>
            </w:r>
          </w:p>
        </w:tc>
      </w:tr>
    </w:tbl>
    <w:p w14:paraId="1B0C34E9">
      <w:r>
        <w:br w:type="page"/>
      </w:r>
    </w:p>
    <w:p w14:paraId="7F4B19F6">
      <w:pPr>
        <w:spacing w:line="640" w:lineRule="exact"/>
        <w:ind w:firstLine="640"/>
        <w:jc w:val="both"/>
        <w:outlineLvl w:val="2"/>
      </w:pPr>
      <w:r>
        <w:rPr>
          <w:rFonts w:ascii="黑体" w:hAnsi="黑体" w:eastAsia="黑体"/>
          <w:sz w:val="32"/>
        </w:rPr>
        <w:t>十二、其他需说明的事项</w:t>
      </w:r>
    </w:p>
    <w:p w14:paraId="0345AA0C">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A82D6BE">
      <w:r>
        <w:br w:type="page"/>
      </w:r>
    </w:p>
    <w:p w14:paraId="582D5077">
      <w:pPr>
        <w:spacing w:line="240" w:lineRule="auto"/>
        <w:jc w:val="center"/>
        <w:outlineLvl w:val="1"/>
      </w:pPr>
      <w:r>
        <w:rPr>
          <w:rFonts w:ascii="黑体" w:hAnsi="黑体" w:eastAsia="黑体"/>
          <w:sz w:val="32"/>
        </w:rPr>
        <w:t>第三部分 专业名词解释</w:t>
      </w:r>
    </w:p>
    <w:p w14:paraId="59F3BB6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0A4F2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2FE0F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E5CA4B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DF937E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D271EE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047C61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7EE6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D71E8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608EF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56FD6E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0C069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899BD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A48A7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842443">
      <w:r>
        <w:br w:type="page"/>
      </w:r>
    </w:p>
    <w:p w14:paraId="12DBE61F">
      <w:pPr>
        <w:spacing w:line="240" w:lineRule="auto"/>
        <w:jc w:val="center"/>
        <w:outlineLvl w:val="1"/>
      </w:pPr>
      <w:r>
        <w:rPr>
          <w:rFonts w:ascii="黑体" w:hAnsi="黑体" w:eastAsia="黑体"/>
          <w:sz w:val="32"/>
        </w:rPr>
        <w:t>第四部分 部门决算报表（见附表）</w:t>
      </w:r>
    </w:p>
    <w:p w14:paraId="1E9A99BC">
      <w:pPr>
        <w:spacing w:line="240" w:lineRule="auto"/>
        <w:ind w:firstLine="640"/>
        <w:jc w:val="both"/>
      </w:pPr>
      <w:r>
        <w:rPr>
          <w:rFonts w:ascii="仿宋_GB2312" w:hAnsi="仿宋_GB2312" w:eastAsia="仿宋_GB2312"/>
          <w:b w:val="0"/>
          <w:sz w:val="32"/>
        </w:rPr>
        <w:t>一、《收入支出决算总表》</w:t>
      </w:r>
    </w:p>
    <w:p w14:paraId="0B4465D3">
      <w:pPr>
        <w:spacing w:line="240" w:lineRule="auto"/>
        <w:ind w:firstLine="640"/>
        <w:jc w:val="both"/>
      </w:pPr>
      <w:r>
        <w:rPr>
          <w:rFonts w:ascii="仿宋_GB2312" w:hAnsi="仿宋_GB2312" w:eastAsia="仿宋_GB2312"/>
          <w:b w:val="0"/>
          <w:sz w:val="32"/>
        </w:rPr>
        <w:t>二、《收入决算表》</w:t>
      </w:r>
    </w:p>
    <w:p w14:paraId="205C3A11">
      <w:pPr>
        <w:spacing w:line="240" w:lineRule="auto"/>
        <w:ind w:firstLine="640"/>
        <w:jc w:val="both"/>
      </w:pPr>
      <w:r>
        <w:rPr>
          <w:rFonts w:ascii="仿宋_GB2312" w:hAnsi="仿宋_GB2312" w:eastAsia="仿宋_GB2312"/>
          <w:b w:val="0"/>
          <w:sz w:val="32"/>
        </w:rPr>
        <w:t>三、《支出决算表》</w:t>
      </w:r>
    </w:p>
    <w:p w14:paraId="7492E692">
      <w:pPr>
        <w:spacing w:line="240" w:lineRule="auto"/>
        <w:ind w:firstLine="640"/>
        <w:jc w:val="both"/>
      </w:pPr>
      <w:r>
        <w:rPr>
          <w:rFonts w:ascii="仿宋_GB2312" w:hAnsi="仿宋_GB2312" w:eastAsia="仿宋_GB2312"/>
          <w:b w:val="0"/>
          <w:sz w:val="32"/>
        </w:rPr>
        <w:t>四、《财政拨款收入支出决算总表》</w:t>
      </w:r>
    </w:p>
    <w:p w14:paraId="5C609C01">
      <w:pPr>
        <w:spacing w:line="240" w:lineRule="auto"/>
        <w:ind w:firstLine="640"/>
        <w:jc w:val="both"/>
      </w:pPr>
      <w:r>
        <w:rPr>
          <w:rFonts w:ascii="仿宋_GB2312" w:hAnsi="仿宋_GB2312" w:eastAsia="仿宋_GB2312"/>
          <w:b w:val="0"/>
          <w:sz w:val="32"/>
        </w:rPr>
        <w:t>五、《一般公共预算财政拨款支出决算表》</w:t>
      </w:r>
    </w:p>
    <w:p w14:paraId="14712F76">
      <w:pPr>
        <w:spacing w:line="240" w:lineRule="auto"/>
        <w:ind w:firstLine="640"/>
        <w:jc w:val="both"/>
      </w:pPr>
      <w:r>
        <w:rPr>
          <w:rFonts w:ascii="仿宋_GB2312" w:hAnsi="仿宋_GB2312" w:eastAsia="仿宋_GB2312"/>
          <w:b w:val="0"/>
          <w:sz w:val="32"/>
        </w:rPr>
        <w:t>六、《一般公共预算财政拨款基本支出决算表》</w:t>
      </w:r>
    </w:p>
    <w:p w14:paraId="45770452">
      <w:pPr>
        <w:spacing w:line="240" w:lineRule="auto"/>
        <w:ind w:firstLine="640"/>
        <w:jc w:val="both"/>
      </w:pPr>
      <w:r>
        <w:rPr>
          <w:rFonts w:ascii="仿宋_GB2312" w:hAnsi="仿宋_GB2312" w:eastAsia="仿宋_GB2312"/>
          <w:b w:val="0"/>
          <w:sz w:val="32"/>
        </w:rPr>
        <w:t>七、《政府性基金预算财政拨款收入支出决算表》</w:t>
      </w:r>
    </w:p>
    <w:p w14:paraId="39A5AD5A">
      <w:pPr>
        <w:spacing w:line="240" w:lineRule="auto"/>
        <w:ind w:firstLine="640"/>
        <w:jc w:val="both"/>
      </w:pPr>
      <w:r>
        <w:rPr>
          <w:rFonts w:ascii="仿宋_GB2312" w:hAnsi="仿宋_GB2312" w:eastAsia="仿宋_GB2312"/>
          <w:b w:val="0"/>
          <w:sz w:val="32"/>
        </w:rPr>
        <w:t>八、《国有资本经营预算财政拨款收入支出决算表》</w:t>
      </w:r>
    </w:p>
    <w:p w14:paraId="5FD07DF1">
      <w:pPr>
        <w:spacing w:line="240" w:lineRule="auto"/>
        <w:ind w:firstLine="640"/>
        <w:jc w:val="both"/>
      </w:pPr>
      <w:r>
        <w:rPr>
          <w:rFonts w:ascii="仿宋_GB2312" w:hAnsi="仿宋_GB2312" w:eastAsia="仿宋_GB2312"/>
          <w:b w:val="0"/>
          <w:sz w:val="32"/>
        </w:rPr>
        <w:t>九、《财政拨款“三公”经费支出决算表》</w:t>
      </w:r>
    </w:p>
    <w:p w14:paraId="6A3A7059">
      <w:pPr>
        <w:spacing w:line="240" w:lineRule="auto"/>
        <w:ind w:firstLine="640"/>
        <w:jc w:val="both"/>
      </w:pPr>
    </w:p>
    <w:p w14:paraId="6ADB484D">
      <w:pPr>
        <w:spacing w:line="240" w:lineRule="auto"/>
        <w:ind w:firstLine="640"/>
        <w:jc w:val="both"/>
      </w:pPr>
    </w:p>
    <w:p w14:paraId="5B5DC457">
      <w:pPr>
        <w:spacing w:line="240" w:lineRule="auto"/>
        <w:ind w:firstLine="640"/>
        <w:jc w:val="both"/>
      </w:pPr>
    </w:p>
    <w:p w14:paraId="2405682B">
      <w:pPr>
        <w:spacing w:line="240" w:lineRule="auto"/>
        <w:ind w:firstLine="640"/>
        <w:jc w:val="both"/>
      </w:pPr>
    </w:p>
    <w:p w14:paraId="646FA95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16F79C-DDC9-4538-9C5E-96717B2C72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53A942C-C070-4109-A72E-7CA083E56686}"/>
  </w:font>
  <w:font w:name="仿宋_GB2312">
    <w:panose1 w:val="02010609030101010101"/>
    <w:charset w:val="86"/>
    <w:family w:val="modern"/>
    <w:pitch w:val="default"/>
    <w:sig w:usb0="00000001" w:usb1="080E0000" w:usb2="00000000" w:usb3="00000000" w:csb0="00040000" w:csb1="00000000"/>
    <w:embedRegular r:id="rId3" w:fontKey="{E190E6D4-69CB-4520-8776-F8C4EF918A3A}"/>
  </w:font>
  <w:font w:name="楷体_GB2312">
    <w:panose1 w:val="02010609030101010101"/>
    <w:charset w:val="86"/>
    <w:family w:val="auto"/>
    <w:pitch w:val="default"/>
    <w:sig w:usb0="00000001" w:usb1="080E0000" w:usb2="00000000" w:usb3="00000000" w:csb0="00040000" w:csb1="00000000"/>
    <w:embedRegular r:id="rId4" w:fontKey="{35214477-6EA2-409E-8376-34C5D01F8785}"/>
  </w:font>
  <w:font w:name="WPSEMBED64">
    <w:panose1 w:val="02000000000000000000"/>
    <w:charset w:val="86"/>
    <w:family w:val="auto"/>
    <w:pitch w:val="default"/>
    <w:sig w:usb0="A00002BF" w:usb1="38CF7CFA" w:usb2="00082016" w:usb3="00000000" w:csb0="00040001" w:csb1="00000000"/>
  </w:font>
  <w:font w:name="WPSEMBED65">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630182"/>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890380"/>
    <w:rsid w:val="52F92565"/>
    <w:rsid w:val="543D17CB"/>
    <w:rsid w:val="55DA564E"/>
    <w:rsid w:val="55F37369"/>
    <w:rsid w:val="56E07045"/>
    <w:rsid w:val="583059FA"/>
    <w:rsid w:val="587E6212"/>
    <w:rsid w:val="5AFC6609"/>
    <w:rsid w:val="5FA17648"/>
    <w:rsid w:val="5FD320BD"/>
    <w:rsid w:val="60DE4D57"/>
    <w:rsid w:val="613409CB"/>
    <w:rsid w:val="61A46A97"/>
    <w:rsid w:val="62DD7D21"/>
    <w:rsid w:val="63C34AB3"/>
    <w:rsid w:val="63FB0944"/>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5A7977"/>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333f1-9741-4f9f-b1be-82aae1e1b631}">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3922</Words>
  <Characters>4527</Characters>
  <Lines>0</Lines>
  <Paragraphs>0</Paragraphs>
  <TotalTime>0</TotalTime>
  <ScaleCrop>false</ScaleCrop>
  <LinksUpToDate>false</LinksUpToDate>
  <CharactersWithSpaces>4535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2025-12-02T10:24:50Z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