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D9C921">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768EF35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A56009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6ECBE5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02D1FE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6AE9E7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裕民县察汗托海牧场中心小学2024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461D4861">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41C0A6E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2456F97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1FEE51B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165F34FD">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767C3B4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53D055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33ECF97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46C638D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050A22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267843C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03B0816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46ACC0A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F65F30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0B2972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3B689B3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54B97B8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5CD8303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58FAFD52">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2F48FEC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044A6F42">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67E4938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CFC1FA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69E360D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266621DA">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1A3AA7B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6926E08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78665D4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4267C84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0CE9951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2C58775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2220B2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33D5E14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6D2D4F7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644700F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F9C43B5">
      <w:r>
        <w:br w:type="page"/>
      </w:r>
    </w:p>
    <w:p w14:paraId="61303EA8">
      <w:pPr>
        <w:spacing w:line="640" w:lineRule="exact"/>
        <w:jc w:val="center"/>
        <w:outlineLvl w:val="1"/>
      </w:pPr>
      <w:r>
        <w:rPr>
          <w:rFonts w:ascii="黑体" w:hAnsi="黑体" w:eastAsia="黑体"/>
          <w:sz w:val="32"/>
        </w:rPr>
        <w:t>第一部分 单位概况</w:t>
      </w:r>
    </w:p>
    <w:p w14:paraId="089A4B2C">
      <w:pPr>
        <w:spacing w:line="640" w:lineRule="exact"/>
        <w:ind w:firstLine="640"/>
        <w:jc w:val="both"/>
        <w:outlineLvl w:val="2"/>
      </w:pPr>
      <w:r>
        <w:rPr>
          <w:rFonts w:ascii="黑体" w:hAnsi="黑体" w:eastAsia="黑体"/>
          <w:sz w:val="32"/>
        </w:rPr>
        <w:t>一、主要职能</w:t>
      </w:r>
    </w:p>
    <w:p w14:paraId="40DD247C">
      <w:pPr>
        <w:spacing w:line="580" w:lineRule="exact"/>
        <w:ind w:firstLine="640"/>
        <w:jc w:val="both"/>
      </w:pPr>
      <w:r>
        <w:rPr>
          <w:rFonts w:ascii="仿宋_GB2312" w:hAnsi="仿宋_GB2312" w:eastAsia="仿宋_GB2312"/>
          <w:sz w:val="32"/>
        </w:rPr>
        <w:t>裕民县察汗托海牧场中心小学，始建于2003年9月,属于全额事业拨款单位。发展教育事业、贯彻落实党的教育方针、加深教育教学政策、全面提高教育教学质量。提高干部、教师队伍的政治素质、文化素质、道德素质和身体素质，形成一支以骨干教师为中心的教师队伍。坚持以德育为首，以教学为中心，深化教育改革，全面实施素质教育。认真抓好体育、卫生、美育、劳动教育和财务后勤工作。</w:t>
      </w:r>
    </w:p>
    <w:p w14:paraId="76254E39">
      <w:pPr>
        <w:spacing w:line="640" w:lineRule="exact"/>
        <w:ind w:firstLine="640"/>
        <w:jc w:val="both"/>
        <w:outlineLvl w:val="2"/>
      </w:pPr>
      <w:r>
        <w:rPr>
          <w:rFonts w:ascii="黑体" w:hAnsi="黑体" w:eastAsia="黑体"/>
          <w:sz w:val="32"/>
        </w:rPr>
        <w:t>二、机构设置及人员情况</w:t>
      </w:r>
    </w:p>
    <w:p w14:paraId="5B2703DB">
      <w:pPr>
        <w:spacing w:line="580" w:lineRule="exact"/>
        <w:ind w:firstLine="640"/>
        <w:jc w:val="both"/>
      </w:pPr>
      <w:r>
        <w:rPr>
          <w:rFonts w:ascii="仿宋_GB2312" w:hAnsi="仿宋_GB2312" w:eastAsia="仿宋_GB2312"/>
          <w:sz w:val="32"/>
        </w:rPr>
        <w:t>裕民县察汗托海牧场中心小学2024年度，实有人数55人，其中：在职人员24人，减少3人；离休人员0人，增加0人；退休人员31人,增加2人。</w:t>
      </w:r>
    </w:p>
    <w:p w14:paraId="26D96A23">
      <w:pPr>
        <w:spacing w:line="580" w:lineRule="exact"/>
        <w:ind w:firstLine="640"/>
        <w:jc w:val="both"/>
      </w:pPr>
      <w:r>
        <w:rPr>
          <w:rFonts w:ascii="仿宋_GB2312" w:hAnsi="仿宋_GB2312" w:eastAsia="仿宋_GB2312"/>
          <w:sz w:val="32"/>
        </w:rPr>
        <w:t>裕民县察汗托海牧场中心小学无下属预算单位，下设7个科室，分别是：教务处、教研室、德育处、后勤处、办公室、工会、团委。</w:t>
      </w:r>
    </w:p>
    <w:p w14:paraId="3CE7A8FC">
      <w:r>
        <w:br w:type="page"/>
      </w:r>
    </w:p>
    <w:p w14:paraId="3E444595">
      <w:pPr>
        <w:spacing w:line="240" w:lineRule="auto"/>
        <w:jc w:val="center"/>
        <w:outlineLvl w:val="1"/>
      </w:pPr>
      <w:r>
        <w:rPr>
          <w:rFonts w:ascii="黑体" w:hAnsi="黑体" w:eastAsia="黑体"/>
          <w:sz w:val="32"/>
        </w:rPr>
        <w:t>第二部分 部门决算情况说明</w:t>
      </w:r>
    </w:p>
    <w:p w14:paraId="28134D19">
      <w:pPr>
        <w:spacing w:line="640" w:lineRule="exact"/>
        <w:ind w:firstLine="640"/>
        <w:jc w:val="both"/>
        <w:outlineLvl w:val="2"/>
      </w:pPr>
      <w:r>
        <w:rPr>
          <w:rFonts w:ascii="黑体" w:hAnsi="黑体" w:eastAsia="黑体"/>
          <w:sz w:val="32"/>
        </w:rPr>
        <w:t>一、收入支出决算总体情况说明</w:t>
      </w:r>
    </w:p>
    <w:p w14:paraId="521D6027">
      <w:pPr>
        <w:spacing w:line="580" w:lineRule="exact"/>
        <w:ind w:firstLine="640"/>
        <w:jc w:val="both"/>
      </w:pPr>
      <w:r>
        <w:rPr>
          <w:rFonts w:ascii="仿宋_GB2312" w:hAnsi="仿宋_GB2312" w:eastAsia="仿宋_GB2312"/>
          <w:b/>
          <w:sz w:val="32"/>
        </w:rPr>
        <w:t>2024年度收入总计502.31万元，</w:t>
      </w:r>
      <w:r>
        <w:rPr>
          <w:rFonts w:ascii="仿宋_GB2312" w:hAnsi="仿宋_GB2312" w:eastAsia="仿宋_GB2312"/>
          <w:b w:val="0"/>
          <w:sz w:val="32"/>
        </w:rPr>
        <w:t>其中：本年收入合计502.31万元，使用非财政拨款结余（含专用结余）0.00万元，年初结转和结余0.00万元。</w:t>
      </w:r>
    </w:p>
    <w:p w14:paraId="2EE9DEC6">
      <w:pPr>
        <w:spacing w:line="580" w:lineRule="exact"/>
        <w:ind w:firstLine="640"/>
        <w:jc w:val="both"/>
      </w:pPr>
      <w:r>
        <w:rPr>
          <w:rFonts w:ascii="仿宋_GB2312" w:hAnsi="仿宋_GB2312" w:eastAsia="仿宋_GB2312"/>
          <w:b/>
          <w:sz w:val="32"/>
        </w:rPr>
        <w:t>2024年度支出总计502.31万元，</w:t>
      </w:r>
      <w:r>
        <w:rPr>
          <w:rFonts w:ascii="仿宋_GB2312" w:hAnsi="仿宋_GB2312" w:eastAsia="仿宋_GB2312"/>
          <w:b w:val="0"/>
          <w:sz w:val="32"/>
        </w:rPr>
        <w:t>其中：本年支出合计502.30万元，结余分配0.00万元，年末结转和结余0.01万元。</w:t>
      </w:r>
    </w:p>
    <w:p w14:paraId="531AB01A">
      <w:pPr>
        <w:spacing w:line="580" w:lineRule="exact"/>
        <w:ind w:firstLine="640"/>
        <w:jc w:val="both"/>
      </w:pPr>
      <w:r>
        <w:rPr>
          <w:rFonts w:ascii="仿宋_GB2312" w:hAnsi="仿宋_GB2312" w:eastAsia="仿宋_GB2312"/>
          <w:b w:val="0"/>
          <w:sz w:val="32"/>
        </w:rPr>
        <w:t>收入支出总体与上年相比，减少23.11万元，下降4.40%，主要原因是：本年在职人员减少，相关人员经费较上年减少。</w:t>
      </w:r>
    </w:p>
    <w:p w14:paraId="4D7421F4">
      <w:pPr>
        <w:spacing w:line="640" w:lineRule="exact"/>
        <w:ind w:firstLine="640"/>
        <w:jc w:val="both"/>
        <w:outlineLvl w:val="2"/>
      </w:pPr>
      <w:r>
        <w:rPr>
          <w:rFonts w:ascii="黑体" w:hAnsi="黑体" w:eastAsia="黑体"/>
          <w:sz w:val="32"/>
        </w:rPr>
        <w:t>二、收入决算情况说明</w:t>
      </w:r>
    </w:p>
    <w:p w14:paraId="03960A5A">
      <w:pPr>
        <w:spacing w:line="580" w:lineRule="exact"/>
        <w:ind w:firstLine="640"/>
        <w:jc w:val="both"/>
      </w:pPr>
      <w:r>
        <w:rPr>
          <w:rFonts w:ascii="仿宋_GB2312" w:hAnsi="仿宋_GB2312" w:eastAsia="仿宋_GB2312"/>
          <w:b/>
          <w:sz w:val="32"/>
        </w:rPr>
        <w:t>本年收入502.31万元，</w:t>
      </w:r>
      <w:r>
        <w:rPr>
          <w:rFonts w:ascii="仿宋_GB2312" w:hAnsi="仿宋_GB2312" w:eastAsia="仿宋_GB2312"/>
          <w:b w:val="0"/>
          <w:sz w:val="32"/>
        </w:rPr>
        <w:t>其中：财政拨款收入502.30万元，占100.00%；上级补助收入0.00万元，占0.00%；事业收入0.00万元，占0.00%；经营收入0.00万元，占0.00%；附属单位上缴收入0.00万元，占0.00%；其他收入0.01万元，占0.002%。</w:t>
      </w:r>
    </w:p>
    <w:p w14:paraId="3630B4EE">
      <w:pPr>
        <w:spacing w:line="640" w:lineRule="exact"/>
        <w:ind w:firstLine="640"/>
        <w:jc w:val="both"/>
        <w:outlineLvl w:val="2"/>
      </w:pPr>
      <w:r>
        <w:rPr>
          <w:rFonts w:ascii="黑体" w:hAnsi="黑体" w:eastAsia="黑体"/>
          <w:sz w:val="32"/>
        </w:rPr>
        <w:t>三、支出决算情况说明</w:t>
      </w:r>
    </w:p>
    <w:p w14:paraId="1E951581">
      <w:pPr>
        <w:spacing w:line="580" w:lineRule="exact"/>
        <w:ind w:firstLine="640"/>
        <w:jc w:val="both"/>
      </w:pPr>
      <w:r>
        <w:rPr>
          <w:rFonts w:ascii="仿宋_GB2312" w:hAnsi="仿宋_GB2312" w:eastAsia="仿宋_GB2312"/>
          <w:b/>
          <w:sz w:val="32"/>
        </w:rPr>
        <w:t>本年支出502.30万元，</w:t>
      </w:r>
      <w:r>
        <w:rPr>
          <w:rFonts w:ascii="仿宋_GB2312" w:hAnsi="仿宋_GB2312" w:eastAsia="仿宋_GB2312"/>
          <w:b w:val="0"/>
          <w:sz w:val="32"/>
        </w:rPr>
        <w:t>其中：基本支出501.82万元，占99.90%；项目支出0.47万元，占0.09%；上缴上级支出0.00万元，占0.00%；经营支出0.00万元，占0.00%；对附属单位补助支出0.00万元，占0.00%。</w:t>
      </w:r>
    </w:p>
    <w:p w14:paraId="0C2D6B4F">
      <w:pPr>
        <w:spacing w:line="640" w:lineRule="exact"/>
        <w:ind w:firstLine="640"/>
        <w:jc w:val="both"/>
        <w:outlineLvl w:val="2"/>
      </w:pPr>
      <w:r>
        <w:rPr>
          <w:rFonts w:ascii="黑体" w:hAnsi="黑体" w:eastAsia="黑体"/>
          <w:sz w:val="32"/>
        </w:rPr>
        <w:t>四、财政拨款收入支出决算总体情况说明</w:t>
      </w:r>
    </w:p>
    <w:p w14:paraId="559F0320">
      <w:pPr>
        <w:spacing w:line="580" w:lineRule="exact"/>
        <w:ind w:firstLine="640"/>
        <w:jc w:val="both"/>
      </w:pPr>
      <w:r>
        <w:rPr>
          <w:rFonts w:ascii="仿宋_GB2312" w:hAnsi="仿宋_GB2312" w:eastAsia="仿宋_GB2312"/>
          <w:b/>
          <w:sz w:val="32"/>
        </w:rPr>
        <w:t>2024年度财政拨款收入总计502.30万元，</w:t>
      </w:r>
      <w:r>
        <w:rPr>
          <w:rFonts w:ascii="仿宋_GB2312" w:hAnsi="仿宋_GB2312" w:eastAsia="仿宋_GB2312"/>
          <w:b w:val="0"/>
          <w:sz w:val="32"/>
        </w:rPr>
        <w:t>其中：年初财政拨款结转和结余0.00万元，本年财政拨款收入502.30万元。</w:t>
      </w:r>
      <w:r>
        <w:rPr>
          <w:rFonts w:ascii="仿宋_GB2312" w:hAnsi="仿宋_GB2312" w:eastAsia="仿宋_GB2312"/>
          <w:b/>
          <w:sz w:val="32"/>
        </w:rPr>
        <w:t>财政拨款支出总计502.30万元，</w:t>
      </w:r>
      <w:r>
        <w:rPr>
          <w:rFonts w:ascii="仿宋_GB2312" w:hAnsi="仿宋_GB2312" w:eastAsia="仿宋_GB2312"/>
          <w:b w:val="0"/>
          <w:sz w:val="32"/>
        </w:rPr>
        <w:t>其中：年末财政拨款结转和结余0.00万元，本年财政拨款支出502.30万元。</w:t>
      </w:r>
    </w:p>
    <w:p w14:paraId="38127CC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减少23.12万元，下降4.40%，主要原因是：本年在职人员减少，相关人员经费较上年减少。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年初预算数556.59万元，决算数502.30万元，预决算差异率-9.75%，主要原因是：本年在职人员减少，年中调减人员经费；福利费未支出完毕，导致预决算差异。</w:t>
      </w:r>
    </w:p>
    <w:p w14:paraId="18FC7EBE">
      <w:pPr>
        <w:spacing w:line="640" w:lineRule="exact"/>
        <w:ind w:firstLine="640"/>
        <w:jc w:val="both"/>
        <w:outlineLvl w:val="2"/>
      </w:pPr>
      <w:r>
        <w:rPr>
          <w:rFonts w:ascii="黑体" w:hAnsi="黑体" w:eastAsia="黑体"/>
          <w:sz w:val="32"/>
        </w:rPr>
        <w:t>五、一般公共预算财政拨款支出决算情况说明</w:t>
      </w:r>
    </w:p>
    <w:p w14:paraId="7E997620">
      <w:pPr>
        <w:spacing w:line="640" w:lineRule="exact"/>
        <w:ind w:firstLine="640"/>
        <w:jc w:val="both"/>
        <w:outlineLvl w:val="3"/>
      </w:pPr>
      <w:r>
        <w:rPr>
          <w:rFonts w:ascii="楷体_GB2312" w:hAnsi="楷体_GB2312" w:eastAsia="楷体_GB2312"/>
          <w:b/>
          <w:sz w:val="32"/>
        </w:rPr>
        <w:t>（一）一般公共预算财政拨款支出决算总体情况</w:t>
      </w:r>
    </w:p>
    <w:p w14:paraId="7DE87430">
      <w:pPr>
        <w:spacing w:line="580" w:lineRule="exact"/>
        <w:ind w:firstLine="640"/>
        <w:jc w:val="both"/>
      </w:pPr>
      <w:r>
        <w:rPr>
          <w:rFonts w:ascii="仿宋_GB2312" w:hAnsi="仿宋_GB2312" w:eastAsia="仿宋_GB2312"/>
          <w:b/>
          <w:sz w:val="32"/>
        </w:rPr>
        <w:t>2024年度一般公共预算财政拨款支出502.30万元，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减少23.12万元，下降4.40%，主要原因是：本年在职人员减少，相关人员经费减少。</w:t>
      </w:r>
      <w:r>
        <w:rPr>
          <w:rFonts w:ascii="仿宋_GB2312" w:hAnsi="仿宋_GB2312" w:eastAsia="仿宋_GB2312"/>
          <w:b/>
          <w:sz w:val="32"/>
        </w:rPr>
        <w:t>与年初预算相比,</w:t>
      </w:r>
      <w:r>
        <w:rPr>
          <w:rFonts w:ascii="仿宋_GB2312" w:hAnsi="仿宋_GB2312" w:eastAsia="仿宋_GB2312"/>
          <w:b w:val="0"/>
          <w:sz w:val="32"/>
        </w:rPr>
        <w:t>年初预算数556.59万元，决算数502.30万元，预决算差异率-9.75%，主要原因是：本年在职人员减少，年中调减人员经费；福利费未支出完毕，导致预决算差异。</w:t>
      </w:r>
    </w:p>
    <w:p w14:paraId="50C0C12D">
      <w:pPr>
        <w:spacing w:line="640" w:lineRule="exact"/>
        <w:ind w:firstLine="640"/>
        <w:jc w:val="both"/>
        <w:outlineLvl w:val="3"/>
      </w:pPr>
      <w:r>
        <w:rPr>
          <w:rFonts w:ascii="楷体_GB2312" w:hAnsi="楷体_GB2312" w:eastAsia="楷体_GB2312"/>
          <w:b/>
          <w:sz w:val="32"/>
        </w:rPr>
        <w:t>（二）一般公共预算财政拨款支出决算结构情况</w:t>
      </w:r>
    </w:p>
    <w:p w14:paraId="06797787">
      <w:pPr>
        <w:spacing w:line="580" w:lineRule="exact"/>
        <w:ind w:firstLine="640"/>
        <w:jc w:val="both"/>
      </w:pPr>
      <w:r>
        <w:rPr>
          <w:rFonts w:ascii="仿宋_GB2312" w:hAnsi="仿宋_GB2312" w:eastAsia="仿宋_GB2312"/>
          <w:b w:val="0"/>
          <w:sz w:val="32"/>
        </w:rPr>
        <w:t>1.教育支出(类)344.74万元,占68.63%。</w:t>
      </w:r>
    </w:p>
    <w:p w14:paraId="5745AFE8">
      <w:pPr>
        <w:spacing w:line="580" w:lineRule="exact"/>
        <w:ind w:firstLine="640"/>
        <w:jc w:val="both"/>
      </w:pPr>
      <w:r>
        <w:rPr>
          <w:rFonts w:ascii="仿宋_GB2312" w:hAnsi="仿宋_GB2312" w:eastAsia="仿宋_GB2312"/>
          <w:b w:val="0"/>
          <w:sz w:val="32"/>
        </w:rPr>
        <w:t>2.社会保障和就业支出(类)100.05万元,占19.92%。</w:t>
      </w:r>
    </w:p>
    <w:p w14:paraId="1BADF16C">
      <w:pPr>
        <w:spacing w:line="580" w:lineRule="exact"/>
        <w:ind w:firstLine="640"/>
        <w:jc w:val="both"/>
      </w:pPr>
      <w:r>
        <w:rPr>
          <w:rFonts w:ascii="仿宋_GB2312" w:hAnsi="仿宋_GB2312" w:eastAsia="仿宋_GB2312"/>
          <w:b w:val="0"/>
          <w:sz w:val="32"/>
        </w:rPr>
        <w:t>3.卫生健康支出(类)19.69万元,占3.92%。</w:t>
      </w:r>
    </w:p>
    <w:p w14:paraId="05FE8F48">
      <w:pPr>
        <w:spacing w:line="580" w:lineRule="exact"/>
        <w:ind w:firstLine="640"/>
        <w:jc w:val="both"/>
      </w:pPr>
      <w:r>
        <w:rPr>
          <w:rFonts w:ascii="仿宋_GB2312" w:hAnsi="仿宋_GB2312" w:eastAsia="仿宋_GB2312"/>
          <w:b w:val="0"/>
          <w:sz w:val="32"/>
        </w:rPr>
        <w:t>4.住房保障支出(类)37.82万元,占7.53%。</w:t>
      </w:r>
    </w:p>
    <w:p w14:paraId="79EDF5F5">
      <w:pPr>
        <w:spacing w:line="640" w:lineRule="exact"/>
        <w:ind w:firstLine="640"/>
        <w:jc w:val="both"/>
        <w:outlineLvl w:val="3"/>
      </w:pPr>
      <w:r>
        <w:rPr>
          <w:rFonts w:ascii="楷体_GB2312" w:hAnsi="楷体_GB2312" w:eastAsia="楷体_GB2312"/>
          <w:b/>
          <w:sz w:val="32"/>
        </w:rPr>
        <w:t>（三）一般公共预算财政拨款支出决算具体情况</w:t>
      </w:r>
    </w:p>
    <w:p w14:paraId="469FA972">
      <w:pPr>
        <w:spacing w:line="580" w:lineRule="exact"/>
        <w:ind w:firstLine="640"/>
        <w:jc w:val="both"/>
      </w:pPr>
      <w:r>
        <w:rPr>
          <w:rFonts w:ascii="仿宋_GB2312" w:hAnsi="仿宋_GB2312" w:eastAsia="仿宋_GB2312"/>
          <w:b w:val="0"/>
          <w:sz w:val="32"/>
        </w:rPr>
        <w:t>1.教育支出(类)普通教育(款)学前教育(项):支出决算数为0.47万元，比上年决算增加0.47万元，增长100.00%,主要原因是：本年度增加</w:t>
      </w:r>
      <w:r>
        <w:rPr>
          <w:rFonts w:hint="eastAsia" w:ascii="仿宋_GB2312" w:hAnsi="仿宋_GB2312" w:eastAsia="仿宋_GB2312"/>
          <w:b w:val="0"/>
          <w:sz w:val="32"/>
        </w:rPr>
        <w:t>2024年用于继续教育等教师培训费（工资的2%)</w:t>
      </w:r>
      <w:r>
        <w:rPr>
          <w:rFonts w:ascii="仿宋_GB2312" w:hAnsi="仿宋_GB2312" w:eastAsia="仿宋_GB2312"/>
          <w:b w:val="0"/>
          <w:sz w:val="32"/>
        </w:rPr>
        <w:t>。</w:t>
      </w:r>
    </w:p>
    <w:p w14:paraId="545FBB86">
      <w:pPr>
        <w:spacing w:line="580" w:lineRule="exact"/>
        <w:ind w:firstLine="640"/>
        <w:jc w:val="both"/>
      </w:pPr>
      <w:r>
        <w:rPr>
          <w:rFonts w:ascii="仿宋_GB2312" w:hAnsi="仿宋_GB2312" w:eastAsia="仿宋_GB2312"/>
          <w:b w:val="0"/>
          <w:sz w:val="32"/>
        </w:rPr>
        <w:t>2.教育支出(类)普通教育(款)小学教育(项):支出决算数为344.27万元，比上年决算减少45.46万元，下降11.66%,主要原因是：本年在职人员减少，相关人员经费减少。</w:t>
      </w:r>
    </w:p>
    <w:p w14:paraId="1257B958">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28.41万元，比上年决算增加5.75万元，增长25.38%,主要原因是：本年增加退休人员基础绩效奖，退休人员增加，退休费支出增加。</w:t>
      </w:r>
    </w:p>
    <w:p w14:paraId="7754A8FC">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47.13万元，比上年决算减少0.17万元，下降0.36%,主要原因是：本年在职人员减少，单位基本养老保险缴费较上年减少。</w:t>
      </w:r>
    </w:p>
    <w:p w14:paraId="31445C6A">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5.社会保障和就业支出(类)行政事业单位养老支出(款)机关事业单位职业年金缴费支出(项):支出决算数为24.52万元，比上年决算增加17.15万元，增长232.70%,主要原因是：本年新增退休人员较</w:t>
      </w:r>
      <w:r>
        <w:rPr>
          <w:rFonts w:hint="eastAsia" w:ascii="仿宋_GB2312" w:hAnsi="仿宋_GB2312" w:eastAsia="仿宋_GB2312"/>
          <w:b w:val="0"/>
          <w:sz w:val="32"/>
          <w:lang w:eastAsia="zh-CN"/>
        </w:rPr>
        <w:t>上年</w:t>
      </w:r>
      <w:r>
        <w:rPr>
          <w:rFonts w:ascii="仿宋_GB2312" w:hAnsi="仿宋_GB2312" w:eastAsia="仿宋_GB2312"/>
          <w:b w:val="0"/>
          <w:sz w:val="32"/>
        </w:rPr>
        <w:t>增加，职业年金缴费支出增加。</w:t>
      </w:r>
    </w:p>
    <w:p w14:paraId="32E1A094">
      <w:pPr>
        <w:spacing w:line="580" w:lineRule="exact"/>
        <w:ind w:firstLine="640"/>
        <w:jc w:val="both"/>
      </w:pPr>
      <w:r>
        <w:rPr>
          <w:rFonts w:ascii="仿宋_GB2312" w:hAnsi="仿宋_GB2312" w:eastAsia="仿宋_GB2312"/>
          <w:b w:val="0"/>
          <w:sz w:val="32"/>
        </w:rPr>
        <w:t>6.卫生健康支出(类)行政事业单位医疗(款)事业单位医疗(项):支出决算数为19.69万元，比上年决算减少0.75万元，下降3.67%,主要原因是：本年在职人员减少，事业单位医疗支出较上年减少。</w:t>
      </w:r>
    </w:p>
    <w:p w14:paraId="351CA8BB">
      <w:pPr>
        <w:spacing w:line="580" w:lineRule="exact"/>
        <w:ind w:firstLine="640"/>
        <w:jc w:val="both"/>
      </w:pPr>
      <w:r>
        <w:rPr>
          <w:rFonts w:ascii="仿宋_GB2312" w:hAnsi="仿宋_GB2312" w:eastAsia="仿宋_GB2312"/>
          <w:b w:val="0"/>
          <w:sz w:val="32"/>
        </w:rPr>
        <w:t>7.住房保障支出(类)住房改革支出(款)住房公积金(项):支出决算数为37.82万元，比上年决算减少0.11万元，下降0.29%,主要原因是：本年在职人员减少，住房公积金缴费较上年减少。</w:t>
      </w:r>
    </w:p>
    <w:p w14:paraId="7C10323E">
      <w:pPr>
        <w:spacing w:line="640" w:lineRule="exact"/>
        <w:ind w:firstLine="640"/>
        <w:jc w:val="both"/>
        <w:outlineLvl w:val="2"/>
      </w:pPr>
      <w:r>
        <w:rPr>
          <w:rFonts w:ascii="黑体" w:hAnsi="黑体" w:eastAsia="黑体"/>
          <w:sz w:val="32"/>
        </w:rPr>
        <w:t>六、一般公共预算财政拨款基本支出决算情况说明</w:t>
      </w:r>
    </w:p>
    <w:p w14:paraId="3C89C79E">
      <w:pPr>
        <w:spacing w:line="580" w:lineRule="exact"/>
        <w:ind w:firstLine="640"/>
        <w:jc w:val="both"/>
      </w:pPr>
      <w:r>
        <w:rPr>
          <w:rFonts w:ascii="仿宋_GB2312" w:hAnsi="仿宋_GB2312" w:eastAsia="仿宋_GB2312"/>
          <w:b w:val="0"/>
          <w:sz w:val="32"/>
        </w:rPr>
        <w:t>2024年度一般公共预算财政拨款基本支出501.82万元，其中：</w:t>
      </w:r>
      <w:r>
        <w:rPr>
          <w:rFonts w:ascii="仿宋_GB2312" w:hAnsi="仿宋_GB2312" w:eastAsia="仿宋_GB2312"/>
          <w:b/>
          <w:sz w:val="32"/>
        </w:rPr>
        <w:t>人员经费496.24万元，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医疗费补助、奖励金。</w:t>
      </w:r>
    </w:p>
    <w:p w14:paraId="301F2CDA">
      <w:pPr>
        <w:spacing w:line="580" w:lineRule="exact"/>
        <w:ind w:firstLine="640"/>
        <w:jc w:val="both"/>
      </w:pPr>
      <w:r>
        <w:rPr>
          <w:rFonts w:ascii="仿宋_GB2312" w:hAnsi="仿宋_GB2312" w:eastAsia="仿宋_GB2312"/>
          <w:b/>
          <w:sz w:val="32"/>
        </w:rPr>
        <w:t>公用经费5.58万元，</w:t>
      </w:r>
      <w:r>
        <w:rPr>
          <w:rFonts w:ascii="仿宋_GB2312" w:hAnsi="仿宋_GB2312" w:eastAsia="仿宋_GB2312"/>
          <w:b w:val="0"/>
          <w:sz w:val="32"/>
        </w:rPr>
        <w:t>包括：工会经费、福利费。</w:t>
      </w:r>
    </w:p>
    <w:p w14:paraId="2467838E">
      <w:pPr>
        <w:spacing w:line="640" w:lineRule="exact"/>
        <w:ind w:firstLine="640"/>
        <w:jc w:val="both"/>
        <w:outlineLvl w:val="2"/>
      </w:pPr>
      <w:r>
        <w:rPr>
          <w:rFonts w:ascii="黑体" w:hAnsi="黑体" w:eastAsia="黑体"/>
          <w:sz w:val="32"/>
        </w:rPr>
        <w:t>七、政府性基金预算财政拨款收入支出决算情况说明</w:t>
      </w:r>
    </w:p>
    <w:p w14:paraId="1AE11EF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DCE6B03">
      <w:pPr>
        <w:spacing w:line="640" w:lineRule="exact"/>
        <w:ind w:firstLine="640"/>
        <w:jc w:val="both"/>
        <w:outlineLvl w:val="2"/>
      </w:pPr>
      <w:r>
        <w:rPr>
          <w:rFonts w:ascii="黑体" w:hAnsi="黑体" w:eastAsia="黑体"/>
          <w:sz w:val="32"/>
        </w:rPr>
        <w:t>八、国有资本经营预算财政拨款收入支出决算情况说明</w:t>
      </w:r>
    </w:p>
    <w:p w14:paraId="551A8CD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F824695">
      <w:pPr>
        <w:spacing w:line="640" w:lineRule="exact"/>
        <w:ind w:firstLine="640"/>
        <w:jc w:val="both"/>
        <w:outlineLvl w:val="2"/>
      </w:pPr>
      <w:r>
        <w:rPr>
          <w:rFonts w:ascii="黑体" w:hAnsi="黑体" w:eastAsia="黑体"/>
          <w:sz w:val="32"/>
        </w:rPr>
        <w:t>九、财政拨款“三公”经费支出决算情况说明</w:t>
      </w:r>
    </w:p>
    <w:p w14:paraId="7967359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F1F028A">
      <w:pPr>
        <w:spacing w:line="580" w:lineRule="exact"/>
        <w:ind w:firstLine="640"/>
        <w:jc w:val="both"/>
      </w:pPr>
      <w:r>
        <w:rPr>
          <w:rFonts w:ascii="仿宋_GB2312" w:hAnsi="仿宋_GB2312" w:eastAsia="仿宋_GB2312"/>
          <w:b/>
          <w:sz w:val="32"/>
        </w:rPr>
        <w:t>具体情况如下：</w:t>
      </w:r>
    </w:p>
    <w:p w14:paraId="326695C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7F7F391">
      <w:pPr>
        <w:spacing w:line="580" w:lineRule="exact"/>
        <w:ind w:firstLine="640"/>
        <w:jc w:val="both"/>
        <w:rPr>
          <w:spacing w:val="-6"/>
          <w:sz w:val="32"/>
        </w:rPr>
      </w:pPr>
      <w:r>
        <w:rPr>
          <w:rFonts w:ascii="仿宋_GB2312" w:hAnsi="仿宋_GB2312" w:eastAsia="仿宋_GB2312"/>
          <w:b w:val="0"/>
          <w:spacing w:val="-6"/>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03F490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E991F4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0C18DE3">
      <w:pPr>
        <w:spacing w:line="640" w:lineRule="exact"/>
        <w:ind w:firstLine="640"/>
        <w:jc w:val="both"/>
        <w:outlineLvl w:val="2"/>
      </w:pPr>
      <w:r>
        <w:rPr>
          <w:rFonts w:ascii="黑体" w:hAnsi="黑体" w:eastAsia="黑体"/>
          <w:sz w:val="32"/>
        </w:rPr>
        <w:t>十、其他重要事项的情况说明</w:t>
      </w:r>
    </w:p>
    <w:p w14:paraId="7574D4CB">
      <w:pPr>
        <w:spacing w:line="640" w:lineRule="exact"/>
        <w:ind w:firstLine="640"/>
        <w:jc w:val="both"/>
        <w:outlineLvl w:val="3"/>
      </w:pPr>
      <w:r>
        <w:rPr>
          <w:rFonts w:ascii="楷体_GB2312" w:hAnsi="楷体_GB2312" w:eastAsia="楷体_GB2312"/>
          <w:b/>
          <w:sz w:val="32"/>
        </w:rPr>
        <w:t>（一）机关运行经费及公用经费支出情况</w:t>
      </w:r>
    </w:p>
    <w:p w14:paraId="57764A93">
      <w:pPr>
        <w:spacing w:line="580" w:lineRule="exact"/>
        <w:ind w:firstLine="640"/>
        <w:jc w:val="both"/>
      </w:pPr>
      <w:r>
        <w:rPr>
          <w:rFonts w:ascii="仿宋_GB2312" w:hAnsi="仿宋_GB2312" w:eastAsia="仿宋_GB2312"/>
          <w:b w:val="0"/>
          <w:sz w:val="32"/>
        </w:rPr>
        <w:t>2024年度裕民县察汗托海牧场中心小学（事业单位）公用经费支出5.58万元，比上年减少0.08万元，下降1.41%，主要原因是：在职人员减少，工会经费和福利费</w:t>
      </w:r>
      <w:r>
        <w:rPr>
          <w:rFonts w:hint="eastAsia" w:ascii="仿宋_GB2312" w:hAnsi="仿宋_GB2312" w:eastAsia="仿宋_GB2312"/>
          <w:b w:val="0"/>
          <w:sz w:val="32"/>
          <w:lang w:val="en-US" w:eastAsia="zh-CN"/>
        </w:rPr>
        <w:t>减少</w:t>
      </w:r>
      <w:r>
        <w:rPr>
          <w:rFonts w:ascii="仿宋_GB2312" w:hAnsi="仿宋_GB2312" w:eastAsia="仿宋_GB2312"/>
          <w:b w:val="0"/>
          <w:sz w:val="32"/>
        </w:rPr>
        <w:t>，相应公用经费减少。</w:t>
      </w:r>
    </w:p>
    <w:p w14:paraId="174F18C9">
      <w:pPr>
        <w:spacing w:line="640" w:lineRule="exact"/>
        <w:ind w:firstLine="640"/>
        <w:jc w:val="both"/>
        <w:outlineLvl w:val="3"/>
      </w:pPr>
      <w:r>
        <w:rPr>
          <w:rFonts w:ascii="楷体_GB2312" w:hAnsi="楷体_GB2312" w:eastAsia="楷体_GB2312"/>
          <w:b/>
          <w:sz w:val="32"/>
        </w:rPr>
        <w:t>（二）政府采购情况</w:t>
      </w:r>
    </w:p>
    <w:p w14:paraId="2F4A11E8">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08C51523">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6EC2286F">
      <w:pPr>
        <w:spacing w:line="640" w:lineRule="exact"/>
        <w:ind w:firstLine="640"/>
        <w:jc w:val="both"/>
        <w:outlineLvl w:val="3"/>
      </w:pPr>
      <w:r>
        <w:rPr>
          <w:rFonts w:ascii="楷体_GB2312" w:hAnsi="楷体_GB2312" w:eastAsia="楷体_GB2312"/>
          <w:b/>
          <w:sz w:val="32"/>
        </w:rPr>
        <w:t>（三）国有资产占用情况说明</w:t>
      </w:r>
    </w:p>
    <w:p w14:paraId="188357BF">
      <w:pPr>
        <w:spacing w:line="580" w:lineRule="exact"/>
        <w:ind w:firstLine="640"/>
        <w:jc w:val="both"/>
      </w:pPr>
      <w:r>
        <w:rPr>
          <w:rFonts w:hint="eastAsia" w:ascii="仿宋_GB2312" w:hAnsi="仿宋_GB2312" w:eastAsia="仿宋_GB2312"/>
          <w:b w:val="0"/>
          <w:sz w:val="32"/>
          <w:lang w:eastAsia="zh-CN"/>
        </w:rPr>
        <w:t>截至2024</w:t>
      </w:r>
      <w:r>
        <w:rPr>
          <w:rFonts w:ascii="仿宋_GB2312" w:hAnsi="仿宋_GB2312" w:eastAsia="仿宋_GB2312"/>
          <w:b w:val="0"/>
          <w:sz w:val="32"/>
        </w:rPr>
        <w:t>年12月31日，房屋3,647.20平方米，价值394.09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2A071DA">
      <w:pPr>
        <w:spacing w:line="640" w:lineRule="exact"/>
        <w:ind w:firstLine="640"/>
        <w:jc w:val="both"/>
        <w:outlineLvl w:val="2"/>
      </w:pPr>
      <w:r>
        <w:rPr>
          <w:rFonts w:ascii="黑体" w:hAnsi="黑体" w:eastAsia="黑体"/>
          <w:sz w:val="32"/>
        </w:rPr>
        <w:t>十一、预算绩效的情况说明</w:t>
      </w:r>
    </w:p>
    <w:p w14:paraId="7EDCC20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502.31万元，实际执行总额502.31万元；预算绩效评价项目1个，全年预算数0.47万元，全年执行数0.47万元。预算绩效管理取得的成效：一是注重绩效目标编制，预算编制环节注重编细编实预算需求，科学选择绩效指标，合理设置绩效目标值，并严格按照财政统一要求，规范编制事前绩效报告，为财政资金发挥效益夯实基础。二是落实绩效“双监督”</w:t>
      </w:r>
      <w:r>
        <w:rPr>
          <w:rFonts w:hint="eastAsia" w:ascii="仿宋_GB2312" w:hAnsi="仿宋_GB2312" w:eastAsia="仿宋_GB2312"/>
          <w:b w:val="0"/>
          <w:sz w:val="32"/>
          <w:lang w:eastAsia="zh-CN"/>
        </w:rPr>
        <w:t>，在</w:t>
      </w:r>
      <w:r>
        <w:rPr>
          <w:rFonts w:ascii="仿宋_GB2312" w:hAnsi="仿宋_GB2312" w:eastAsia="仿宋_GB2312"/>
          <w:b w:val="0"/>
          <w:sz w:val="32"/>
        </w:rPr>
        <w:t>预算执行过程中，以年度支出计划为基础，定期分析预算执行和绩效目标落实情况，并依托财政预算绩效管理平台分5月、8月对预算执行动态进行实时监督，发现问题及时纠偏，确保绩效目标落地落实。三是扎实开展自评工作，年度终了，扎实开展预算绩效目标完成情况审核和自评工作。发现的问题及原因：一是预算绩效管理工作体系尚不完善，绩效目标管理体系不够健全；二是预算绩效管理缺乏系统的培训，造成预算绩效管理指导不到位、认识不到位，理解不充分，对预算绩效管理工作重点把握不到位。下一步改进措施：一是完善绩效指标，提高整体绩效目标质量。提升预算精细 化管理水平。 二是加强预算执行管理。做好事前审批、事中管理和事后监督工作，不断加快预算执行进度，推动预算执行按照资金计划有序进行。三是强化内部控制管理，严格按规定做好绩效目标申报、自评、公开等相关工作。具体附整体支出绩效自评表，项目支出绩效自评表和评价报告。</w:t>
      </w:r>
    </w:p>
    <w:p w14:paraId="3C19925C">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355"/>
        <w:gridCol w:w="970"/>
        <w:gridCol w:w="1460"/>
        <w:gridCol w:w="635"/>
      </w:tblGrid>
      <w:tr w14:paraId="641639D5">
        <w:tblPrEx>
          <w:tblCellMar>
            <w:top w:w="0" w:type="dxa"/>
            <w:left w:w="108" w:type="dxa"/>
            <w:bottom w:w="0" w:type="dxa"/>
            <w:right w:w="108" w:type="dxa"/>
          </w:tblCellMar>
        </w:tblPrEx>
        <w:tc>
          <w:tcPr>
            <w:tcW w:w="8840" w:type="dxa"/>
            <w:gridSpan w:val="8"/>
            <w:vAlign w:val="center"/>
          </w:tcPr>
          <w:p w14:paraId="297919C0">
            <w:pPr>
              <w:jc w:val="center"/>
            </w:pPr>
            <w:r>
              <w:rPr>
                <w:rFonts w:ascii="宋体" w:hAnsi="宋体" w:eastAsia="宋体"/>
                <w:sz w:val="24"/>
              </w:rPr>
              <w:t>单位整体支出绩效自评表</w:t>
            </w:r>
          </w:p>
        </w:tc>
      </w:tr>
      <w:tr w14:paraId="1B4215B6">
        <w:tblPrEx>
          <w:tblCellMar>
            <w:top w:w="0" w:type="dxa"/>
            <w:left w:w="108" w:type="dxa"/>
            <w:bottom w:w="0" w:type="dxa"/>
            <w:right w:w="108" w:type="dxa"/>
          </w:tblCellMar>
        </w:tblPrEx>
        <w:tc>
          <w:tcPr>
            <w:tcW w:w="8840" w:type="dxa"/>
            <w:gridSpan w:val="8"/>
            <w:vAlign w:val="center"/>
          </w:tcPr>
          <w:p w14:paraId="0D5C7129">
            <w:pPr>
              <w:jc w:val="center"/>
            </w:pPr>
            <w:r>
              <w:rPr>
                <w:rFonts w:ascii="宋体" w:hAnsi="宋体" w:eastAsia="宋体"/>
                <w:sz w:val="24"/>
              </w:rPr>
              <w:t>（2024年度）</w:t>
            </w:r>
          </w:p>
        </w:tc>
      </w:tr>
      <w:tr w14:paraId="32851C3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8B25B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9223BA">
            <w:pPr>
              <w:jc w:val="center"/>
            </w:pPr>
            <w:r>
              <w:rPr>
                <w:rFonts w:ascii="宋体" w:hAnsi="宋体" w:eastAsia="宋体"/>
                <w:sz w:val="16"/>
              </w:rPr>
              <w:t>裕民县察汗托海牧场中心小学</w:t>
            </w:r>
          </w:p>
        </w:tc>
      </w:tr>
      <w:tr w14:paraId="47132B5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687E86">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CDC557">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1516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B41E13">
            <w:pPr>
              <w:jc w:val="center"/>
            </w:pPr>
            <w:r>
              <w:rPr>
                <w:rFonts w:ascii="宋体" w:hAnsi="宋体" w:eastAsia="宋体"/>
                <w:sz w:val="16"/>
              </w:rPr>
              <w:t>全年预算数</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66C9AEAA">
            <w:pPr>
              <w:jc w:val="center"/>
            </w:pPr>
            <w:r>
              <w:rPr>
                <w:rFonts w:ascii="宋体" w:hAnsi="宋体" w:eastAsia="宋体"/>
                <w:sz w:val="16"/>
              </w:rPr>
              <w:t>全年执行数</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4E65418C">
            <w:pPr>
              <w:jc w:val="center"/>
            </w:pPr>
            <w:r>
              <w:rPr>
                <w:rFonts w:ascii="宋体" w:hAnsi="宋体" w:eastAsia="宋体"/>
                <w:sz w:val="16"/>
              </w:rPr>
              <w:t>分值权重</w:t>
            </w:r>
          </w:p>
        </w:tc>
        <w:tc>
          <w:tcPr>
            <w:tcW w:w="1460" w:type="dxa"/>
            <w:tcBorders>
              <w:top w:val="single" w:color="auto" w:sz="10" w:space="0"/>
              <w:left w:val="single" w:color="auto" w:sz="10" w:space="0"/>
              <w:bottom w:val="single" w:color="auto" w:sz="10" w:space="0"/>
              <w:right w:val="single" w:color="auto" w:sz="10" w:space="0"/>
              <w:insideV w:val="single" w:sz="10" w:space="0"/>
            </w:tcBorders>
            <w:vAlign w:val="center"/>
          </w:tcPr>
          <w:p w14:paraId="0689CF2E">
            <w:pPr>
              <w:jc w:val="center"/>
            </w:pPr>
            <w:r>
              <w:rPr>
                <w:rFonts w:ascii="宋体" w:hAnsi="宋体" w:eastAsia="宋体"/>
                <w:sz w:val="16"/>
              </w:rPr>
              <w:t>执行率</w:t>
            </w:r>
          </w:p>
        </w:tc>
        <w:tc>
          <w:tcPr>
            <w:tcW w:w="635" w:type="dxa"/>
            <w:tcBorders>
              <w:top w:val="single" w:color="auto" w:sz="10" w:space="0"/>
              <w:left w:val="single" w:color="auto" w:sz="10" w:space="0"/>
              <w:bottom w:val="single" w:color="auto" w:sz="10" w:space="0"/>
              <w:right w:val="single" w:color="auto" w:sz="10" w:space="0"/>
              <w:insideV w:val="single" w:sz="10" w:space="0"/>
            </w:tcBorders>
            <w:vAlign w:val="center"/>
          </w:tcPr>
          <w:p w14:paraId="51088272">
            <w:pPr>
              <w:jc w:val="center"/>
            </w:pPr>
            <w:r>
              <w:rPr>
                <w:rFonts w:ascii="宋体" w:hAnsi="宋体" w:eastAsia="宋体"/>
                <w:sz w:val="16"/>
              </w:rPr>
              <w:t>得分</w:t>
            </w:r>
          </w:p>
        </w:tc>
      </w:tr>
      <w:tr w14:paraId="37A96B8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324BE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BDD2C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F063B9">
            <w:pPr>
              <w:jc w:val="center"/>
            </w:pPr>
            <w:r>
              <w:rPr>
                <w:rFonts w:ascii="宋体" w:hAnsi="宋体" w:eastAsia="宋体"/>
                <w:sz w:val="16"/>
              </w:rPr>
              <w:t>556.59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268EB4">
            <w:pPr>
              <w:jc w:val="center"/>
            </w:pPr>
            <w:r>
              <w:rPr>
                <w:rFonts w:ascii="宋体" w:hAnsi="宋体" w:eastAsia="宋体"/>
                <w:sz w:val="16"/>
              </w:rPr>
              <w:t>502.31</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6CA6BEED">
            <w:pPr>
              <w:jc w:val="center"/>
            </w:pPr>
            <w:r>
              <w:rPr>
                <w:rFonts w:ascii="宋体" w:hAnsi="宋体" w:eastAsia="宋体"/>
                <w:sz w:val="16"/>
              </w:rPr>
              <w:t>502.31</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101B29C5">
            <w:pPr>
              <w:jc w:val="center"/>
            </w:pPr>
            <w:r>
              <w:rPr>
                <w:rFonts w:ascii="宋体" w:hAnsi="宋体" w:eastAsia="宋体"/>
                <w:sz w:val="16"/>
              </w:rPr>
              <w:t>10</w:t>
            </w:r>
          </w:p>
        </w:tc>
        <w:tc>
          <w:tcPr>
            <w:tcW w:w="1460" w:type="dxa"/>
            <w:tcBorders>
              <w:top w:val="single" w:color="auto" w:sz="10" w:space="0"/>
              <w:left w:val="single" w:color="auto" w:sz="10" w:space="0"/>
              <w:bottom w:val="single" w:color="auto" w:sz="10" w:space="0"/>
              <w:right w:val="single" w:color="auto" w:sz="10" w:space="0"/>
              <w:insideV w:val="single" w:sz="10" w:space="0"/>
            </w:tcBorders>
            <w:vAlign w:val="center"/>
          </w:tcPr>
          <w:p w14:paraId="504EADA5">
            <w:pPr>
              <w:jc w:val="center"/>
            </w:pPr>
            <w:r>
              <w:rPr>
                <w:rFonts w:ascii="宋体" w:hAnsi="宋体" w:eastAsia="宋体"/>
                <w:sz w:val="16"/>
              </w:rPr>
              <w:t>100%</w:t>
            </w:r>
          </w:p>
        </w:tc>
        <w:tc>
          <w:tcPr>
            <w:tcW w:w="635" w:type="dxa"/>
            <w:tcBorders>
              <w:top w:val="single" w:color="auto" w:sz="10" w:space="0"/>
              <w:left w:val="single" w:color="auto" w:sz="10" w:space="0"/>
              <w:bottom w:val="single" w:color="auto" w:sz="10" w:space="0"/>
              <w:right w:val="single" w:color="auto" w:sz="10" w:space="0"/>
              <w:insideV w:val="single" w:sz="10" w:space="0"/>
            </w:tcBorders>
            <w:vAlign w:val="center"/>
          </w:tcPr>
          <w:p w14:paraId="26F79CF3">
            <w:pPr>
              <w:jc w:val="center"/>
            </w:pPr>
            <w:r>
              <w:rPr>
                <w:rFonts w:ascii="宋体" w:hAnsi="宋体" w:eastAsia="宋体"/>
                <w:sz w:val="16"/>
              </w:rPr>
              <w:t>10</w:t>
            </w:r>
          </w:p>
        </w:tc>
      </w:tr>
      <w:tr w14:paraId="733252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E4B48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F8700">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ADAD9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E36F3">
            <w:pPr>
              <w:jc w:val="center"/>
            </w:pPr>
            <w:r>
              <w:rPr>
                <w:rFonts w:ascii="宋体" w:hAnsi="宋体" w:eastAsia="宋体"/>
                <w:sz w:val="16"/>
              </w:rPr>
              <w:t>0.00</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2742DA6C">
            <w:pPr>
              <w:jc w:val="center"/>
            </w:pPr>
            <w:r>
              <w:rPr>
                <w:rFonts w:ascii="宋体" w:hAnsi="宋体" w:eastAsia="宋体"/>
                <w:sz w:val="16"/>
              </w:rPr>
              <w:t>0.00</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25C98675">
            <w:pPr>
              <w:jc w:val="center"/>
            </w:pPr>
            <w:r>
              <w:rPr>
                <w:rFonts w:ascii="宋体" w:hAnsi="宋体" w:eastAsia="宋体"/>
                <w:sz w:val="16"/>
              </w:rPr>
              <w:t>-</w:t>
            </w:r>
          </w:p>
        </w:tc>
        <w:tc>
          <w:tcPr>
            <w:tcW w:w="1460" w:type="dxa"/>
            <w:tcBorders>
              <w:top w:val="single" w:color="auto" w:sz="10" w:space="0"/>
              <w:left w:val="single" w:color="auto" w:sz="10" w:space="0"/>
              <w:bottom w:val="single" w:color="auto" w:sz="10" w:space="0"/>
              <w:right w:val="single" w:color="auto" w:sz="10" w:space="0"/>
              <w:insideV w:val="single" w:sz="10" w:space="0"/>
            </w:tcBorders>
            <w:vAlign w:val="center"/>
          </w:tcPr>
          <w:p w14:paraId="5781C518">
            <w:pPr>
              <w:jc w:val="center"/>
            </w:pPr>
            <w:r>
              <w:rPr>
                <w:rFonts w:ascii="宋体" w:hAnsi="宋体" w:eastAsia="宋体"/>
                <w:sz w:val="16"/>
              </w:rPr>
              <w:t>-</w:t>
            </w:r>
          </w:p>
        </w:tc>
        <w:tc>
          <w:tcPr>
            <w:tcW w:w="635" w:type="dxa"/>
            <w:tcBorders>
              <w:top w:val="single" w:color="auto" w:sz="10" w:space="0"/>
              <w:left w:val="single" w:color="auto" w:sz="10" w:space="0"/>
              <w:bottom w:val="single" w:color="auto" w:sz="10" w:space="0"/>
              <w:right w:val="single" w:color="auto" w:sz="10" w:space="0"/>
              <w:insideV w:val="single" w:sz="10" w:space="0"/>
            </w:tcBorders>
            <w:vAlign w:val="center"/>
          </w:tcPr>
          <w:p w14:paraId="31A6F621">
            <w:pPr>
              <w:jc w:val="center"/>
            </w:pPr>
            <w:r>
              <w:rPr>
                <w:rFonts w:ascii="宋体" w:hAnsi="宋体" w:eastAsia="宋体"/>
                <w:sz w:val="16"/>
              </w:rPr>
              <w:t>-</w:t>
            </w:r>
          </w:p>
        </w:tc>
      </w:tr>
      <w:tr w14:paraId="6AFC900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C59B0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C3B83">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9B0DBA">
            <w:pPr>
              <w:jc w:val="center"/>
            </w:pPr>
            <w:r>
              <w:rPr>
                <w:rFonts w:ascii="宋体" w:hAnsi="宋体" w:eastAsia="宋体"/>
                <w:sz w:val="16"/>
              </w:rPr>
              <w:t>556.59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FB72A">
            <w:pPr>
              <w:jc w:val="center"/>
            </w:pPr>
            <w:r>
              <w:rPr>
                <w:rFonts w:ascii="宋体" w:hAnsi="宋体" w:eastAsia="宋体"/>
                <w:sz w:val="16"/>
              </w:rPr>
              <w:t>502.31</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21A7D109">
            <w:pPr>
              <w:jc w:val="center"/>
            </w:pPr>
            <w:r>
              <w:rPr>
                <w:rFonts w:ascii="宋体" w:hAnsi="宋体" w:eastAsia="宋体"/>
                <w:sz w:val="16"/>
              </w:rPr>
              <w:t>502.31</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321D3C08">
            <w:pPr>
              <w:jc w:val="center"/>
            </w:pPr>
            <w:r>
              <w:rPr>
                <w:rFonts w:ascii="宋体" w:hAnsi="宋体" w:eastAsia="宋体"/>
                <w:sz w:val="16"/>
              </w:rPr>
              <w:t>-</w:t>
            </w:r>
          </w:p>
        </w:tc>
        <w:tc>
          <w:tcPr>
            <w:tcW w:w="1460" w:type="dxa"/>
            <w:tcBorders>
              <w:top w:val="single" w:color="auto" w:sz="10" w:space="0"/>
              <w:left w:val="single" w:color="auto" w:sz="10" w:space="0"/>
              <w:bottom w:val="single" w:color="auto" w:sz="10" w:space="0"/>
              <w:right w:val="single" w:color="auto" w:sz="10" w:space="0"/>
              <w:insideV w:val="single" w:sz="10" w:space="0"/>
            </w:tcBorders>
            <w:vAlign w:val="center"/>
          </w:tcPr>
          <w:p w14:paraId="59FC8D69">
            <w:pPr>
              <w:jc w:val="center"/>
            </w:pPr>
            <w:r>
              <w:rPr>
                <w:rFonts w:ascii="宋体" w:hAnsi="宋体" w:eastAsia="宋体"/>
                <w:sz w:val="16"/>
              </w:rPr>
              <w:t>-</w:t>
            </w:r>
          </w:p>
        </w:tc>
        <w:tc>
          <w:tcPr>
            <w:tcW w:w="635" w:type="dxa"/>
            <w:tcBorders>
              <w:top w:val="single" w:color="auto" w:sz="10" w:space="0"/>
              <w:left w:val="single" w:color="auto" w:sz="10" w:space="0"/>
              <w:bottom w:val="single" w:color="auto" w:sz="10" w:space="0"/>
              <w:right w:val="single" w:color="auto" w:sz="10" w:space="0"/>
              <w:insideV w:val="single" w:sz="10" w:space="0"/>
            </w:tcBorders>
            <w:vAlign w:val="center"/>
          </w:tcPr>
          <w:p w14:paraId="2EED3F2A">
            <w:pPr>
              <w:jc w:val="center"/>
            </w:pPr>
            <w:r>
              <w:rPr>
                <w:rFonts w:ascii="宋体" w:hAnsi="宋体" w:eastAsia="宋体"/>
                <w:sz w:val="16"/>
              </w:rPr>
              <w:t>-</w:t>
            </w:r>
          </w:p>
        </w:tc>
      </w:tr>
      <w:tr w14:paraId="4ADB2BE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CDD932">
            <w:bookmarkStart w:id="0" w:name="_GoBack" w:colFirst="5" w:colLast="7"/>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71D3C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9EA7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D50C74">
            <w:pPr>
              <w:jc w:val="center"/>
            </w:pPr>
            <w:r>
              <w:rPr>
                <w:rFonts w:ascii="宋体" w:hAnsi="宋体" w:eastAsia="宋体"/>
                <w:sz w:val="16"/>
              </w:rPr>
              <w:t>0.00</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59DC3285">
            <w:pPr>
              <w:jc w:val="center"/>
            </w:pPr>
            <w:r>
              <w:rPr>
                <w:rFonts w:ascii="宋体" w:hAnsi="宋体" w:eastAsia="宋体"/>
                <w:sz w:val="16"/>
              </w:rPr>
              <w:t>0.00</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006A251F">
            <w:pPr>
              <w:jc w:val="center"/>
            </w:pPr>
            <w:r>
              <w:rPr>
                <w:rFonts w:ascii="宋体" w:hAnsi="宋体" w:eastAsia="宋体"/>
                <w:sz w:val="16"/>
              </w:rPr>
              <w:t>-</w:t>
            </w:r>
          </w:p>
        </w:tc>
        <w:tc>
          <w:tcPr>
            <w:tcW w:w="1460" w:type="dxa"/>
            <w:tcBorders>
              <w:top w:val="single" w:color="auto" w:sz="10" w:space="0"/>
              <w:left w:val="single" w:color="auto" w:sz="10" w:space="0"/>
              <w:bottom w:val="single" w:color="auto" w:sz="10" w:space="0"/>
              <w:right w:val="single" w:color="auto" w:sz="10" w:space="0"/>
              <w:insideV w:val="single" w:sz="10" w:space="0"/>
            </w:tcBorders>
            <w:vAlign w:val="center"/>
          </w:tcPr>
          <w:p w14:paraId="280D36E9">
            <w:pPr>
              <w:jc w:val="center"/>
            </w:pPr>
            <w:r>
              <w:rPr>
                <w:rFonts w:ascii="宋体" w:hAnsi="宋体" w:eastAsia="宋体"/>
                <w:sz w:val="16"/>
              </w:rPr>
              <w:t>-</w:t>
            </w:r>
          </w:p>
        </w:tc>
        <w:tc>
          <w:tcPr>
            <w:tcW w:w="635" w:type="dxa"/>
            <w:tcBorders>
              <w:top w:val="single" w:color="auto" w:sz="10" w:space="0"/>
              <w:left w:val="single" w:color="auto" w:sz="10" w:space="0"/>
              <w:bottom w:val="single" w:color="auto" w:sz="10" w:space="0"/>
              <w:right w:val="single" w:color="auto" w:sz="10" w:space="0"/>
              <w:insideV w:val="single" w:sz="10" w:space="0"/>
            </w:tcBorders>
            <w:vAlign w:val="center"/>
          </w:tcPr>
          <w:p w14:paraId="48CAB4D9">
            <w:pPr>
              <w:jc w:val="center"/>
            </w:pPr>
            <w:r>
              <w:rPr>
                <w:rFonts w:ascii="宋体" w:hAnsi="宋体" w:eastAsia="宋体"/>
                <w:sz w:val="16"/>
              </w:rPr>
              <w:t>-</w:t>
            </w:r>
          </w:p>
        </w:tc>
      </w:tr>
      <w:bookmarkEnd w:id="0"/>
      <w:tr w14:paraId="7042312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23F58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95F10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3ED7D5">
            <w:pPr>
              <w:jc w:val="center"/>
            </w:pPr>
            <w:r>
              <w:rPr>
                <w:rFonts w:ascii="宋体" w:hAnsi="宋体" w:eastAsia="宋体"/>
                <w:sz w:val="16"/>
              </w:rPr>
              <w:t>实际完成情况</w:t>
            </w:r>
          </w:p>
        </w:tc>
      </w:tr>
      <w:tr w14:paraId="2505765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3BF79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35695A">
            <w:pPr>
              <w:jc w:val="both"/>
            </w:pPr>
            <w:r>
              <w:rPr>
                <w:rFonts w:ascii="宋体" w:hAnsi="宋体" w:eastAsia="宋体"/>
                <w:sz w:val="16"/>
              </w:rPr>
              <w:t>1.贯彻落实自治区党委各项工作部署，全面维护社会稳定和长治久安，加强思想能</w:t>
            </w:r>
            <w:r>
              <w:rPr>
                <w:rFonts w:hint="eastAsia" w:ascii="宋体" w:hAnsi="宋体"/>
                <w:sz w:val="16"/>
                <w:lang w:eastAsia="zh-CN"/>
              </w:rPr>
              <w:t>力和</w:t>
            </w:r>
            <w:r>
              <w:rPr>
                <w:rFonts w:ascii="宋体" w:hAnsi="宋体" w:eastAsia="宋体"/>
                <w:sz w:val="16"/>
              </w:rPr>
              <w:t>作风建设，全面提升</w:t>
            </w:r>
            <w:r>
              <w:rPr>
                <w:rFonts w:hint="eastAsia" w:ascii="宋体" w:hAnsi="宋体"/>
                <w:sz w:val="16"/>
                <w:lang w:eastAsia="zh-CN"/>
              </w:rPr>
              <w:t>教师队伍</w:t>
            </w:r>
            <w:r>
              <w:rPr>
                <w:rFonts w:ascii="宋体" w:hAnsi="宋体" w:eastAsia="宋体"/>
                <w:sz w:val="16"/>
              </w:rPr>
              <w:t>职业道德形象。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2.保障我校在职人员</w:t>
            </w:r>
            <w:r>
              <w:rPr>
                <w:rFonts w:hint="eastAsia" w:ascii="宋体" w:hAnsi="宋体"/>
                <w:sz w:val="16"/>
                <w:lang w:val="en-US" w:eastAsia="zh-CN"/>
              </w:rPr>
              <w:t>24</w:t>
            </w:r>
            <w:r>
              <w:rPr>
                <w:rFonts w:ascii="宋体" w:hAnsi="宋体" w:eastAsia="宋体"/>
                <w:sz w:val="16"/>
              </w:rPr>
              <w:t>人，退休</w:t>
            </w:r>
            <w:r>
              <w:rPr>
                <w:rFonts w:hint="eastAsia" w:ascii="宋体" w:hAnsi="宋体"/>
                <w:sz w:val="16"/>
                <w:lang w:val="en-US" w:eastAsia="zh-CN"/>
              </w:rPr>
              <w:t>31</w:t>
            </w:r>
            <w:r>
              <w:rPr>
                <w:rFonts w:ascii="宋体" w:hAnsi="宋体" w:eastAsia="宋体"/>
                <w:sz w:val="16"/>
              </w:rPr>
              <w:t>人，同时同等待遇教师1人，保安3人，保育员3人的工资发放及正常办公。</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3.把教育教学质量放在首位，提高教师从教的幸福感、人民满意的教育。</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4.管好用好国家的教育资金，改善和优化农村的办学条件。</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20CEB2">
            <w:pPr>
              <w:jc w:val="both"/>
            </w:pPr>
            <w:r>
              <w:rPr>
                <w:rFonts w:ascii="宋体" w:hAnsi="宋体" w:eastAsia="宋体"/>
                <w:sz w:val="16"/>
              </w:rPr>
              <w:t>裕民县察汗托海牧场中心小学2024年通过本部门预算支出，确保了</w:t>
            </w:r>
            <w:r>
              <w:rPr>
                <w:rFonts w:hint="eastAsia" w:ascii="宋体" w:hAnsi="宋体"/>
                <w:sz w:val="16"/>
                <w:lang w:val="en-US" w:eastAsia="zh-CN"/>
              </w:rPr>
              <w:t>24</w:t>
            </w:r>
            <w:r>
              <w:rPr>
                <w:rFonts w:ascii="宋体" w:hAnsi="宋体" w:eastAsia="宋体"/>
                <w:sz w:val="16"/>
              </w:rPr>
              <w:t>名在职人员的工资、津贴、补贴、社保、绩效、公积金等以及</w:t>
            </w:r>
            <w:r>
              <w:rPr>
                <w:rFonts w:hint="eastAsia" w:ascii="宋体" w:hAnsi="宋体"/>
                <w:sz w:val="16"/>
                <w:lang w:val="en-US" w:eastAsia="zh-CN"/>
              </w:rPr>
              <w:t>31</w:t>
            </w:r>
            <w:r>
              <w:rPr>
                <w:rFonts w:ascii="宋体" w:hAnsi="宋体" w:eastAsia="宋体"/>
                <w:sz w:val="16"/>
              </w:rPr>
              <w:t>名离退休人员的工资、医疗费等人员保障性经费能够依规、按时、足额发放或缴纳，提升部门人员工作积极性和服务质量。同时，保障了部门全年正常运转，为部门正常履职和开展综合性事务管理提供有效支撑。</w:t>
            </w:r>
          </w:p>
        </w:tc>
      </w:tr>
      <w:tr w14:paraId="6D8B628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1E088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98E4D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D631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98D7B">
            <w:pPr>
              <w:jc w:val="center"/>
            </w:pPr>
            <w:r>
              <w:rPr>
                <w:rFonts w:ascii="宋体" w:hAnsi="宋体" w:eastAsia="宋体"/>
                <w:sz w:val="16"/>
              </w:rPr>
              <w:t>预期指标值</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03FECBB9">
            <w:pPr>
              <w:jc w:val="center"/>
            </w:pPr>
            <w:r>
              <w:rPr>
                <w:rFonts w:ascii="宋体" w:hAnsi="宋体" w:eastAsia="宋体"/>
                <w:sz w:val="16"/>
              </w:rPr>
              <w:t>指标值设定依据</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55CB969A">
            <w:pPr>
              <w:jc w:val="center"/>
            </w:pPr>
            <w:r>
              <w:rPr>
                <w:rFonts w:ascii="宋体" w:hAnsi="宋体" w:eastAsia="宋体"/>
                <w:sz w:val="16"/>
              </w:rPr>
              <w:t>分值权重</w:t>
            </w:r>
          </w:p>
        </w:tc>
        <w:tc>
          <w:tcPr>
            <w:tcW w:w="1460" w:type="dxa"/>
            <w:tcBorders>
              <w:top w:val="single" w:color="auto" w:sz="10" w:space="0"/>
              <w:left w:val="single" w:color="auto" w:sz="10" w:space="0"/>
              <w:bottom w:val="single" w:color="auto" w:sz="10" w:space="0"/>
              <w:right w:val="single" w:color="auto" w:sz="10" w:space="0"/>
              <w:insideV w:val="single" w:sz="10" w:space="0"/>
            </w:tcBorders>
            <w:vAlign w:val="center"/>
          </w:tcPr>
          <w:p w14:paraId="3038151B">
            <w:pPr>
              <w:jc w:val="center"/>
            </w:pPr>
            <w:r>
              <w:rPr>
                <w:rFonts w:ascii="宋体" w:hAnsi="宋体" w:eastAsia="宋体"/>
                <w:sz w:val="16"/>
              </w:rPr>
              <w:t>实际完成指标值</w:t>
            </w:r>
          </w:p>
        </w:tc>
        <w:tc>
          <w:tcPr>
            <w:tcW w:w="635" w:type="dxa"/>
            <w:tcBorders>
              <w:top w:val="single" w:color="auto" w:sz="10" w:space="0"/>
              <w:left w:val="single" w:color="auto" w:sz="10" w:space="0"/>
              <w:bottom w:val="single" w:color="auto" w:sz="10" w:space="0"/>
              <w:right w:val="single" w:color="auto" w:sz="10" w:space="0"/>
              <w:insideV w:val="single" w:sz="10" w:space="0"/>
            </w:tcBorders>
            <w:vAlign w:val="center"/>
          </w:tcPr>
          <w:p w14:paraId="3F9732FA">
            <w:pPr>
              <w:jc w:val="center"/>
            </w:pPr>
            <w:r>
              <w:rPr>
                <w:rFonts w:ascii="宋体" w:hAnsi="宋体" w:eastAsia="宋体"/>
                <w:sz w:val="16"/>
              </w:rPr>
              <w:t>得分</w:t>
            </w:r>
          </w:p>
        </w:tc>
      </w:tr>
      <w:tr w14:paraId="0BF5314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ECC884">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D571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BBE57">
            <w:pPr>
              <w:jc w:val="center"/>
            </w:pPr>
            <w:r>
              <w:rPr>
                <w:rFonts w:ascii="宋体" w:hAnsi="宋体" w:eastAsia="宋体"/>
                <w:sz w:val="16"/>
              </w:rPr>
              <w:t>在职教职工人数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72874">
            <w:pPr>
              <w:jc w:val="center"/>
            </w:pPr>
            <w:r>
              <w:rPr>
                <w:rFonts w:ascii="宋体" w:hAnsi="宋体" w:eastAsia="宋体"/>
                <w:sz w:val="16"/>
              </w:rPr>
              <w:t>=</w:t>
            </w:r>
            <w:r>
              <w:rPr>
                <w:rFonts w:hint="eastAsia" w:ascii="宋体" w:hAnsi="宋体"/>
                <w:sz w:val="16"/>
                <w:lang w:val="en-US" w:eastAsia="zh-CN"/>
              </w:rPr>
              <w:t>24</w:t>
            </w:r>
            <w:r>
              <w:rPr>
                <w:rFonts w:ascii="宋体" w:hAnsi="宋体" w:eastAsia="宋体"/>
                <w:sz w:val="16"/>
              </w:rPr>
              <w:t>人</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1DBC2D28">
            <w:pPr>
              <w:jc w:val="center"/>
            </w:pPr>
            <w:r>
              <w:rPr>
                <w:rFonts w:ascii="宋体" w:hAnsi="宋体" w:eastAsia="宋体"/>
                <w:sz w:val="16"/>
              </w:rPr>
              <w:t>2024年重点工作计划</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6239870C">
            <w:pPr>
              <w:jc w:val="center"/>
            </w:pPr>
            <w:r>
              <w:rPr>
                <w:rFonts w:ascii="宋体" w:hAnsi="宋体" w:eastAsia="宋体"/>
                <w:sz w:val="16"/>
              </w:rPr>
              <w:t>15</w:t>
            </w:r>
          </w:p>
        </w:tc>
        <w:tc>
          <w:tcPr>
            <w:tcW w:w="1460" w:type="dxa"/>
            <w:tcBorders>
              <w:top w:val="single" w:color="auto" w:sz="10" w:space="0"/>
              <w:left w:val="single" w:color="auto" w:sz="10" w:space="0"/>
              <w:bottom w:val="single" w:color="auto" w:sz="10" w:space="0"/>
              <w:right w:val="single" w:color="auto" w:sz="10" w:space="0"/>
              <w:insideV w:val="single" w:sz="10" w:space="0"/>
            </w:tcBorders>
            <w:vAlign w:val="center"/>
          </w:tcPr>
          <w:p w14:paraId="69946C28">
            <w:pPr>
              <w:jc w:val="center"/>
            </w:pPr>
            <w:r>
              <w:rPr>
                <w:rFonts w:hint="eastAsia" w:ascii="宋体" w:hAnsi="宋体"/>
                <w:sz w:val="16"/>
                <w:lang w:val="en-US" w:eastAsia="zh-CN"/>
              </w:rPr>
              <w:t>24</w:t>
            </w:r>
            <w:r>
              <w:rPr>
                <w:rFonts w:ascii="宋体" w:hAnsi="宋体" w:eastAsia="宋体"/>
                <w:sz w:val="16"/>
              </w:rPr>
              <w:t>人</w:t>
            </w:r>
          </w:p>
        </w:tc>
        <w:tc>
          <w:tcPr>
            <w:tcW w:w="635" w:type="dxa"/>
            <w:tcBorders>
              <w:top w:val="single" w:color="auto" w:sz="10" w:space="0"/>
              <w:left w:val="single" w:color="auto" w:sz="10" w:space="0"/>
              <w:bottom w:val="single" w:color="auto" w:sz="10" w:space="0"/>
              <w:right w:val="single" w:color="auto" w:sz="10" w:space="0"/>
              <w:insideV w:val="single" w:sz="10" w:space="0"/>
            </w:tcBorders>
            <w:vAlign w:val="center"/>
          </w:tcPr>
          <w:p w14:paraId="51A1ED0D">
            <w:pPr>
              <w:jc w:val="center"/>
            </w:pPr>
            <w:r>
              <w:rPr>
                <w:rFonts w:ascii="宋体" w:hAnsi="宋体" w:eastAsia="宋体"/>
                <w:sz w:val="16"/>
              </w:rPr>
              <w:t>15</w:t>
            </w:r>
          </w:p>
        </w:tc>
      </w:tr>
      <w:tr w14:paraId="5D3D79C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F45A4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59A19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F6D2B9">
            <w:pPr>
              <w:jc w:val="center"/>
            </w:pPr>
            <w:r>
              <w:rPr>
                <w:rFonts w:ascii="宋体" w:hAnsi="宋体" w:eastAsia="宋体"/>
                <w:sz w:val="16"/>
              </w:rPr>
              <w:t>退休人员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48DBE5">
            <w:pPr>
              <w:jc w:val="center"/>
            </w:pPr>
            <w:r>
              <w:rPr>
                <w:rFonts w:ascii="宋体" w:hAnsi="宋体" w:eastAsia="宋体"/>
                <w:sz w:val="16"/>
              </w:rPr>
              <w:t>=</w:t>
            </w:r>
            <w:r>
              <w:rPr>
                <w:rFonts w:hint="eastAsia" w:ascii="宋体" w:hAnsi="宋体"/>
                <w:sz w:val="16"/>
                <w:lang w:val="en-US" w:eastAsia="zh-CN"/>
              </w:rPr>
              <w:t>31</w:t>
            </w:r>
            <w:r>
              <w:rPr>
                <w:rFonts w:ascii="宋体" w:hAnsi="宋体" w:eastAsia="宋体"/>
                <w:sz w:val="16"/>
              </w:rPr>
              <w:t>人</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3966AA6A">
            <w:pPr>
              <w:jc w:val="center"/>
            </w:pPr>
            <w:r>
              <w:rPr>
                <w:rFonts w:ascii="宋体" w:hAnsi="宋体" w:eastAsia="宋体"/>
                <w:sz w:val="16"/>
              </w:rPr>
              <w:t>2024年重点工作计划</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7A254827">
            <w:pPr>
              <w:jc w:val="center"/>
            </w:pPr>
            <w:r>
              <w:rPr>
                <w:rFonts w:ascii="宋体" w:hAnsi="宋体" w:eastAsia="宋体"/>
                <w:sz w:val="16"/>
              </w:rPr>
              <w:t>15</w:t>
            </w:r>
          </w:p>
        </w:tc>
        <w:tc>
          <w:tcPr>
            <w:tcW w:w="1460" w:type="dxa"/>
            <w:tcBorders>
              <w:top w:val="single" w:color="auto" w:sz="10" w:space="0"/>
              <w:left w:val="single" w:color="auto" w:sz="10" w:space="0"/>
              <w:bottom w:val="single" w:color="auto" w:sz="10" w:space="0"/>
              <w:right w:val="single" w:color="auto" w:sz="10" w:space="0"/>
              <w:insideV w:val="single" w:sz="10" w:space="0"/>
            </w:tcBorders>
            <w:vAlign w:val="center"/>
          </w:tcPr>
          <w:p w14:paraId="273F593E">
            <w:pPr>
              <w:jc w:val="center"/>
            </w:pPr>
            <w:r>
              <w:rPr>
                <w:rFonts w:hint="eastAsia" w:ascii="宋体" w:hAnsi="宋体"/>
                <w:sz w:val="16"/>
                <w:lang w:val="en-US" w:eastAsia="zh-CN"/>
              </w:rPr>
              <w:t>31</w:t>
            </w:r>
            <w:r>
              <w:rPr>
                <w:rFonts w:ascii="宋体" w:hAnsi="宋体" w:eastAsia="宋体"/>
                <w:sz w:val="16"/>
              </w:rPr>
              <w:t>人</w:t>
            </w:r>
          </w:p>
        </w:tc>
        <w:tc>
          <w:tcPr>
            <w:tcW w:w="635" w:type="dxa"/>
            <w:tcBorders>
              <w:top w:val="single" w:color="auto" w:sz="10" w:space="0"/>
              <w:left w:val="single" w:color="auto" w:sz="10" w:space="0"/>
              <w:bottom w:val="single" w:color="auto" w:sz="10" w:space="0"/>
              <w:right w:val="single" w:color="auto" w:sz="10" w:space="0"/>
              <w:insideV w:val="single" w:sz="10" w:space="0"/>
            </w:tcBorders>
            <w:vAlign w:val="center"/>
          </w:tcPr>
          <w:p w14:paraId="7794D291">
            <w:pPr>
              <w:jc w:val="center"/>
            </w:pPr>
            <w:r>
              <w:rPr>
                <w:rFonts w:ascii="宋体" w:hAnsi="宋体" w:eastAsia="宋体"/>
                <w:sz w:val="16"/>
              </w:rPr>
              <w:t>15</w:t>
            </w:r>
          </w:p>
        </w:tc>
      </w:tr>
      <w:tr w14:paraId="1EC808E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EA14E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CA85A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DB7989">
            <w:pPr>
              <w:jc w:val="center"/>
            </w:pPr>
            <w:r>
              <w:rPr>
                <w:rFonts w:ascii="宋体" w:hAnsi="宋体" w:eastAsia="宋体"/>
                <w:sz w:val="16"/>
              </w:rPr>
              <w:t>教师培训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834AEF">
            <w:pPr>
              <w:jc w:val="center"/>
            </w:pPr>
            <w:r>
              <w:rPr>
                <w:rFonts w:ascii="宋体" w:hAnsi="宋体" w:eastAsia="宋体"/>
                <w:sz w:val="16"/>
              </w:rPr>
              <w:t>=27人</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6AE6E373">
            <w:pPr>
              <w:jc w:val="center"/>
            </w:pPr>
            <w:r>
              <w:rPr>
                <w:rFonts w:ascii="宋体" w:hAnsi="宋体" w:eastAsia="宋体"/>
                <w:sz w:val="16"/>
              </w:rPr>
              <w:t>2024年重点工作计划</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253207EC">
            <w:pPr>
              <w:jc w:val="center"/>
            </w:pPr>
            <w:r>
              <w:rPr>
                <w:rFonts w:ascii="宋体" w:hAnsi="宋体" w:eastAsia="宋体"/>
                <w:sz w:val="16"/>
              </w:rPr>
              <w:t>15</w:t>
            </w:r>
          </w:p>
        </w:tc>
        <w:tc>
          <w:tcPr>
            <w:tcW w:w="1460" w:type="dxa"/>
            <w:tcBorders>
              <w:top w:val="single" w:color="auto" w:sz="10" w:space="0"/>
              <w:left w:val="single" w:color="auto" w:sz="10" w:space="0"/>
              <w:bottom w:val="single" w:color="auto" w:sz="10" w:space="0"/>
              <w:right w:val="single" w:color="auto" w:sz="10" w:space="0"/>
              <w:insideV w:val="single" w:sz="10" w:space="0"/>
            </w:tcBorders>
            <w:vAlign w:val="center"/>
          </w:tcPr>
          <w:p w14:paraId="74997D7A">
            <w:pPr>
              <w:jc w:val="center"/>
            </w:pPr>
            <w:r>
              <w:rPr>
                <w:rFonts w:ascii="宋体" w:hAnsi="宋体" w:eastAsia="宋体"/>
                <w:sz w:val="16"/>
              </w:rPr>
              <w:t>20人</w:t>
            </w:r>
          </w:p>
        </w:tc>
        <w:tc>
          <w:tcPr>
            <w:tcW w:w="635" w:type="dxa"/>
            <w:tcBorders>
              <w:top w:val="single" w:color="auto" w:sz="10" w:space="0"/>
              <w:left w:val="single" w:color="auto" w:sz="10" w:space="0"/>
              <w:bottom w:val="single" w:color="auto" w:sz="10" w:space="0"/>
              <w:right w:val="single" w:color="auto" w:sz="10" w:space="0"/>
              <w:insideV w:val="single" w:sz="10" w:space="0"/>
            </w:tcBorders>
            <w:vAlign w:val="center"/>
          </w:tcPr>
          <w:p w14:paraId="77C86030">
            <w:pPr>
              <w:jc w:val="center"/>
            </w:pPr>
            <w:r>
              <w:rPr>
                <w:rFonts w:ascii="宋体" w:hAnsi="宋体" w:eastAsia="宋体"/>
                <w:sz w:val="16"/>
              </w:rPr>
              <w:t>11.11</w:t>
            </w:r>
          </w:p>
        </w:tc>
      </w:tr>
      <w:tr w14:paraId="4BFBD69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A87E60"/>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BE183">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4812DB">
            <w:pPr>
              <w:jc w:val="center"/>
            </w:pPr>
            <w:r>
              <w:rPr>
                <w:rFonts w:ascii="宋体" w:hAnsi="宋体" w:eastAsia="宋体"/>
                <w:sz w:val="16"/>
              </w:rPr>
              <w:t>经费保障率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B863FD">
            <w:pPr>
              <w:jc w:val="center"/>
            </w:pPr>
            <w:r>
              <w:rPr>
                <w:rFonts w:ascii="宋体" w:hAnsi="宋体" w:eastAsia="宋体"/>
                <w:sz w:val="16"/>
              </w:rPr>
              <w:t>=100%</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09D50223">
            <w:pPr>
              <w:jc w:val="center"/>
            </w:pPr>
            <w:r>
              <w:rPr>
                <w:rFonts w:ascii="宋体" w:hAnsi="宋体" w:eastAsia="宋体"/>
                <w:sz w:val="16"/>
              </w:rPr>
              <w:t>2024年重点工作计划</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14939030">
            <w:pPr>
              <w:jc w:val="center"/>
            </w:pPr>
            <w:r>
              <w:rPr>
                <w:rFonts w:ascii="宋体" w:hAnsi="宋体" w:eastAsia="宋体"/>
                <w:sz w:val="16"/>
              </w:rPr>
              <w:t>15</w:t>
            </w:r>
          </w:p>
        </w:tc>
        <w:tc>
          <w:tcPr>
            <w:tcW w:w="1460" w:type="dxa"/>
            <w:tcBorders>
              <w:top w:val="single" w:color="auto" w:sz="10" w:space="0"/>
              <w:left w:val="single" w:color="auto" w:sz="10" w:space="0"/>
              <w:bottom w:val="single" w:color="auto" w:sz="10" w:space="0"/>
              <w:right w:val="single" w:color="auto" w:sz="10" w:space="0"/>
              <w:insideV w:val="single" w:sz="10" w:space="0"/>
            </w:tcBorders>
            <w:vAlign w:val="center"/>
          </w:tcPr>
          <w:p w14:paraId="3FEC2A20">
            <w:pPr>
              <w:jc w:val="center"/>
            </w:pPr>
            <w:r>
              <w:rPr>
                <w:rFonts w:ascii="宋体" w:hAnsi="宋体" w:eastAsia="宋体"/>
                <w:sz w:val="16"/>
              </w:rPr>
              <w:t>1</w:t>
            </w:r>
          </w:p>
        </w:tc>
        <w:tc>
          <w:tcPr>
            <w:tcW w:w="635" w:type="dxa"/>
            <w:tcBorders>
              <w:top w:val="single" w:color="auto" w:sz="10" w:space="0"/>
              <w:left w:val="single" w:color="auto" w:sz="10" w:space="0"/>
              <w:bottom w:val="single" w:color="auto" w:sz="10" w:space="0"/>
              <w:right w:val="single" w:color="auto" w:sz="10" w:space="0"/>
              <w:insideV w:val="single" w:sz="10" w:space="0"/>
            </w:tcBorders>
            <w:vAlign w:val="center"/>
          </w:tcPr>
          <w:p w14:paraId="16F86AFE">
            <w:pPr>
              <w:jc w:val="center"/>
            </w:pPr>
            <w:r>
              <w:rPr>
                <w:rFonts w:ascii="宋体" w:hAnsi="宋体" w:eastAsia="宋体"/>
                <w:sz w:val="16"/>
              </w:rPr>
              <w:t>15</w:t>
            </w:r>
          </w:p>
        </w:tc>
      </w:tr>
      <w:tr w14:paraId="6C7F71F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3BB80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1DD5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DE1C4">
            <w:pPr>
              <w:jc w:val="center"/>
            </w:pPr>
            <w:r>
              <w:rPr>
                <w:rFonts w:ascii="宋体" w:hAnsi="宋体" w:eastAsia="宋体"/>
                <w:sz w:val="16"/>
              </w:rPr>
              <w:t>培训覆盖率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512ADB">
            <w:pPr>
              <w:jc w:val="center"/>
            </w:pPr>
            <w:r>
              <w:rPr>
                <w:rFonts w:ascii="宋体" w:hAnsi="宋体" w:eastAsia="宋体"/>
                <w:sz w:val="16"/>
              </w:rPr>
              <w:t>=100%</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3A3A18BB">
            <w:pPr>
              <w:jc w:val="center"/>
            </w:pPr>
            <w:r>
              <w:rPr>
                <w:rFonts w:ascii="宋体" w:hAnsi="宋体" w:eastAsia="宋体"/>
                <w:sz w:val="16"/>
              </w:rPr>
              <w:t>2024年重点工作计划</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1A99A964">
            <w:pPr>
              <w:jc w:val="center"/>
            </w:pPr>
            <w:r>
              <w:rPr>
                <w:rFonts w:ascii="宋体" w:hAnsi="宋体" w:eastAsia="宋体"/>
                <w:sz w:val="16"/>
              </w:rPr>
              <w:t>15</w:t>
            </w:r>
          </w:p>
        </w:tc>
        <w:tc>
          <w:tcPr>
            <w:tcW w:w="1460" w:type="dxa"/>
            <w:tcBorders>
              <w:top w:val="single" w:color="auto" w:sz="10" w:space="0"/>
              <w:left w:val="single" w:color="auto" w:sz="10" w:space="0"/>
              <w:bottom w:val="single" w:color="auto" w:sz="10" w:space="0"/>
              <w:right w:val="single" w:color="auto" w:sz="10" w:space="0"/>
              <w:insideV w:val="single" w:sz="10" w:space="0"/>
            </w:tcBorders>
            <w:vAlign w:val="center"/>
          </w:tcPr>
          <w:p w14:paraId="3D6F06EB">
            <w:pPr>
              <w:jc w:val="center"/>
            </w:pPr>
            <w:r>
              <w:rPr>
                <w:rFonts w:ascii="宋体" w:hAnsi="宋体" w:eastAsia="宋体"/>
                <w:sz w:val="16"/>
              </w:rPr>
              <w:t>1</w:t>
            </w:r>
          </w:p>
        </w:tc>
        <w:tc>
          <w:tcPr>
            <w:tcW w:w="635" w:type="dxa"/>
            <w:tcBorders>
              <w:top w:val="single" w:color="auto" w:sz="10" w:space="0"/>
              <w:left w:val="single" w:color="auto" w:sz="10" w:space="0"/>
              <w:bottom w:val="single" w:color="auto" w:sz="10" w:space="0"/>
              <w:right w:val="single" w:color="auto" w:sz="10" w:space="0"/>
              <w:insideV w:val="single" w:sz="10" w:space="0"/>
            </w:tcBorders>
            <w:vAlign w:val="center"/>
          </w:tcPr>
          <w:p w14:paraId="40F19D93">
            <w:pPr>
              <w:jc w:val="center"/>
            </w:pPr>
            <w:r>
              <w:rPr>
                <w:rFonts w:ascii="宋体" w:hAnsi="宋体" w:eastAsia="宋体"/>
                <w:sz w:val="16"/>
              </w:rPr>
              <w:t>15</w:t>
            </w:r>
          </w:p>
        </w:tc>
      </w:tr>
      <w:tr w14:paraId="0808A1B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CF17D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3AF00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454E2A">
            <w:pPr>
              <w:jc w:val="center"/>
            </w:pPr>
            <w:r>
              <w:rPr>
                <w:rFonts w:ascii="宋体" w:hAnsi="宋体" w:eastAsia="宋体"/>
                <w:sz w:val="16"/>
              </w:rPr>
              <w:t>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4F028">
            <w:pPr>
              <w:jc w:val="center"/>
            </w:pPr>
            <w:r>
              <w:rPr>
                <w:rFonts w:ascii="宋体" w:hAnsi="宋体" w:eastAsia="宋体"/>
                <w:sz w:val="16"/>
              </w:rPr>
              <w:t>=100%</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485E9A24">
            <w:pPr>
              <w:jc w:val="center"/>
            </w:pPr>
            <w:r>
              <w:rPr>
                <w:rFonts w:ascii="宋体" w:hAnsi="宋体" w:eastAsia="宋体"/>
                <w:sz w:val="16"/>
              </w:rPr>
              <w:t>2024年重点工作计划</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6D399679">
            <w:pPr>
              <w:jc w:val="center"/>
            </w:pPr>
            <w:r>
              <w:rPr>
                <w:rFonts w:ascii="宋体" w:hAnsi="宋体" w:eastAsia="宋体"/>
                <w:sz w:val="16"/>
              </w:rPr>
              <w:t>15</w:t>
            </w:r>
          </w:p>
        </w:tc>
        <w:tc>
          <w:tcPr>
            <w:tcW w:w="1460" w:type="dxa"/>
            <w:tcBorders>
              <w:top w:val="single" w:color="auto" w:sz="10" w:space="0"/>
              <w:left w:val="single" w:color="auto" w:sz="10" w:space="0"/>
              <w:bottom w:val="single" w:color="auto" w:sz="10" w:space="0"/>
              <w:right w:val="single" w:color="auto" w:sz="10" w:space="0"/>
              <w:insideV w:val="single" w:sz="10" w:space="0"/>
            </w:tcBorders>
            <w:vAlign w:val="center"/>
          </w:tcPr>
          <w:p w14:paraId="272D7749">
            <w:pPr>
              <w:jc w:val="center"/>
            </w:pPr>
            <w:r>
              <w:rPr>
                <w:rFonts w:ascii="宋体" w:hAnsi="宋体" w:eastAsia="宋体"/>
                <w:sz w:val="16"/>
              </w:rPr>
              <w:t>1</w:t>
            </w:r>
          </w:p>
        </w:tc>
        <w:tc>
          <w:tcPr>
            <w:tcW w:w="635" w:type="dxa"/>
            <w:tcBorders>
              <w:top w:val="single" w:color="auto" w:sz="10" w:space="0"/>
              <w:left w:val="single" w:color="auto" w:sz="10" w:space="0"/>
              <w:bottom w:val="single" w:color="auto" w:sz="10" w:space="0"/>
              <w:right w:val="single" w:color="auto" w:sz="10" w:space="0"/>
              <w:insideV w:val="single" w:sz="10" w:space="0"/>
            </w:tcBorders>
            <w:vAlign w:val="center"/>
          </w:tcPr>
          <w:p w14:paraId="16D2D4AE">
            <w:pPr>
              <w:jc w:val="center"/>
            </w:pPr>
            <w:r>
              <w:rPr>
                <w:rFonts w:ascii="宋体" w:hAnsi="宋体" w:eastAsia="宋体"/>
                <w:sz w:val="16"/>
              </w:rPr>
              <w:t>15</w:t>
            </w:r>
          </w:p>
        </w:tc>
      </w:tr>
    </w:tbl>
    <w:p w14:paraId="4A71E1E5">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D93A3C3">
        <w:tblPrEx>
          <w:tblCellMar>
            <w:top w:w="0" w:type="dxa"/>
            <w:left w:w="108" w:type="dxa"/>
            <w:bottom w:w="0" w:type="dxa"/>
            <w:right w:w="108" w:type="dxa"/>
          </w:tblCellMar>
        </w:tblPrEx>
        <w:tc>
          <w:tcPr>
            <w:tcW w:w="8848" w:type="dxa"/>
            <w:gridSpan w:val="14"/>
            <w:vAlign w:val="center"/>
          </w:tcPr>
          <w:p w14:paraId="5CDC43FD">
            <w:pPr>
              <w:jc w:val="center"/>
            </w:pPr>
            <w:r>
              <w:rPr>
                <w:rFonts w:ascii="宋体" w:hAnsi="宋体" w:eastAsia="宋体"/>
                <w:sz w:val="24"/>
              </w:rPr>
              <w:t>项目支出绩效自评表</w:t>
            </w:r>
          </w:p>
        </w:tc>
      </w:tr>
      <w:tr w14:paraId="4632354F">
        <w:tblPrEx>
          <w:tblCellMar>
            <w:top w:w="0" w:type="dxa"/>
            <w:left w:w="108" w:type="dxa"/>
            <w:bottom w:w="0" w:type="dxa"/>
            <w:right w:w="108" w:type="dxa"/>
          </w:tblCellMar>
        </w:tblPrEx>
        <w:tc>
          <w:tcPr>
            <w:tcW w:w="8848" w:type="dxa"/>
            <w:gridSpan w:val="14"/>
            <w:vAlign w:val="center"/>
          </w:tcPr>
          <w:p w14:paraId="218A4706">
            <w:pPr>
              <w:jc w:val="center"/>
            </w:pPr>
            <w:r>
              <w:rPr>
                <w:rFonts w:ascii="宋体" w:hAnsi="宋体" w:eastAsia="宋体"/>
                <w:sz w:val="24"/>
              </w:rPr>
              <w:t>(2024年度)</w:t>
            </w:r>
          </w:p>
        </w:tc>
      </w:tr>
      <w:tr w14:paraId="5DFCBC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51FD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90A5C7">
            <w:pPr>
              <w:jc w:val="center"/>
            </w:pPr>
            <w:r>
              <w:rPr>
                <w:rFonts w:ascii="宋体" w:hAnsi="宋体" w:eastAsia="宋体"/>
                <w:sz w:val="16"/>
              </w:rPr>
              <w:t>2024年基本工资</w:t>
            </w:r>
            <w:r>
              <w:rPr>
                <w:rFonts w:hint="eastAsia" w:ascii="宋体" w:hAnsi="宋体"/>
                <w:sz w:val="16"/>
                <w:lang w:eastAsia="zh-CN"/>
              </w:rPr>
              <w:t>2%</w:t>
            </w:r>
            <w:r>
              <w:rPr>
                <w:rFonts w:ascii="宋体" w:hAnsi="宋体" w:eastAsia="宋体"/>
                <w:sz w:val="16"/>
              </w:rPr>
              <w:t>用于培训费</w:t>
            </w:r>
          </w:p>
        </w:tc>
      </w:tr>
      <w:tr w14:paraId="284F53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4609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719601">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D85E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FB0807">
            <w:pPr>
              <w:jc w:val="center"/>
            </w:pPr>
            <w:r>
              <w:rPr>
                <w:rFonts w:ascii="宋体" w:hAnsi="宋体" w:eastAsia="宋体"/>
                <w:sz w:val="16"/>
              </w:rPr>
              <w:t>裕民县察汗托海牧场中心小学</w:t>
            </w:r>
          </w:p>
        </w:tc>
      </w:tr>
      <w:tr w14:paraId="0F93DF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71F2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89E4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99E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4809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4F24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A8C0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B10E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9F0A1">
            <w:pPr>
              <w:jc w:val="center"/>
            </w:pPr>
            <w:r>
              <w:rPr>
                <w:rFonts w:ascii="宋体" w:hAnsi="宋体" w:eastAsia="宋体"/>
                <w:sz w:val="16"/>
              </w:rPr>
              <w:t>得分</w:t>
            </w:r>
          </w:p>
        </w:tc>
      </w:tr>
      <w:tr w14:paraId="60825A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89B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E8E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D1321">
            <w:pPr>
              <w:jc w:val="center"/>
            </w:pPr>
            <w:r>
              <w:rPr>
                <w:rFonts w:ascii="宋体" w:hAnsi="宋体" w:eastAsia="宋体"/>
                <w:sz w:val="16"/>
              </w:rPr>
              <w:t>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AF7C4">
            <w:pPr>
              <w:jc w:val="center"/>
            </w:pPr>
            <w:r>
              <w:rPr>
                <w:rFonts w:ascii="宋体" w:hAnsi="宋体" w:eastAsia="宋体"/>
                <w:sz w:val="16"/>
              </w:rPr>
              <w:t>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1E691">
            <w:pPr>
              <w:jc w:val="center"/>
            </w:pPr>
            <w:r>
              <w:rPr>
                <w:rFonts w:ascii="宋体" w:hAnsi="宋体" w:eastAsia="宋体"/>
                <w:sz w:val="16"/>
              </w:rPr>
              <w:t>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BB9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1234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12264">
            <w:pPr>
              <w:jc w:val="center"/>
            </w:pPr>
            <w:r>
              <w:rPr>
                <w:rFonts w:ascii="宋体" w:hAnsi="宋体" w:eastAsia="宋体"/>
                <w:sz w:val="16"/>
              </w:rPr>
              <w:t>10.00</w:t>
            </w:r>
          </w:p>
        </w:tc>
      </w:tr>
      <w:tr w14:paraId="4B8391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218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CF38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219EA">
            <w:pPr>
              <w:jc w:val="center"/>
            </w:pPr>
            <w:r>
              <w:rPr>
                <w:rFonts w:ascii="宋体" w:hAnsi="宋体" w:eastAsia="宋体"/>
                <w:sz w:val="16"/>
              </w:rPr>
              <w:t>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B2A7E">
            <w:pPr>
              <w:jc w:val="center"/>
            </w:pPr>
            <w:r>
              <w:rPr>
                <w:rFonts w:ascii="宋体" w:hAnsi="宋体" w:eastAsia="宋体"/>
                <w:sz w:val="16"/>
              </w:rPr>
              <w:t>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D3E03">
            <w:pPr>
              <w:jc w:val="center"/>
            </w:pPr>
            <w:r>
              <w:rPr>
                <w:rFonts w:ascii="宋体" w:hAnsi="宋体" w:eastAsia="宋体"/>
                <w:sz w:val="16"/>
              </w:rPr>
              <w:t>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FC1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A11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6DFF8">
            <w:pPr>
              <w:jc w:val="center"/>
            </w:pPr>
            <w:r>
              <w:rPr>
                <w:rFonts w:ascii="宋体" w:hAnsi="宋体" w:eastAsia="宋体"/>
                <w:sz w:val="16"/>
              </w:rPr>
              <w:t>—</w:t>
            </w:r>
          </w:p>
        </w:tc>
      </w:tr>
      <w:tr w14:paraId="2E155C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1ED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92D7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869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574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E2F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8FF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6D3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8D127">
            <w:pPr>
              <w:jc w:val="center"/>
            </w:pPr>
            <w:r>
              <w:rPr>
                <w:rFonts w:ascii="宋体" w:hAnsi="宋体" w:eastAsia="宋体"/>
                <w:sz w:val="16"/>
              </w:rPr>
              <w:t>—</w:t>
            </w:r>
          </w:p>
        </w:tc>
      </w:tr>
      <w:tr w14:paraId="666E5C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83AD5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8B009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467A67">
            <w:pPr>
              <w:jc w:val="center"/>
            </w:pPr>
            <w:r>
              <w:rPr>
                <w:rFonts w:ascii="宋体" w:hAnsi="宋体" w:eastAsia="宋体"/>
                <w:sz w:val="16"/>
              </w:rPr>
              <w:t>实际完成情况</w:t>
            </w:r>
          </w:p>
        </w:tc>
      </w:tr>
      <w:tr w14:paraId="0BE2E7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1E41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9B3672">
            <w:pPr>
              <w:jc w:val="both"/>
            </w:pPr>
            <w:r>
              <w:rPr>
                <w:rFonts w:ascii="宋体" w:hAnsi="宋体" w:eastAsia="宋体"/>
                <w:sz w:val="16"/>
              </w:rPr>
              <w:t>2024年裕民县教育系统教师基本工资的2%用于教师继续教育培训经费项目，计划教职工培训2次，培训人数20人，培训人员出勤率和培训合格率需达到100%。培训经费0.4731万元极大</w:t>
            </w:r>
            <w:r>
              <w:rPr>
                <w:rFonts w:hint="eastAsia" w:ascii="宋体" w:hAnsi="宋体"/>
                <w:sz w:val="16"/>
                <w:lang w:eastAsia="zh-CN"/>
              </w:rPr>
              <w:t>地</w:t>
            </w:r>
            <w:r>
              <w:rPr>
                <w:rFonts w:ascii="宋体" w:hAnsi="宋体" w:eastAsia="宋体"/>
                <w:sz w:val="16"/>
              </w:rPr>
              <w:t>改善和优化农村学校的办学条件，提高教职工整体素质，达到提高教育教学水平提升，推动学校可持续发展目的。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3E3575">
            <w:pPr>
              <w:jc w:val="both"/>
            </w:pPr>
            <w:r>
              <w:rPr>
                <w:rFonts w:ascii="宋体" w:hAnsi="宋体" w:eastAsia="宋体"/>
                <w:sz w:val="16"/>
              </w:rPr>
              <w:t>裕民县教育系统教师基本工资的2%用于教师继续教育培训经费项目，2024年教职工培训批次2次，培训人数合计20人次，外出培训人员和线上培训人员出勤率和培训合格率达到100%。通过培训经费项目的实施提高教职工整体素质，极大</w:t>
            </w:r>
            <w:r>
              <w:rPr>
                <w:rFonts w:hint="eastAsia" w:ascii="宋体" w:hAnsi="宋体"/>
                <w:sz w:val="16"/>
                <w:lang w:eastAsia="zh-CN"/>
              </w:rPr>
              <w:t>地</w:t>
            </w:r>
            <w:r>
              <w:rPr>
                <w:rFonts w:ascii="宋体" w:hAnsi="宋体" w:eastAsia="宋体"/>
                <w:sz w:val="16"/>
              </w:rPr>
              <w:t>改善和优化农村学校的办学条件，达到提高教育教学水平提升，推动学校可持续发展目的。</w:t>
            </w:r>
          </w:p>
        </w:tc>
      </w:tr>
      <w:tr w14:paraId="49320F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F72C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74D6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392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5AAB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ED8D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B61A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A0D7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9C5D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424D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BFEE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2202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D5AC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18D7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DBF71">
            <w:pPr>
              <w:jc w:val="center"/>
            </w:pPr>
            <w:r>
              <w:rPr>
                <w:rFonts w:ascii="宋体" w:hAnsi="宋体" w:eastAsia="宋体"/>
                <w:sz w:val="16"/>
              </w:rPr>
              <w:t>偏差原因分析及改进措施</w:t>
            </w:r>
          </w:p>
        </w:tc>
      </w:tr>
      <w:tr w14:paraId="2D5E59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69F5F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A0D3E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487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808CD">
            <w:pPr>
              <w:jc w:val="center"/>
            </w:pPr>
            <w:r>
              <w:rPr>
                <w:rFonts w:ascii="宋体" w:hAnsi="宋体" w:eastAsia="宋体"/>
                <w:sz w:val="16"/>
              </w:rPr>
              <w:t>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E0144">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0E7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3AB5A">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AAD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186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339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4D080">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93D0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260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6EFD1">
            <w:pPr>
              <w:jc w:val="center"/>
            </w:pPr>
          </w:p>
        </w:tc>
      </w:tr>
      <w:tr w14:paraId="4E6A9A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3B9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441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192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C5BC7">
            <w:pPr>
              <w:jc w:val="center"/>
            </w:pPr>
            <w:r>
              <w:rPr>
                <w:rFonts w:ascii="宋体" w:hAnsi="宋体" w:eastAsia="宋体"/>
                <w:sz w:val="16"/>
              </w:rPr>
              <w:t>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DBCD7">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DCA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3603D">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2EB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D65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769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8A28E">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90D3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3C6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FCCC0">
            <w:pPr>
              <w:jc w:val="center"/>
            </w:pPr>
          </w:p>
        </w:tc>
      </w:tr>
      <w:tr w14:paraId="1CF18C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DC6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E4B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72B6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14B73">
            <w:pPr>
              <w:jc w:val="center"/>
            </w:pPr>
            <w:r>
              <w:rPr>
                <w:rFonts w:ascii="宋体" w:hAnsi="宋体" w:eastAsia="宋体"/>
                <w:sz w:val="16"/>
              </w:rPr>
              <w:t>人员培训出勤率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0C4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62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93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E74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54E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9B7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5004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5A2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5072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75D9">
            <w:pPr>
              <w:jc w:val="center"/>
            </w:pPr>
          </w:p>
        </w:tc>
      </w:tr>
      <w:tr w14:paraId="6BE5CF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D1E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9A7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511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2D60E">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64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696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A73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24DF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15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15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881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03E9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DB7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C4274">
            <w:pPr>
              <w:jc w:val="center"/>
            </w:pPr>
          </w:p>
        </w:tc>
      </w:tr>
      <w:tr w14:paraId="2FDD42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F7B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704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552C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41482">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3E7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87E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F40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157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EE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D71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220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BF44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12E6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ED5B">
            <w:pPr>
              <w:jc w:val="center"/>
            </w:pPr>
          </w:p>
        </w:tc>
      </w:tr>
      <w:tr w14:paraId="6F46C2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549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E82D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DD3B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483E">
            <w:pPr>
              <w:jc w:val="center"/>
            </w:pPr>
            <w:r>
              <w:rPr>
                <w:rFonts w:ascii="宋体" w:hAnsi="宋体" w:eastAsia="宋体"/>
                <w:sz w:val="16"/>
              </w:rPr>
              <w:t>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B22A3">
            <w:pPr>
              <w:jc w:val="center"/>
            </w:pPr>
            <w:r>
              <w:rPr>
                <w:rFonts w:ascii="宋体" w:hAnsi="宋体" w:eastAsia="宋体"/>
                <w:sz w:val="16"/>
              </w:rPr>
              <w:t>&lt;=0.47万元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E14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AEA45">
            <w:pPr>
              <w:jc w:val="center"/>
            </w:pPr>
            <w:r>
              <w:rPr>
                <w:rFonts w:ascii="宋体" w:hAnsi="宋体" w:eastAsia="宋体"/>
                <w:sz w:val="16"/>
              </w:rPr>
              <w:t>0.08万元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770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763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0B1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F5A48">
            <w:pPr>
              <w:jc w:val="center"/>
            </w:pPr>
            <w:r>
              <w:rPr>
                <w:rFonts w:ascii="宋体" w:hAnsi="宋体" w:eastAsia="宋体"/>
                <w:sz w:val="16"/>
              </w:rPr>
              <w:t>0.47万元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8B7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0F68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7BF2C">
            <w:pPr>
              <w:jc w:val="center"/>
            </w:pPr>
          </w:p>
        </w:tc>
      </w:tr>
      <w:tr w14:paraId="401DE5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9F4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BC2E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12ED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B7EBA">
            <w:pPr>
              <w:jc w:val="center"/>
            </w:pPr>
            <w:r>
              <w:rPr>
                <w:rFonts w:ascii="宋体" w:hAnsi="宋体" w:eastAsia="宋体"/>
                <w:sz w:val="16"/>
              </w:rPr>
              <w:t>提高教职工整体素质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1D0D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B3D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D940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5377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3BC7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EDB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85DA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7C65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63D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B9B11">
            <w:pPr>
              <w:jc w:val="center"/>
            </w:pPr>
          </w:p>
        </w:tc>
      </w:tr>
      <w:tr w14:paraId="330CFB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8B9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4D3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2EC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FA52F">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31F0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4B4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64D7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A8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3CC0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A06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CD12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911D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679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8692D">
            <w:pPr>
              <w:jc w:val="center"/>
            </w:pPr>
          </w:p>
        </w:tc>
      </w:tr>
      <w:tr w14:paraId="2F8DC56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DCF57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17728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7557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C28A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8B6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3214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1324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EC0A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116C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1564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001A3D"/>
        </w:tc>
      </w:tr>
    </w:tbl>
    <w:p w14:paraId="0807CD43">
      <w:r>
        <w:br w:type="page"/>
      </w:r>
    </w:p>
    <w:p w14:paraId="31EB8A17">
      <w:pPr>
        <w:spacing w:line="640" w:lineRule="exact"/>
        <w:ind w:firstLine="640"/>
        <w:jc w:val="both"/>
        <w:outlineLvl w:val="2"/>
      </w:pPr>
      <w:r>
        <w:rPr>
          <w:rFonts w:ascii="黑体" w:hAnsi="黑体" w:eastAsia="黑体"/>
          <w:sz w:val="32"/>
        </w:rPr>
        <w:t>十二、其他需说明的事项</w:t>
      </w:r>
    </w:p>
    <w:p w14:paraId="4A98D95D">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31926E3E">
      <w:r>
        <w:br w:type="page"/>
      </w:r>
    </w:p>
    <w:p w14:paraId="5D179EB1">
      <w:pPr>
        <w:spacing w:line="240" w:lineRule="auto"/>
        <w:jc w:val="center"/>
        <w:outlineLvl w:val="1"/>
      </w:pPr>
      <w:r>
        <w:rPr>
          <w:rFonts w:ascii="黑体" w:hAnsi="黑体" w:eastAsia="黑体"/>
          <w:sz w:val="32"/>
        </w:rPr>
        <w:t>第三部分 专业名词解释</w:t>
      </w:r>
    </w:p>
    <w:p w14:paraId="513F624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1EE267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DE0E0A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3D7E73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EC6FE6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A20EF1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F86978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65EF27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5FE69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51FFC6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914035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529EB7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B2E721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83C26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40BE9FD">
      <w:r>
        <w:br w:type="page"/>
      </w:r>
    </w:p>
    <w:p w14:paraId="0C527A08">
      <w:pPr>
        <w:spacing w:line="240" w:lineRule="auto"/>
        <w:jc w:val="center"/>
        <w:outlineLvl w:val="1"/>
      </w:pPr>
      <w:r>
        <w:rPr>
          <w:rFonts w:ascii="黑体" w:hAnsi="黑体" w:eastAsia="黑体"/>
          <w:sz w:val="32"/>
        </w:rPr>
        <w:t>第四部分 部门决算报表（见附表）</w:t>
      </w:r>
    </w:p>
    <w:p w14:paraId="2A802CE6">
      <w:pPr>
        <w:spacing w:line="240" w:lineRule="auto"/>
        <w:ind w:firstLine="640"/>
        <w:jc w:val="both"/>
      </w:pPr>
      <w:r>
        <w:rPr>
          <w:rFonts w:ascii="仿宋_GB2312" w:hAnsi="仿宋_GB2312" w:eastAsia="仿宋_GB2312"/>
          <w:b w:val="0"/>
          <w:sz w:val="32"/>
        </w:rPr>
        <w:t>一、《收入支出决算总表》</w:t>
      </w:r>
    </w:p>
    <w:p w14:paraId="74FC3185">
      <w:pPr>
        <w:spacing w:line="240" w:lineRule="auto"/>
        <w:ind w:firstLine="640"/>
        <w:jc w:val="both"/>
      </w:pPr>
      <w:r>
        <w:rPr>
          <w:rFonts w:ascii="仿宋_GB2312" w:hAnsi="仿宋_GB2312" w:eastAsia="仿宋_GB2312"/>
          <w:b w:val="0"/>
          <w:sz w:val="32"/>
        </w:rPr>
        <w:t>二、《收入决算表》</w:t>
      </w:r>
    </w:p>
    <w:p w14:paraId="076590E8">
      <w:pPr>
        <w:spacing w:line="240" w:lineRule="auto"/>
        <w:ind w:firstLine="640"/>
        <w:jc w:val="both"/>
      </w:pPr>
      <w:r>
        <w:rPr>
          <w:rFonts w:ascii="仿宋_GB2312" w:hAnsi="仿宋_GB2312" w:eastAsia="仿宋_GB2312"/>
          <w:b w:val="0"/>
          <w:sz w:val="32"/>
        </w:rPr>
        <w:t>三、《支出决算表》</w:t>
      </w:r>
    </w:p>
    <w:p w14:paraId="73097C71">
      <w:pPr>
        <w:spacing w:line="240" w:lineRule="auto"/>
        <w:ind w:firstLine="640"/>
        <w:jc w:val="both"/>
      </w:pPr>
      <w:r>
        <w:rPr>
          <w:rFonts w:ascii="仿宋_GB2312" w:hAnsi="仿宋_GB2312" w:eastAsia="仿宋_GB2312"/>
          <w:b w:val="0"/>
          <w:sz w:val="32"/>
        </w:rPr>
        <w:t>四、《财政拨款收入支出决算总表》</w:t>
      </w:r>
    </w:p>
    <w:p w14:paraId="0E11753F">
      <w:pPr>
        <w:spacing w:line="240" w:lineRule="auto"/>
        <w:ind w:firstLine="640"/>
        <w:jc w:val="both"/>
      </w:pPr>
      <w:r>
        <w:rPr>
          <w:rFonts w:ascii="仿宋_GB2312" w:hAnsi="仿宋_GB2312" w:eastAsia="仿宋_GB2312"/>
          <w:b w:val="0"/>
          <w:sz w:val="32"/>
        </w:rPr>
        <w:t>五、《一般公共预算财政拨款支出决算表》</w:t>
      </w:r>
    </w:p>
    <w:p w14:paraId="04EBAF82">
      <w:pPr>
        <w:spacing w:line="240" w:lineRule="auto"/>
        <w:ind w:firstLine="640"/>
        <w:jc w:val="both"/>
      </w:pPr>
      <w:r>
        <w:rPr>
          <w:rFonts w:ascii="仿宋_GB2312" w:hAnsi="仿宋_GB2312" w:eastAsia="仿宋_GB2312"/>
          <w:b w:val="0"/>
          <w:sz w:val="32"/>
        </w:rPr>
        <w:t>六、《一般公共预算财政拨款基本支出决算表》</w:t>
      </w:r>
    </w:p>
    <w:p w14:paraId="4C5FE619">
      <w:pPr>
        <w:spacing w:line="240" w:lineRule="auto"/>
        <w:ind w:firstLine="640"/>
        <w:jc w:val="both"/>
      </w:pPr>
      <w:r>
        <w:rPr>
          <w:rFonts w:ascii="仿宋_GB2312" w:hAnsi="仿宋_GB2312" w:eastAsia="仿宋_GB2312"/>
          <w:b w:val="0"/>
          <w:sz w:val="32"/>
        </w:rPr>
        <w:t>七、《政府性基金预算财政拨款收入支出决算表》</w:t>
      </w:r>
    </w:p>
    <w:p w14:paraId="46925806">
      <w:pPr>
        <w:spacing w:line="240" w:lineRule="auto"/>
        <w:ind w:firstLine="640"/>
        <w:jc w:val="both"/>
      </w:pPr>
      <w:r>
        <w:rPr>
          <w:rFonts w:ascii="仿宋_GB2312" w:hAnsi="仿宋_GB2312" w:eastAsia="仿宋_GB2312"/>
          <w:b w:val="0"/>
          <w:sz w:val="32"/>
        </w:rPr>
        <w:t>八、《国有资本经营预算财政拨款收入支出决算表》</w:t>
      </w:r>
    </w:p>
    <w:p w14:paraId="1CFFED48">
      <w:pPr>
        <w:spacing w:line="240" w:lineRule="auto"/>
        <w:ind w:firstLine="640"/>
        <w:jc w:val="both"/>
      </w:pPr>
      <w:r>
        <w:rPr>
          <w:rFonts w:ascii="仿宋_GB2312" w:hAnsi="仿宋_GB2312" w:eastAsia="仿宋_GB2312"/>
          <w:b w:val="0"/>
          <w:sz w:val="32"/>
        </w:rPr>
        <w:t>九、《财政拨款“三公”经费支出决算表》</w:t>
      </w:r>
    </w:p>
    <w:p w14:paraId="5834CE09">
      <w:pPr>
        <w:spacing w:line="240" w:lineRule="auto"/>
        <w:ind w:firstLine="640"/>
        <w:jc w:val="both"/>
      </w:pPr>
    </w:p>
    <w:p w14:paraId="5FA36CAD">
      <w:pPr>
        <w:spacing w:line="240" w:lineRule="auto"/>
        <w:ind w:firstLine="640"/>
        <w:jc w:val="both"/>
      </w:pPr>
    </w:p>
    <w:p w14:paraId="0E81C934">
      <w:pPr>
        <w:spacing w:line="240" w:lineRule="auto"/>
        <w:ind w:firstLine="640"/>
        <w:jc w:val="both"/>
      </w:pPr>
    </w:p>
    <w:p w14:paraId="0840F403">
      <w:pPr>
        <w:spacing w:line="240" w:lineRule="auto"/>
        <w:ind w:firstLine="640"/>
        <w:jc w:val="both"/>
      </w:pPr>
    </w:p>
    <w:p w14:paraId="3DBAE2C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9278119-632A-485F-ABE3-463E73D8C94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5C52907-898B-4A1A-82B8-B728E982DA3F}"/>
  </w:font>
  <w:font w:name="仿宋_GB2312">
    <w:altName w:val="仿宋"/>
    <w:panose1 w:val="02010609030101010101"/>
    <w:charset w:val="86"/>
    <w:family w:val="modern"/>
    <w:pitch w:val="default"/>
    <w:sig w:usb0="00000000" w:usb1="00000000" w:usb2="00000000" w:usb3="00000000" w:csb0="00040000" w:csb1="00000000"/>
    <w:embedRegular r:id="rId3" w:fontKey="{71AFDBE5-BA82-4C9F-A326-4D72DA8E0ADB}"/>
  </w:font>
  <w:font w:name="楷体_GB2312">
    <w:altName w:val="楷体"/>
    <w:panose1 w:val="02010609030101010101"/>
    <w:charset w:val="86"/>
    <w:family w:val="auto"/>
    <w:pitch w:val="default"/>
    <w:sig w:usb0="00000000" w:usb1="00000000" w:usb2="00000000" w:usb3="00000000" w:csb0="00040000" w:csb1="00000000"/>
    <w:embedRegular r:id="rId4" w:fontKey="{630F65E7-118E-44C5-BA20-1DCBA96E30ED}"/>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481F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23C2A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723C2A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768E6"/>
    <w:rsid w:val="0B8C3ECC"/>
    <w:rsid w:val="0C3613A3"/>
    <w:rsid w:val="0C7227A7"/>
    <w:rsid w:val="0DCA6EF7"/>
    <w:rsid w:val="0E4B1576"/>
    <w:rsid w:val="0EA04331"/>
    <w:rsid w:val="0F9811B3"/>
    <w:rsid w:val="10252DB8"/>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DE799C"/>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B8001E0"/>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20038E"/>
    <w:rsid w:val="6CA7198F"/>
    <w:rsid w:val="6D8919A8"/>
    <w:rsid w:val="6E0F7A08"/>
    <w:rsid w:val="6E801ABC"/>
    <w:rsid w:val="71473612"/>
    <w:rsid w:val="718F7F65"/>
    <w:rsid w:val="73423603"/>
    <w:rsid w:val="737A5923"/>
    <w:rsid w:val="738642C8"/>
    <w:rsid w:val="73DE4104"/>
    <w:rsid w:val="73FB6630"/>
    <w:rsid w:val="74CE04EC"/>
    <w:rsid w:val="74E76DCD"/>
    <w:rsid w:val="76660D7C"/>
    <w:rsid w:val="76F1686A"/>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fac6a11b-4c06-46c3-92e0-a89dd987912a</errorID>
      <errorWord>2月31日</errorWord>
      <group>L1_Sensitive</group>
      <groupName>敏感问题</groupName>
      <ability>L2_UserSensitive</ability>
      <abilityName>自定义敏感词</abilityName>
      <candidateList/>
      <explain>来自自定义敏感词库。</explain>
      <paraID>188357BF</paraID>
      <start>8</start>
      <end>13</end>
      <status>unmodified</status>
      <modifiedWord/>
      <trackRevisions>false</trackRevisions>
    </reviewItem>
    <reviewItem>
      <errorID>8b073bec-fd63-4175-8dee-7df9445c0707</errorID>
      <errorWord>力</errorWord>
      <group>L1_Word</group>
      <groupName>字词问题</groupName>
      <ability>L2_Typo</ability>
      <abilityName>字词错误</abilityName>
      <candidateList>
        <item>力和</item>
      </candidateList>
      <explain/>
      <paraID>5035695A</paraID>
      <start>37</start>
      <end>39</end>
      <status>modified</status>
      <modifiedWord>力和</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a7f55-ba3b-4265-835f-9d4a2a722a0d}">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6864</Words>
  <Characters>7816</Characters>
  <Lines>0</Lines>
  <Paragraphs>0</Paragraphs>
  <TotalTime>6</TotalTime>
  <ScaleCrop>false</ScaleCrop>
  <LinksUpToDate>false</LinksUpToDate>
  <CharactersWithSpaces>7831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2025-11-07T08:47:30Z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