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A9DFA"/>
    <w:p w14:paraId="12B5B5C1"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bookmarkStart w:id="0" w:name="br1"/>
      <w:bookmarkEnd w:id="0"/>
      <w:r>
        <w:rPr>
          <w:rFonts w:ascii="Arial" w:hAnsi="Calibri"/>
          <w:color w:val="FF0000"/>
          <w:sz w:val="2"/>
          <w:szCs w:val="22"/>
          <w:lang w:val="en-US" w:eastAsia="en-US" w:bidi="ar-SA"/>
        </w:rPr>
        <w:t xml:space="preserve"> </w:t>
      </w:r>
    </w:p>
    <w:p w14:paraId="3EAF81A8">
      <w:pPr>
        <w:framePr w:w="8786" w:wrap="around" w:vAnchor="margin" w:hAnchor="text" w:x="1800" w:y="3616"/>
        <w:widowControl w:val="0"/>
        <w:autoSpaceDE w:val="0"/>
        <w:autoSpaceDN w:val="0"/>
        <w:spacing w:line="523" w:lineRule="exact"/>
        <w:rPr>
          <w:rFonts w:hAnsi="Calibri"/>
          <w:color w:val="000000"/>
          <w:sz w:val="44"/>
          <w:szCs w:val="22"/>
          <w:lang w:val="en-US" w:eastAsia="en-US" w:bidi="ar-SA"/>
        </w:rPr>
      </w:pPr>
      <w:r>
        <w:rPr>
          <w:rFonts w:ascii="JRLRNU+FZXBSJW--GB1-0" w:hAnsi="JRLRNU+FZXBSJW--GB1-0" w:cs="JRLRNU+FZXBSJW--GB1-0"/>
          <w:color w:val="000000"/>
          <w:sz w:val="44"/>
          <w:szCs w:val="22"/>
          <w:lang w:val="en-US" w:eastAsia="en-US" w:bidi="ar-SA"/>
        </w:rPr>
        <w:t>裕民县审计局</w:t>
      </w:r>
      <w:r>
        <w:rPr>
          <w:rFonts w:hAnsi="Calibri"/>
          <w:color w:val="000000"/>
          <w:spacing w:val="-17"/>
          <w:sz w:val="44"/>
          <w:szCs w:val="22"/>
          <w:lang w:val="en-US" w:eastAsia="en-US" w:bidi="ar-SA"/>
        </w:rPr>
        <w:t xml:space="preserve"> </w:t>
      </w:r>
      <w:r>
        <w:rPr>
          <w:rFonts w:ascii="JRLRNU+FZXBSJW--GB1-0" w:hAnsi="Calibri"/>
          <w:color w:val="000000"/>
          <w:sz w:val="44"/>
          <w:szCs w:val="22"/>
          <w:lang w:val="en-US" w:eastAsia="en-US" w:bidi="ar-SA"/>
        </w:rPr>
        <w:t>2024</w:t>
      </w:r>
      <w:r>
        <w:rPr>
          <w:rFonts w:hAnsi="Calibri"/>
          <w:color w:val="000000"/>
          <w:spacing w:val="-16"/>
          <w:sz w:val="44"/>
          <w:szCs w:val="22"/>
          <w:lang w:val="en-US" w:eastAsia="en-US" w:bidi="ar-SA"/>
        </w:rPr>
        <w:t xml:space="preserve"> </w:t>
      </w:r>
      <w:r>
        <w:rPr>
          <w:rFonts w:ascii="JRLRNU+FZXBSJW--GB1-0" w:hAnsi="JRLRNU+FZXBSJW--GB1-0" w:cs="JRLRNU+FZXBSJW--GB1-0"/>
          <w:color w:val="000000"/>
          <w:sz w:val="44"/>
          <w:szCs w:val="22"/>
          <w:lang w:val="en-US" w:eastAsia="en-US" w:bidi="ar-SA"/>
        </w:rPr>
        <w:t>年度乡村振兴专项审计经</w:t>
      </w:r>
    </w:p>
    <w:p w14:paraId="25942A18">
      <w:pPr>
        <w:framePr w:w="8786" w:wrap="around" w:vAnchor="margin" w:hAnchor="text" w:x="1800" w:y="3616"/>
        <w:widowControl w:val="0"/>
        <w:autoSpaceDE w:val="0"/>
        <w:autoSpaceDN w:val="0"/>
        <w:spacing w:before="17" w:line="523" w:lineRule="exact"/>
        <w:ind w:left="1853"/>
        <w:rPr>
          <w:rFonts w:hAnsi="Calibri"/>
          <w:color w:val="000000"/>
          <w:sz w:val="44"/>
          <w:szCs w:val="22"/>
          <w:lang w:val="en-US" w:eastAsia="en-US" w:bidi="ar-SA"/>
        </w:rPr>
      </w:pPr>
      <w:r>
        <w:rPr>
          <w:rFonts w:ascii="JRLRNU+FZXBSJW--GB1-0" w:hAnsi="JRLRNU+FZXBSJW--GB1-0" w:cs="JRLRNU+FZXBSJW--GB1-0"/>
          <w:color w:val="000000"/>
          <w:sz w:val="44"/>
          <w:szCs w:val="22"/>
          <w:lang w:val="en-US" w:eastAsia="en-US" w:bidi="ar-SA"/>
        </w:rPr>
        <w:t>费项目支出绩效评价报告</w:t>
      </w:r>
    </w:p>
    <w:p w14:paraId="649419F8">
      <w:pPr>
        <w:framePr w:w="2491" w:wrap="around" w:vAnchor="margin" w:hAnchor="text" w:x="4949" w:y="5326"/>
        <w:widowControl w:val="0"/>
        <w:autoSpaceDE w:val="0"/>
        <w:autoSpaceDN w:val="0"/>
        <w:spacing w:line="375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（</w:t>
      </w:r>
      <w:r>
        <w:rPr>
          <w:rFonts w:ascii="HDNPPF+TimesNewRomanPSMT" w:hAnsi="Calibri"/>
          <w:color w:val="000000"/>
          <w:sz w:val="36"/>
          <w:szCs w:val="22"/>
          <w:lang w:val="en-US" w:eastAsia="en-US" w:bidi="ar-SA"/>
        </w:rPr>
        <w:t>2024</w:t>
      </w:r>
      <w:r>
        <w:rPr>
          <w:rFonts w:hAnsi="Calibri"/>
          <w:color w:val="000000"/>
          <w:spacing w:val="1"/>
          <w:sz w:val="36"/>
          <w:szCs w:val="22"/>
          <w:lang w:val="en-US" w:eastAsia="en-US" w:bidi="ar-SA"/>
        </w:rPr>
        <w:t xml:space="preserve"> </w:t>
      </w: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年度）</w:t>
      </w:r>
    </w:p>
    <w:p w14:paraId="1604F80C">
      <w:pPr>
        <w:framePr w:w="7351" w:wrap="around" w:vAnchor="margin" w:hAnchor="text" w:x="3235" w:y="9581"/>
        <w:widowControl w:val="0"/>
        <w:autoSpaceDE w:val="0"/>
        <w:autoSpaceDN w:val="0"/>
        <w:spacing w:line="375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IFGICI+FangSong_GB2312" w:hAnsi="IFGICI+FangSong_GB2312" w:cs="IFGICI+FangSong_GB2312"/>
          <w:color w:val="000000"/>
          <w:spacing w:val="11"/>
          <w:sz w:val="36"/>
          <w:szCs w:val="22"/>
          <w:lang w:val="en-US" w:eastAsia="en-US" w:bidi="ar-SA"/>
        </w:rPr>
        <w:t>项目名称：</w:t>
      </w:r>
      <w:r>
        <w:rPr>
          <w:rFonts w:ascii="HDNPPF+TimesNewRomanPSMT" w:hAnsi="Calibri"/>
          <w:color w:val="000000"/>
          <w:sz w:val="36"/>
          <w:szCs w:val="22"/>
          <w:lang w:val="en-US" w:eastAsia="en-US" w:bidi="ar-SA"/>
        </w:rPr>
        <w:t>2024</w:t>
      </w:r>
      <w:r>
        <w:rPr>
          <w:rFonts w:hAnsi="Calibri"/>
          <w:color w:val="000000"/>
          <w:spacing w:val="11"/>
          <w:sz w:val="36"/>
          <w:szCs w:val="22"/>
          <w:lang w:val="en-US" w:eastAsia="en-US" w:bidi="ar-SA"/>
        </w:rPr>
        <w:t xml:space="preserve"> </w:t>
      </w:r>
      <w:r>
        <w:rPr>
          <w:rFonts w:ascii="IFGICI+FangSong_GB2312" w:hAnsi="IFGICI+FangSong_GB2312" w:cs="IFGICI+FangSong_GB2312"/>
          <w:color w:val="000000"/>
          <w:spacing w:val="11"/>
          <w:sz w:val="36"/>
          <w:szCs w:val="22"/>
          <w:lang w:val="en-US" w:eastAsia="en-US" w:bidi="ar-SA"/>
        </w:rPr>
        <w:t>年度乡村振兴专项审计经费</w:t>
      </w:r>
    </w:p>
    <w:p w14:paraId="642F6093">
      <w:pPr>
        <w:framePr w:w="960" w:wrap="around" w:vAnchor="margin" w:hAnchor="text" w:x="5126" w:y="10205"/>
        <w:widowControl w:val="0"/>
        <w:autoSpaceDE w:val="0"/>
        <w:autoSpaceDN w:val="0"/>
        <w:spacing w:line="360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项目</w:t>
      </w:r>
    </w:p>
    <w:p w14:paraId="0B28C6D7">
      <w:pPr>
        <w:framePr w:w="8662" w:wrap="around" w:vAnchor="margin" w:hAnchor="text" w:x="3240" w:y="10829"/>
        <w:widowControl w:val="0"/>
        <w:autoSpaceDE w:val="0"/>
        <w:autoSpaceDN w:val="0"/>
        <w:spacing w:line="360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实施单位（公章）：</w:t>
      </w:r>
      <w:r>
        <w:rPr>
          <w:rFonts w:hint="eastAsia"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裕民县审计局</w:t>
      </w:r>
    </w:p>
    <w:p w14:paraId="3C3DBB2F">
      <w:pPr>
        <w:framePr w:w="8662" w:wrap="around" w:vAnchor="margin" w:hAnchor="text" w:x="3240" w:y="11453"/>
        <w:widowControl w:val="0"/>
        <w:autoSpaceDE w:val="0"/>
        <w:autoSpaceDN w:val="0"/>
        <w:spacing w:line="360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主管部门（公章）：</w:t>
      </w:r>
      <w:r>
        <w:rPr>
          <w:rFonts w:hint="eastAsia"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裕民县审计局</w:t>
      </w:r>
    </w:p>
    <w:p w14:paraId="00D0921B">
      <w:pPr>
        <w:framePr w:w="8662" w:wrap="around" w:vAnchor="margin" w:hAnchor="text" w:x="3240" w:y="11453"/>
        <w:widowControl w:val="0"/>
        <w:autoSpaceDE w:val="0"/>
        <w:autoSpaceDN w:val="0"/>
        <w:spacing w:before="264" w:line="360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项目负责人（签章）</w:t>
      </w:r>
    </w:p>
    <w:p w14:paraId="5CEC40B9">
      <w:pPr>
        <w:framePr w:w="4829" w:wrap="around" w:vAnchor="margin" w:hAnchor="text" w:x="3240" w:y="12821"/>
        <w:widowControl w:val="0"/>
        <w:autoSpaceDE w:val="0"/>
        <w:autoSpaceDN w:val="0"/>
        <w:spacing w:line="375" w:lineRule="exact"/>
        <w:rPr>
          <w:rFonts w:hAnsi="Calibri"/>
          <w:color w:val="000000"/>
          <w:sz w:val="36"/>
          <w:szCs w:val="22"/>
          <w:lang w:val="en-US" w:eastAsia="en-US" w:bidi="ar-SA"/>
        </w:rPr>
      </w:pP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填报时间：</w:t>
      </w:r>
      <w:r>
        <w:rPr>
          <w:rFonts w:ascii="HDNPPF+TimesNewRomanPSMT" w:hAnsi="Calibri"/>
          <w:color w:val="000000"/>
          <w:sz w:val="36"/>
          <w:szCs w:val="22"/>
          <w:lang w:val="en-US" w:eastAsia="en-US" w:bidi="ar-SA"/>
        </w:rPr>
        <w:t>2024</w:t>
      </w:r>
      <w:r>
        <w:rPr>
          <w:rFonts w:hAnsi="Calibri"/>
          <w:color w:val="000000"/>
          <w:spacing w:val="-1"/>
          <w:sz w:val="36"/>
          <w:szCs w:val="22"/>
          <w:lang w:val="en-US" w:eastAsia="en-US" w:bidi="ar-SA"/>
        </w:rPr>
        <w:t xml:space="preserve"> </w:t>
      </w: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年</w:t>
      </w:r>
      <w:r>
        <w:rPr>
          <w:rFonts w:hAnsi="Calibri"/>
          <w:color w:val="000000"/>
          <w:spacing w:val="1"/>
          <w:sz w:val="36"/>
          <w:szCs w:val="22"/>
          <w:lang w:val="en-US" w:eastAsia="en-US" w:bidi="ar-SA"/>
        </w:rPr>
        <w:t xml:space="preserve"> </w:t>
      </w:r>
      <w:r>
        <w:rPr>
          <w:rFonts w:ascii="HDNPPF+TimesNewRomanPSMT" w:hAnsi="Calibri"/>
          <w:color w:val="000000"/>
          <w:sz w:val="36"/>
          <w:szCs w:val="22"/>
          <w:lang w:val="en-US" w:eastAsia="en-US" w:bidi="ar-SA"/>
        </w:rPr>
        <w:t>4</w:t>
      </w:r>
      <w:r>
        <w:rPr>
          <w:rFonts w:hAnsi="Calibri"/>
          <w:color w:val="000000"/>
          <w:spacing w:val="-1"/>
          <w:sz w:val="36"/>
          <w:szCs w:val="22"/>
          <w:lang w:val="en-US" w:eastAsia="en-US" w:bidi="ar-SA"/>
        </w:rPr>
        <w:t xml:space="preserve"> </w:t>
      </w: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月</w:t>
      </w:r>
      <w:r>
        <w:rPr>
          <w:rFonts w:hAnsi="Calibri"/>
          <w:color w:val="000000"/>
          <w:spacing w:val="1"/>
          <w:sz w:val="36"/>
          <w:szCs w:val="22"/>
          <w:lang w:val="en-US" w:eastAsia="en-US" w:bidi="ar-SA"/>
        </w:rPr>
        <w:t xml:space="preserve"> </w:t>
      </w:r>
      <w:r>
        <w:rPr>
          <w:rFonts w:ascii="HDNPPF+TimesNewRomanPSMT" w:hAnsi="Calibri"/>
          <w:color w:val="000000"/>
          <w:sz w:val="36"/>
          <w:szCs w:val="22"/>
          <w:lang w:val="en-US" w:eastAsia="en-US" w:bidi="ar-SA"/>
        </w:rPr>
        <w:t>16</w:t>
      </w:r>
      <w:r>
        <w:rPr>
          <w:rFonts w:hAnsi="Calibri"/>
          <w:color w:val="000000"/>
          <w:spacing w:val="-1"/>
          <w:sz w:val="36"/>
          <w:szCs w:val="22"/>
          <w:lang w:val="en-US" w:eastAsia="en-US" w:bidi="ar-SA"/>
        </w:rPr>
        <w:t xml:space="preserve"> </w:t>
      </w:r>
      <w:r>
        <w:rPr>
          <w:rFonts w:ascii="IFGICI+FangSong_GB2312" w:hAnsi="IFGICI+FangSong_GB2312" w:cs="IFGICI+FangSong_GB2312"/>
          <w:color w:val="000000"/>
          <w:sz w:val="36"/>
          <w:szCs w:val="22"/>
          <w:lang w:val="en-US" w:eastAsia="en-US" w:bidi="ar-SA"/>
        </w:rPr>
        <w:t>日</w:t>
      </w:r>
    </w:p>
    <w:p w14:paraId="4B6D9801"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r>
        <w:pict>
          <v:shape id="_x0000_s1025" o:spid="_x0000_s1025" o:spt="75" type="#_x0000_t75" style="position:absolute;left:0pt;margin-left:325.3pt;margin-top:506.05pt;height:121.15pt;width:121.15pt;mso-position-horizontal-relative:page;mso-position-vertic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 w14:paraId="47183187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" w:name="br1_0"/>
      <w:bookmarkEnd w:id="1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66C1A427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5066727A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1AE8E78D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" w:name="br1_1"/>
      <w:bookmarkEnd w:id="2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118D972A">
      <w:pPr>
        <w:framePr w:w="2160" w:wrap="around" w:vAnchor="margin" w:hAnchor="text" w:x="2441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一、基本情况</w:t>
      </w:r>
    </w:p>
    <w:p w14:paraId="454CB81D">
      <w:pPr>
        <w:framePr w:w="2486" w:wrap="around" w:vAnchor="margin" w:hAnchor="text" w:x="2441" w:y="215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HJOKO+KaiTi_GB2312" w:hAnsi="THJOKO+KaiTi_GB2312" w:cs="THJOKO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（一）项目概况</w:t>
      </w:r>
    </w:p>
    <w:p w14:paraId="39EFAAB7">
      <w:pPr>
        <w:framePr w:w="1764" w:wrap="around" w:vAnchor="margin" w:hAnchor="text" w:x="2441" w:y="2716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OSGLQ+TimesNewRomanPS-Bold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1.</w:t>
      </w:r>
      <w:r>
        <w:rPr>
          <w:rFonts w:ascii="TIPMHD+FangSong_GB2312" w:hAnsi="TIPMHD+FangSong_GB2312" w:cs="TIPMHD+FangSong_GB2312" w:eastAsiaTheme="minorEastAsia"/>
          <w:color w:val="000000"/>
          <w:spacing w:val="2"/>
          <w:sz w:val="32"/>
          <w:szCs w:val="22"/>
          <w:lang w:val="en-US" w:eastAsia="en-US" w:bidi="ar-SA"/>
        </w:rPr>
        <w:t>项目背景</w:t>
      </w:r>
    </w:p>
    <w:p w14:paraId="16F9ED12">
      <w:pPr>
        <w:framePr w:w="8880" w:wrap="around" w:vAnchor="margin" w:hAnchor="text" w:x="1800" w:y="327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z w:val="32"/>
          <w:szCs w:val="22"/>
          <w:lang w:val="en-US" w:eastAsia="en-US" w:bidi="ar-SA"/>
        </w:rPr>
        <w:t>乡村振兴专项经费是把增加脱贫群众收入作为主攻方向，</w:t>
      </w:r>
    </w:p>
    <w:p w14:paraId="506316A2">
      <w:pPr>
        <w:framePr w:w="8880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重点聚焦政策帮扶、就业帮扶、农业经营、村集体经济发展壮</w:t>
      </w:r>
    </w:p>
    <w:p w14:paraId="1333D51A">
      <w:pPr>
        <w:framePr w:w="8880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大等相关政策落实，促进脱贫群众和检测户稳定增收，夯实脱</w:t>
      </w:r>
    </w:p>
    <w:p w14:paraId="69E2DA27">
      <w:pPr>
        <w:framePr w:w="8880" w:wrap="around" w:vAnchor="margin" w:hAnchor="text" w:x="1800" w:y="327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z w:val="32"/>
          <w:szCs w:val="22"/>
          <w:lang w:val="en-US" w:eastAsia="en-US" w:bidi="ar-SA"/>
        </w:rPr>
        <w:t>贫基础，坚决防止整村出现返贫风险。</w:t>
      </w:r>
    </w:p>
    <w:p w14:paraId="56D34033">
      <w:pPr>
        <w:keepNext w:val="0"/>
        <w:keepLines w:val="0"/>
        <w:pageBreakBefore w:val="0"/>
        <w:framePr w:w="8853" w:wrap="around" w:vAnchor="margin" w:hAnchor="text" w:x="1800" w:y="5517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19" w:lineRule="exact"/>
        <w:ind w:left="0" w:firstLine="560" w:firstLineChars="200"/>
        <w:jc w:val="both"/>
        <w:textAlignment w:val="auto"/>
        <w:rPr>
          <w:rFonts w:hAnsiTheme="minorHAnsi" w:eastAsiaTheme="minorEastAsia" w:cstheme="minorBidi"/>
          <w:color w:val="000000"/>
          <w:spacing w:val="-2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20"/>
          <w:sz w:val="32"/>
          <w:szCs w:val="22"/>
          <w:lang w:val="en-US" w:eastAsia="en-US" w:bidi="ar-SA"/>
        </w:rPr>
        <w:t>乡村振兴专项审计以习近平新时代中国特色社会主义思</w:t>
      </w:r>
    </w:p>
    <w:p w14:paraId="20F0C5D7">
      <w:pPr>
        <w:keepNext w:val="0"/>
        <w:keepLines w:val="0"/>
        <w:pageBreakBefore w:val="0"/>
        <w:framePr w:w="8853" w:wrap="around" w:vAnchor="margin" w:hAnchor="text" w:x="1800" w:y="5517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240" w:line="319" w:lineRule="exact"/>
        <w:jc w:val="both"/>
        <w:textAlignment w:val="auto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想为指导，全面贯彻党的二十大精神，深入贯彻落实习近平总</w:t>
      </w:r>
    </w:p>
    <w:p w14:paraId="587EC14A">
      <w:pPr>
        <w:keepNext w:val="0"/>
        <w:keepLines w:val="0"/>
        <w:pageBreakBefore w:val="0"/>
        <w:framePr w:w="8853" w:wrap="around" w:vAnchor="margin" w:hAnchor="text" w:x="1800" w:y="5517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243" w:line="319" w:lineRule="exact"/>
        <w:jc w:val="both"/>
        <w:textAlignment w:val="auto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z w:val="32"/>
          <w:szCs w:val="22"/>
          <w:lang w:val="en-US" w:eastAsia="en-US" w:bidi="ar-SA"/>
        </w:rPr>
        <w:t>书记在</w:t>
      </w:r>
      <w:r>
        <w:rPr>
          <w:rFonts w:hAnsiTheme="minorHAnsi" w:eastAsiaTheme="minorEastAsia" w:cstheme="minorBidi"/>
          <w:color w:val="000000"/>
          <w:spacing w:val="-24"/>
          <w:sz w:val="32"/>
          <w:szCs w:val="22"/>
          <w:lang w:val="en-US" w:eastAsia="en-US" w:bidi="ar-SA"/>
        </w:rPr>
        <w:t xml:space="preserve"> </w:t>
      </w:r>
      <w:r>
        <w:rPr>
          <w:rFonts w:ascii="TIPMHD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2022</w:t>
      </w:r>
      <w:r>
        <w:rPr>
          <w:rFonts w:hAnsiTheme="minorHAnsi" w:eastAsiaTheme="minorEastAsia" w:cstheme="minorBidi"/>
          <w:color w:val="000000"/>
          <w:spacing w:val="-24"/>
          <w:sz w:val="32"/>
          <w:szCs w:val="22"/>
          <w:lang w:val="en-US" w:eastAsia="en-US" w:bidi="ar-SA"/>
        </w:rPr>
        <w:t xml:space="preserve"> </w:t>
      </w:r>
      <w:r>
        <w:rPr>
          <w:rFonts w:ascii="TIPMHD+FangSong_GB2312" w:hAnsi="TIPMHD+FangSong_GB2312" w:cs="TIPMHD+FangSong_GB2312" w:eastAsiaTheme="minorEastAsia"/>
          <w:color w:val="000000"/>
          <w:sz w:val="32"/>
          <w:szCs w:val="22"/>
          <w:lang w:val="en-US" w:eastAsia="en-US" w:bidi="ar-SA"/>
        </w:rPr>
        <w:t>年中央农村工作会议上的重要讲话精神和</w:t>
      </w:r>
      <w:r>
        <w:rPr>
          <w:rFonts w:hAnsiTheme="minorHAnsi" w:eastAsiaTheme="minorEastAsia" w:cstheme="minorBidi"/>
          <w:color w:val="000000"/>
          <w:spacing w:val="-23"/>
          <w:sz w:val="32"/>
          <w:szCs w:val="22"/>
          <w:lang w:val="en-US" w:eastAsia="en-US" w:bidi="ar-SA"/>
        </w:rPr>
        <w:t xml:space="preserve"> </w:t>
      </w:r>
      <w:r>
        <w:rPr>
          <w:rFonts w:ascii="TIPMHD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2023</w:t>
      </w:r>
      <w:r>
        <w:rPr>
          <w:rFonts w:hAnsiTheme="minorHAnsi" w:eastAsiaTheme="minorEastAsia" w:cstheme="minorBidi"/>
          <w:color w:val="000000"/>
          <w:spacing w:val="-24"/>
          <w:sz w:val="32"/>
          <w:szCs w:val="22"/>
          <w:lang w:val="en-US" w:eastAsia="en-US" w:bidi="ar-SA"/>
        </w:rPr>
        <w:t xml:space="preserve"> </w:t>
      </w:r>
      <w:r>
        <w:rPr>
          <w:rFonts w:ascii="TIPMHD+FangSong_GB2312" w:hAnsi="TIPMHD+FangSong_GB2312" w:cs="TIPMHD+FangSong_GB2312" w:eastAsiaTheme="minorEastAsia"/>
          <w:color w:val="000000"/>
          <w:sz w:val="32"/>
          <w:szCs w:val="22"/>
          <w:lang w:val="en-US" w:eastAsia="en-US" w:bidi="ar-SA"/>
        </w:rPr>
        <w:t>年</w:t>
      </w:r>
    </w:p>
    <w:p w14:paraId="764EEA35">
      <w:pPr>
        <w:keepNext w:val="0"/>
        <w:keepLines w:val="0"/>
        <w:pageBreakBefore w:val="0"/>
        <w:framePr w:w="8853" w:wrap="around" w:vAnchor="margin" w:hAnchor="text" w:x="1800" w:y="5517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240" w:line="319" w:lineRule="exact"/>
        <w:jc w:val="both"/>
        <w:textAlignment w:val="auto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中央一号文件精神，贯彻落实党中央、国务院关于巩固拓展脱</w:t>
      </w:r>
    </w:p>
    <w:p w14:paraId="025AAF18">
      <w:pPr>
        <w:keepNext w:val="0"/>
        <w:keepLines w:val="0"/>
        <w:pageBreakBefore w:val="0"/>
        <w:framePr w:w="8853" w:wrap="around" w:vAnchor="margin" w:hAnchor="text" w:x="1800" w:y="5517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240" w:line="319" w:lineRule="exact"/>
        <w:jc w:val="both"/>
        <w:textAlignment w:val="auto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贫攻坚成果同乡村振兴有效衔接的决策部署和自治区党委、政</w:t>
      </w:r>
    </w:p>
    <w:p w14:paraId="2B197CC8">
      <w:pPr>
        <w:keepNext w:val="0"/>
        <w:keepLines w:val="0"/>
        <w:pageBreakBefore w:val="0"/>
        <w:framePr w:w="8853" w:wrap="around" w:vAnchor="margin" w:hAnchor="text" w:x="1800" w:y="5517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243" w:line="319" w:lineRule="exact"/>
        <w:jc w:val="both"/>
        <w:textAlignment w:val="auto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3"/>
          <w:sz w:val="32"/>
          <w:szCs w:val="22"/>
          <w:lang w:val="en-US" w:eastAsia="en-US" w:bidi="ar-SA"/>
        </w:rPr>
        <w:t>府和塔城地委审计委员会的工作要求，开展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TIPMHD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TIPMHD+FangSong_GB2312" w:hAnsi="TIPMHD+FangSong_GB2312" w:cs="TIPMHD+FangSong_GB2312" w:eastAsiaTheme="minorEastAsia"/>
          <w:color w:val="000000"/>
          <w:spacing w:val="3"/>
          <w:sz w:val="32"/>
          <w:szCs w:val="22"/>
          <w:lang w:val="en-US" w:eastAsia="en-US" w:bidi="ar-SA"/>
        </w:rPr>
        <w:t>年度乡村振</w:t>
      </w:r>
    </w:p>
    <w:p w14:paraId="54BBC5FB">
      <w:pPr>
        <w:keepNext w:val="0"/>
        <w:keepLines w:val="0"/>
        <w:pageBreakBefore w:val="0"/>
        <w:framePr w:w="8853" w:wrap="around" w:vAnchor="margin" w:hAnchor="text" w:x="1800" w:y="5517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240" w:line="319" w:lineRule="exact"/>
        <w:jc w:val="both"/>
        <w:textAlignment w:val="auto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z w:val="32"/>
          <w:szCs w:val="22"/>
          <w:lang w:val="en-US" w:eastAsia="en-US" w:bidi="ar-SA"/>
        </w:rPr>
        <w:t>兴重点帮扶县相关政策落实和资金审计工作。</w:t>
      </w:r>
    </w:p>
    <w:p w14:paraId="374340DB">
      <w:pPr>
        <w:framePr w:w="8853" w:wrap="around" w:vAnchor="margin" w:hAnchor="text" w:x="1800" w:y="5517"/>
        <w:widowControl w:val="0"/>
        <w:autoSpaceDE w:val="0"/>
        <w:autoSpaceDN w:val="0"/>
        <w:spacing w:before="240" w:line="319" w:lineRule="exact"/>
        <w:ind w:left="641"/>
        <w:jc w:val="both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TIPMHD+FangSong_GB2312" w:hAnsi="TIPMHD+FangSong_GB2312" w:cs="TIPMHD+FangSong_GB2312" w:eastAsiaTheme="minorEastAsia"/>
          <w:color w:val="000000"/>
          <w:spacing w:val="7"/>
          <w:sz w:val="32"/>
          <w:szCs w:val="22"/>
          <w:lang w:val="en-US" w:eastAsia="en-US" w:bidi="ar-SA"/>
        </w:rPr>
        <w:t>年，裕民县审计局根据地区审计局《塔城地区进一</w:t>
      </w:r>
    </w:p>
    <w:p w14:paraId="1617835A">
      <w:pPr>
        <w:framePr w:w="8853" w:wrap="around" w:vAnchor="margin" w:hAnchor="text" w:x="1800" w:y="5517"/>
        <w:widowControl w:val="0"/>
        <w:autoSpaceDE w:val="0"/>
        <w:autoSpaceDN w:val="0"/>
        <w:spacing w:before="243" w:line="319" w:lineRule="exact"/>
        <w:jc w:val="both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步优化常态化开展防止返贫动态监测和帮扶机制工作方案》文</w:t>
      </w:r>
    </w:p>
    <w:p w14:paraId="78985F6A">
      <w:pPr>
        <w:framePr w:w="8853" w:wrap="around" w:vAnchor="margin" w:hAnchor="text" w:x="1800" w:y="5517"/>
        <w:widowControl w:val="0"/>
        <w:autoSpaceDE w:val="0"/>
        <w:autoSpaceDN w:val="0"/>
        <w:spacing w:before="240" w:line="319" w:lineRule="exact"/>
        <w:jc w:val="both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9"/>
          <w:sz w:val="32"/>
          <w:szCs w:val="22"/>
          <w:lang w:val="en-US" w:eastAsia="en-US" w:bidi="ar-SA"/>
        </w:rPr>
        <w:t>件精神，进一步优化常态化开展防止返贫动态监测和帮扶机</w:t>
      </w:r>
    </w:p>
    <w:p w14:paraId="4DE6414D">
      <w:pPr>
        <w:framePr w:w="8853" w:wrap="around" w:vAnchor="margin" w:hAnchor="text" w:x="1800" w:y="5517"/>
        <w:widowControl w:val="0"/>
        <w:autoSpaceDE w:val="0"/>
        <w:autoSpaceDN w:val="0"/>
        <w:spacing w:before="240" w:line="319" w:lineRule="exact"/>
        <w:jc w:val="both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制，做到早发现、早干预、早帮扶，坚决守住不发生规模性返</w:t>
      </w:r>
    </w:p>
    <w:p w14:paraId="7C6C3054">
      <w:pPr>
        <w:framePr w:w="8853" w:wrap="around" w:vAnchor="margin" w:hAnchor="text" w:x="1800" w:y="5517"/>
        <w:widowControl w:val="0"/>
        <w:autoSpaceDE w:val="0"/>
        <w:autoSpaceDN w:val="0"/>
        <w:spacing w:before="243" w:line="319" w:lineRule="exact"/>
        <w:jc w:val="both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z w:val="32"/>
          <w:szCs w:val="22"/>
          <w:lang w:val="en-US" w:eastAsia="en-US" w:bidi="ar-SA"/>
        </w:rPr>
        <w:t>贫底线。</w:t>
      </w:r>
    </w:p>
    <w:p w14:paraId="0DB45697">
      <w:pPr>
        <w:framePr w:w="2726" w:wrap="around" w:vAnchor="margin" w:hAnchor="text" w:x="2441" w:y="12237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OSGLQ+TimesNewRomanPS-Bold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2.</w:t>
      </w:r>
      <w:r>
        <w:rPr>
          <w:rFonts w:ascii="TIPMHD+FangSong_GB2312" w:hAnsi="TIPMHD+FangSong_GB2312" w:cs="TIPMHD+FangSong_GB2312" w:eastAsiaTheme="minorEastAsia"/>
          <w:color w:val="000000"/>
          <w:spacing w:val="1"/>
          <w:sz w:val="32"/>
          <w:szCs w:val="22"/>
          <w:lang w:val="en-US" w:eastAsia="en-US" w:bidi="ar-SA"/>
        </w:rPr>
        <w:t>项目主要内容：</w:t>
      </w:r>
    </w:p>
    <w:p w14:paraId="29FEB6A6">
      <w:pPr>
        <w:framePr w:w="8853" w:wrap="around" w:vAnchor="margin" w:hAnchor="text" w:x="1800" w:y="1279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项目主要内容：根据《塔城地区进一步优化常态化开展防</w:t>
      </w:r>
    </w:p>
    <w:p w14:paraId="49A8C20E">
      <w:pPr>
        <w:framePr w:w="8853" w:wrap="around" w:vAnchor="margin" w:hAnchor="text" w:x="1800" w:y="1279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5"/>
          <w:sz w:val="32"/>
          <w:szCs w:val="22"/>
          <w:lang w:val="en-US" w:eastAsia="en-US" w:bidi="ar-SA"/>
        </w:rPr>
        <w:t>止返贫动态监测和帮扶机制工作方案》要求开展，1.2024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TIPMHD+FangSong_GB2312" w:hAnsi="TIPMHD+FangSong_GB2312" w:cs="TIPMHD+FangSong_GB2312" w:eastAsiaTheme="minorEastAsia"/>
          <w:color w:val="000000"/>
          <w:sz w:val="32"/>
          <w:szCs w:val="22"/>
          <w:lang w:val="en-US" w:eastAsia="en-US" w:bidi="ar-SA"/>
        </w:rPr>
        <w:t>年</w:t>
      </w:r>
    </w:p>
    <w:p w14:paraId="17CE6359">
      <w:pPr>
        <w:framePr w:w="8853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9"/>
          <w:sz w:val="32"/>
          <w:szCs w:val="22"/>
          <w:lang w:val="en-US" w:eastAsia="en-US" w:bidi="ar-SA"/>
        </w:rPr>
        <w:t>度乡村振兴专项审计项目人员经费，确保工作顺利开展；2.</w:t>
      </w:r>
    </w:p>
    <w:p w14:paraId="2F2DD540">
      <w:pPr>
        <w:framePr w:w="8853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PMHD+FangSong_GB2312" w:hAnsi="TIPMHD+FangSong_GB2312" w:cs="TIPMHD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乡村振兴审计相关办公经费，审计过程中基础办公用品及服务</w:t>
      </w:r>
    </w:p>
    <w:p w14:paraId="1674B136">
      <w:pPr>
        <w:framePr w:w="331" w:wrap="around" w:vAnchor="margin" w:hAnchor="text" w:x="6029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</w:t>
      </w:r>
    </w:p>
    <w:p w14:paraId="1EC0613A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2A5CFD2E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3D300836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3" w:name="br1_2"/>
      <w:bookmarkEnd w:id="3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19086E21">
      <w:pPr>
        <w:framePr w:w="8853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的支出；3.乡村振兴审计延伸实地调查支出，实地调查过程中</w:t>
      </w:r>
    </w:p>
    <w:p w14:paraId="39F00BC5">
      <w:pPr>
        <w:framePr w:w="8853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车辆使用相关支出。通过项目实施，旨在加大对体制机制性问</w:t>
      </w:r>
    </w:p>
    <w:p w14:paraId="40C9B6F7">
      <w:pPr>
        <w:framePr w:w="8853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题的揭示和反映力度。</w:t>
      </w:r>
    </w:p>
    <w:p w14:paraId="03F4CDD1">
      <w:pPr>
        <w:framePr w:w="8853" w:wrap="around" w:vAnchor="margin" w:hAnchor="text" w:x="1800" w:y="327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-14"/>
          <w:sz w:val="32"/>
          <w:szCs w:val="22"/>
          <w:lang w:val="en-US" w:eastAsia="en-US" w:bidi="ar-SA"/>
        </w:rPr>
        <w:t>项目实施情况：该项目于</w:t>
      </w:r>
      <w:r>
        <w:rPr>
          <w:rFonts w:hAnsiTheme="minorHAnsi" w:eastAsiaTheme="minorEastAsia" w:cstheme="minorBidi"/>
          <w:color w:val="000000"/>
          <w:spacing w:val="13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-5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6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-20"/>
          <w:sz w:val="32"/>
          <w:szCs w:val="22"/>
          <w:lang w:val="en-US" w:eastAsia="en-US" w:bidi="ar-SA"/>
        </w:rPr>
        <w:t>月开始实施，截至</w:t>
      </w:r>
      <w:r>
        <w:rPr>
          <w:rFonts w:hAnsiTheme="minorHAnsi" w:eastAsiaTheme="minorEastAsia" w:cstheme="minorBidi"/>
          <w:color w:val="000000"/>
          <w:spacing w:val="18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</w:p>
    <w:p w14:paraId="1027D09E">
      <w:pPr>
        <w:framePr w:w="8853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7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月底，该项目已实施完成，各项任务指标全部完成。通过</w:t>
      </w:r>
    </w:p>
    <w:p w14:paraId="4C166D27">
      <w:pPr>
        <w:framePr w:w="8853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本项目的实施，有效提高了干部职工开展审计工作的效率，明</w:t>
      </w:r>
    </w:p>
    <w:p w14:paraId="0B8AD54A">
      <w:pPr>
        <w:framePr w:w="8853" w:wrap="around" w:vAnchor="margin" w:hAnchor="text" w:x="1800" w:y="327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显改善了干部职工的工作条件，提升了专项审计业务能力，增</w:t>
      </w:r>
    </w:p>
    <w:p w14:paraId="2FD5DCAE">
      <w:pPr>
        <w:framePr w:w="8853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强了审计工作的高效性。</w:t>
      </w:r>
    </w:p>
    <w:p w14:paraId="541A18BD">
      <w:pPr>
        <w:framePr w:w="3369" w:wrap="around" w:vAnchor="page" w:hAnchor="page" w:x="2457" w:y="6144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LUUPBM+TimesNewRomanPS-Bold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3.</w:t>
      </w:r>
      <w:r>
        <w:rPr>
          <w:rFonts w:ascii="PUSCDE+FangSong_GB2312" w:hAnsi="PUSCDE+FangSong_GB2312" w:cs="PUSCDE+FangSong_GB2312" w:eastAsiaTheme="minorEastAsia"/>
          <w:color w:val="000000"/>
          <w:spacing w:val="1"/>
          <w:sz w:val="32"/>
          <w:szCs w:val="22"/>
          <w:lang w:val="en-US" w:eastAsia="en-US" w:bidi="ar-SA"/>
        </w:rPr>
        <w:t>资金投入和使用情况</w:t>
      </w:r>
    </w:p>
    <w:p w14:paraId="1576C001">
      <w:pPr>
        <w:framePr w:w="2959" w:wrap="around" w:vAnchor="margin" w:hAnchor="text" w:x="2441" w:y="663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（1）资金投入情况</w:t>
      </w:r>
    </w:p>
    <w:p w14:paraId="53916CB2">
      <w:pPr>
        <w:framePr w:w="8786" w:wrap="around" w:vAnchor="margin" w:hAnchor="text" w:x="1800" w:y="719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该项目年初预算数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-6"/>
          <w:sz w:val="32"/>
          <w:szCs w:val="22"/>
          <w:lang w:val="en-US" w:eastAsia="en-US" w:bidi="ar-SA"/>
        </w:rPr>
        <w:t>万元，全年预算数</w:t>
      </w:r>
      <w:r>
        <w:rPr>
          <w:rFonts w:hAnsiTheme="minorHAnsi" w:eastAsiaTheme="minorEastAsia" w:cstheme="minorBidi"/>
          <w:color w:val="000000"/>
          <w:spacing w:val="7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-11"/>
          <w:sz w:val="32"/>
          <w:szCs w:val="22"/>
          <w:lang w:val="en-US" w:eastAsia="en-US" w:bidi="ar-SA"/>
        </w:rPr>
        <w:t>万元，该</w:t>
      </w:r>
    </w:p>
    <w:p w14:paraId="215EAA41">
      <w:pPr>
        <w:framePr w:w="8786" w:wrap="around" w:vAnchor="margin" w:hAnchor="text" w:x="1800" w:y="719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项目资金已全部落实到位，资金来源为财政拨款。</w:t>
      </w:r>
    </w:p>
    <w:p w14:paraId="6D0D3DA7">
      <w:pPr>
        <w:framePr w:w="8786" w:wrap="around" w:vAnchor="margin" w:hAnchor="text" w:x="1800" w:y="7197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（2）资金使用情况</w:t>
      </w:r>
    </w:p>
    <w:p w14:paraId="34E7225A">
      <w:pPr>
        <w:framePr w:w="8788" w:wrap="around" w:vAnchor="margin" w:hAnchor="text" w:x="1800" w:y="887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该项目年初预算数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-6"/>
          <w:sz w:val="32"/>
          <w:szCs w:val="22"/>
          <w:lang w:val="en-US" w:eastAsia="en-US" w:bidi="ar-SA"/>
        </w:rPr>
        <w:t>万元，全年预算数</w:t>
      </w:r>
      <w:r>
        <w:rPr>
          <w:rFonts w:hAnsiTheme="minorHAnsi" w:eastAsiaTheme="minorEastAsia" w:cstheme="minorBidi"/>
          <w:color w:val="000000"/>
          <w:spacing w:val="7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-11"/>
          <w:sz w:val="32"/>
          <w:szCs w:val="22"/>
          <w:lang w:val="en-US" w:eastAsia="en-US" w:bidi="ar-SA"/>
        </w:rPr>
        <w:t>万元，全</w:t>
      </w:r>
    </w:p>
    <w:p w14:paraId="7AF3A874">
      <w:pPr>
        <w:framePr w:w="8788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7"/>
          <w:sz w:val="32"/>
          <w:szCs w:val="22"/>
          <w:lang w:val="en-US" w:eastAsia="en-US" w:bidi="ar-SA"/>
        </w:rPr>
        <w:t>年执行数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10.99</w:t>
      </w:r>
      <w:r>
        <w:rPr>
          <w:rFonts w:hAnsiTheme="minorHAnsi" w:eastAsiaTheme="minorEastAsia" w:cstheme="minorBidi"/>
          <w:color w:val="000000"/>
          <w:spacing w:val="7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7"/>
          <w:sz w:val="32"/>
          <w:szCs w:val="22"/>
          <w:lang w:val="en-US" w:eastAsia="en-US" w:bidi="ar-SA"/>
        </w:rPr>
        <w:t>万元，预算执行率为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4"/>
          <w:sz w:val="32"/>
          <w:szCs w:val="22"/>
          <w:lang w:val="en-US" w:eastAsia="en-US" w:bidi="ar-SA"/>
        </w:rPr>
        <w:t>95.57%，主要用于：项</w:t>
      </w:r>
    </w:p>
    <w:p w14:paraId="7BE06B7E">
      <w:pPr>
        <w:framePr w:w="8788" w:wrap="around" w:vAnchor="margin" w:hAnchor="text" w:x="1800" w:y="887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目资金主要用于支付审计人员差旅费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4.71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-2"/>
          <w:sz w:val="32"/>
          <w:szCs w:val="22"/>
          <w:lang w:val="en-US" w:eastAsia="en-US" w:bidi="ar-SA"/>
        </w:rPr>
        <w:t>万元、住宿费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5.98</w:t>
      </w:r>
    </w:p>
    <w:p w14:paraId="5B3E55C4">
      <w:pPr>
        <w:framePr w:w="8788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万元、租车费、燃油费用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0.30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万元。</w:t>
      </w:r>
    </w:p>
    <w:p w14:paraId="47777671">
      <w:pPr>
        <w:framePr w:w="3129" w:wrap="around" w:vAnchor="margin" w:hAnchor="text" w:x="2441" w:y="1111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RQSAMC+KaiTi_GB2312" w:hAnsi="RQSAMC+KaiTi_GB2312" w:cs="RQSAMC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（二）项目绩效目标</w:t>
      </w:r>
    </w:p>
    <w:p w14:paraId="31EB405B">
      <w:pPr>
        <w:framePr w:w="1838" w:wrap="around" w:vAnchor="margin" w:hAnchor="text" w:x="2441" w:y="1167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1.总体目标</w:t>
      </w:r>
    </w:p>
    <w:p w14:paraId="411BBE2F">
      <w:pPr>
        <w:framePr w:w="8853" w:wrap="around" w:vAnchor="margin" w:hAnchor="text" w:x="1800" w:y="1223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年度乡村振兴专项审计项目预算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USCDE+FangSong_GB2312" w:hAnsi="PUSCDE+FangSong_GB2312" w:cs="PUSCDE+FangSong_GB2312" w:eastAsiaTheme="minorEastAsia"/>
          <w:color w:val="000000"/>
          <w:spacing w:val="-2"/>
          <w:sz w:val="32"/>
          <w:szCs w:val="22"/>
          <w:lang w:val="en-US" w:eastAsia="en-US" w:bidi="ar-SA"/>
        </w:rPr>
        <w:t>万元，主要用</w:t>
      </w:r>
    </w:p>
    <w:p w14:paraId="217938CA">
      <w:pPr>
        <w:framePr w:w="8853" w:wrap="around" w:vAnchor="margin" w:hAnchor="text" w:x="1800" w:y="122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于：1.该审计项目人员的差旅费，确保工作顺利开展；2.乡村</w:t>
      </w:r>
    </w:p>
    <w:p w14:paraId="3FDEBD81">
      <w:pPr>
        <w:framePr w:w="8853" w:wrap="around" w:vAnchor="margin" w:hAnchor="text" w:x="1800" w:y="1223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振兴审计开展期间车辆使用相关支出；3.基本办公费。通过项</w:t>
      </w:r>
    </w:p>
    <w:p w14:paraId="192B949D">
      <w:pPr>
        <w:framePr w:w="8853" w:wrap="around" w:vAnchor="margin" w:hAnchor="text" w:x="1800" w:y="122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目实施，旨在加大对体制机制性问题的揭示和反映力度，增强</w:t>
      </w:r>
    </w:p>
    <w:p w14:paraId="1CB5F532">
      <w:pPr>
        <w:framePr w:w="8853" w:wrap="around" w:vAnchor="margin" w:hAnchor="text" w:x="1800" w:y="122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USCDE+FangSong_GB2312" w:hAnsi="PUSCDE+FangSong_GB2312" w:cs="PUSCDE+FangSong_GB2312" w:eastAsiaTheme="minorEastAsia"/>
          <w:color w:val="000000"/>
          <w:sz w:val="32"/>
          <w:szCs w:val="22"/>
          <w:lang w:val="en-US" w:eastAsia="en-US" w:bidi="ar-SA"/>
        </w:rPr>
        <w:t>人民群众幸福感、满足感。</w:t>
      </w:r>
    </w:p>
    <w:p w14:paraId="38C3ACEC">
      <w:pPr>
        <w:framePr w:w="331" w:wrap="around" w:vAnchor="margin" w:hAnchor="text" w:x="6029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2</w:t>
      </w:r>
    </w:p>
    <w:p w14:paraId="3A80A4D4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5DBF4785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bookmarkStart w:id="24" w:name="_GoBack"/>
      <w:bookmarkEnd w:id="24"/>
    </w:p>
    <w:p w14:paraId="575FF263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4" w:name="br1_3"/>
      <w:bookmarkEnd w:id="4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156FA813">
      <w:pPr>
        <w:framePr w:w="2157" w:wrap="around" w:vAnchor="margin" w:hAnchor="text" w:x="2441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2.阶段性目标</w:t>
      </w:r>
    </w:p>
    <w:p w14:paraId="361D6383">
      <w:pPr>
        <w:framePr w:w="9172" w:wrap="around" w:vAnchor="margin" w:hAnchor="text" w:x="1800" w:y="21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裕民县审计局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年度乡村振兴专项审计经费预算资金</w:t>
      </w:r>
    </w:p>
    <w:p w14:paraId="53A20DC7">
      <w:pPr>
        <w:framePr w:w="9172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pacing w:val="-7"/>
          <w:sz w:val="32"/>
          <w:szCs w:val="22"/>
          <w:lang w:val="en-US" w:eastAsia="en-US" w:bidi="ar-SA"/>
        </w:rPr>
        <w:t>万元，该项目于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6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pacing w:val="-5"/>
          <w:sz w:val="32"/>
          <w:szCs w:val="22"/>
          <w:lang w:val="en-US" w:eastAsia="en-US" w:bidi="ar-SA"/>
        </w:rPr>
        <w:t>月开始实施，2025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8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月完成</w:t>
      </w:r>
    </w:p>
    <w:p w14:paraId="1BE8E7A2">
      <w:pPr>
        <w:framePr w:w="9172" w:wrap="around" w:vAnchor="margin" w:hAnchor="text" w:x="1800" w:y="21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现场审计，2025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9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月至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12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月督促被审计单位完成整改，截</w:t>
      </w:r>
    </w:p>
    <w:p w14:paraId="0B94F30E">
      <w:pPr>
        <w:framePr w:w="9172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止</w:t>
      </w:r>
      <w:r>
        <w:rPr>
          <w:rFonts w:hAnsiTheme="minorHAns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12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月</w:t>
      </w:r>
      <w:r>
        <w:rPr>
          <w:rFonts w:hAnsiTheme="minorHAns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31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pacing w:val="3"/>
          <w:sz w:val="32"/>
          <w:szCs w:val="22"/>
          <w:lang w:val="en-US" w:eastAsia="en-US" w:bidi="ar-SA"/>
        </w:rPr>
        <w:t>日，项目资金执行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10.99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pacing w:val="3"/>
          <w:sz w:val="32"/>
          <w:szCs w:val="22"/>
          <w:lang w:val="en-US" w:eastAsia="en-US" w:bidi="ar-SA"/>
        </w:rPr>
        <w:t>万元，资金执行</w:t>
      </w:r>
    </w:p>
    <w:p w14:paraId="7AD9548F">
      <w:pPr>
        <w:framePr w:w="9172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6"/>
          <w:sz w:val="32"/>
          <w:szCs w:val="22"/>
          <w:lang w:val="en-US" w:eastAsia="en-US" w:bidi="ar-SA"/>
        </w:rPr>
        <w:t>率为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ARIAIH+FangSong_GB2312" w:hAnsi="ARIAIH+FangSong_GB2312" w:cs="ARIAIH+FangSong_GB2312" w:eastAsiaTheme="minorEastAsia"/>
          <w:color w:val="000000"/>
          <w:spacing w:val="5"/>
          <w:sz w:val="32"/>
          <w:szCs w:val="22"/>
          <w:lang w:val="en-US" w:eastAsia="en-US" w:bidi="ar-SA"/>
        </w:rPr>
        <w:t>95.57%，已完成该项目现场审计工作，资金主要用于审</w:t>
      </w:r>
    </w:p>
    <w:p w14:paraId="73015A9E">
      <w:pPr>
        <w:framePr w:w="9172" w:wrap="around" w:vAnchor="margin" w:hAnchor="text" w:x="1800" w:y="21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计期间人员差旅费、车辆维修维护费，部分项目经费还未支付，</w:t>
      </w:r>
    </w:p>
    <w:p w14:paraId="205D2975">
      <w:pPr>
        <w:framePr w:w="9172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通过项目实施，加大了对体制机制性问题的揭示和反映力度，</w:t>
      </w:r>
    </w:p>
    <w:p w14:paraId="1835C87F">
      <w:pPr>
        <w:framePr w:w="9172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规范了相关资金使用的规范性，增强人民群众幸福感、满足感。</w:t>
      </w:r>
    </w:p>
    <w:p w14:paraId="1808C6F2">
      <w:pPr>
        <w:framePr w:w="4080" w:wrap="around" w:vAnchor="margin" w:hAnchor="text" w:x="2441" w:y="6842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二、绩效评价工作开展情况</w:t>
      </w:r>
    </w:p>
    <w:p w14:paraId="48BCF4C3">
      <w:pPr>
        <w:framePr w:w="5057" w:wrap="around" w:vAnchor="margin" w:hAnchor="text" w:x="2441" w:y="7403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WNMAPJ+KaiTi_GB2312" w:hAnsi="WNMAPJ+KaiTi_GB2312" w:cs="WNMAPJ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（一）绩效评价目的、对象和范围</w:t>
      </w:r>
    </w:p>
    <w:p w14:paraId="79D20C6A">
      <w:pPr>
        <w:framePr w:w="2798" w:wrap="around" w:vAnchor="margin" w:hAnchor="text" w:x="2441" w:y="7962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1.绩效评价完整性</w:t>
      </w:r>
    </w:p>
    <w:p w14:paraId="342AF4A5">
      <w:pPr>
        <w:framePr w:w="8853" w:wrap="around" w:vAnchor="margin" w:hAnchor="text" w:x="1800" w:y="8522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本项目预算绩效评价报告在编制过程中，严格遵循相关法</w:t>
      </w:r>
    </w:p>
    <w:p w14:paraId="0A8828BC">
      <w:pPr>
        <w:framePr w:w="8853" w:wrap="around" w:vAnchor="margin" w:hAnchor="text" w:x="1800" w:y="8522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规与标准，确保评价内容的全面性与准确性。报告涵盖了项目</w:t>
      </w:r>
    </w:p>
    <w:p w14:paraId="31C19110">
      <w:pPr>
        <w:framePr w:w="8853" w:wrap="around" w:vAnchor="margin" w:hAnchor="text" w:x="1800" w:y="8522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从预算编制、执行到完成的全过程，对项目的各项绩效指标进</w:t>
      </w:r>
    </w:p>
    <w:p w14:paraId="4C76F6F2">
      <w:pPr>
        <w:framePr w:w="8853" w:wrap="around" w:vAnchor="margin" w:hAnchor="text" w:x="1800" w:y="8522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行了细致的梳理与评估。</w:t>
      </w:r>
    </w:p>
    <w:p w14:paraId="1FA6C1FD">
      <w:pPr>
        <w:framePr w:w="8880" w:wrap="around" w:vAnchor="margin" w:hAnchor="text" w:x="1800" w:y="10763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在评价指标体系的构建上，充分考虑了项目的性质、目标</w:t>
      </w:r>
    </w:p>
    <w:p w14:paraId="0CDDD37C">
      <w:pPr>
        <w:framePr w:w="8880" w:wrap="around" w:vAnchor="margin" w:hAnchor="text" w:x="1800" w:y="10763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以及预期成果，选取了具有代表性和可衡量性的关键指标，涵</w:t>
      </w:r>
    </w:p>
    <w:p w14:paraId="54500740">
      <w:pPr>
        <w:framePr w:w="8880" w:wrap="around" w:vAnchor="margin" w:hAnchor="text" w:x="1800" w:y="10763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盖了经济效益等多个维度，力求全方位反映项目的绩效状况。</w:t>
      </w:r>
    </w:p>
    <w:p w14:paraId="2302A226">
      <w:pPr>
        <w:framePr w:w="8880" w:wrap="around" w:vAnchor="margin" w:hAnchor="text" w:x="1800" w:y="10763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9"/>
          <w:sz w:val="32"/>
          <w:szCs w:val="22"/>
          <w:lang w:val="en-US" w:eastAsia="en-US" w:bidi="ar-SA"/>
        </w:rPr>
        <w:t>同时，对于每个指标的评价标准和数据来源均进行了明确说</w:t>
      </w:r>
    </w:p>
    <w:p w14:paraId="2B027934">
      <w:pPr>
        <w:framePr w:w="8880" w:wrap="around" w:vAnchor="margin" w:hAnchor="text" w:x="1800" w:y="10763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明，确保评价结果的客观性和可追溯性。</w:t>
      </w:r>
    </w:p>
    <w:p w14:paraId="36194284">
      <w:pPr>
        <w:framePr w:w="8880" w:wrap="around" w:vAnchor="margin" w:hAnchor="text" w:x="1800" w:y="13562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在数据收集与分析环节，采用了多种科学合理的方法，如</w:t>
      </w:r>
    </w:p>
    <w:p w14:paraId="0AC2FDA5">
      <w:pPr>
        <w:framePr w:w="8880" w:wrap="around" w:vAnchor="margin" w:hAnchor="text" w:x="1800" w:y="13562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实地调研、问卷调查、数据分析等，广泛收集了与项目相关的</w:t>
      </w:r>
    </w:p>
    <w:p w14:paraId="3D4C55D9">
      <w:pPr>
        <w:framePr w:w="8880" w:wrap="around" w:vAnchor="margin" w:hAnchor="text" w:x="1800" w:y="13562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RIAIH+FangSong_GB2312" w:hAnsi="ARIAIH+FangSong_GB2312" w:cs="ARIAIH+FangSong_GB2312" w:eastAsiaTheme="minorEastAsia"/>
          <w:color w:val="000000"/>
          <w:sz w:val="32"/>
          <w:szCs w:val="22"/>
          <w:lang w:val="en-US" w:eastAsia="en-US" w:bidi="ar-SA"/>
        </w:rPr>
        <w:t>各类数据，并运用专业的统计分析工具对数据进行深入挖掘，</w:t>
      </w:r>
    </w:p>
    <w:p w14:paraId="0C720008">
      <w:pPr>
        <w:framePr w:w="8880" w:wrap="around" w:vAnchor="margin" w:hAnchor="text" w:x="1800" w:y="13562"/>
        <w:widowControl w:val="0"/>
        <w:autoSpaceDE w:val="0"/>
        <w:autoSpaceDN w:val="0"/>
        <w:spacing w:before="407" w:line="188" w:lineRule="exact"/>
        <w:ind w:left="4229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3</w:t>
      </w:r>
    </w:p>
    <w:p w14:paraId="128DAFB9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78BFCFBB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790FB8DC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5" w:name="br1_4"/>
      <w:bookmarkEnd w:id="5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575B118F">
      <w:pPr>
        <w:framePr w:w="8880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以确保评价结论的科学性和可靠性。此外，还对数据的质量和</w:t>
      </w:r>
    </w:p>
    <w:p w14:paraId="364488D8"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完整性进行了严格把控，对于缺失或异常的数据进行了合理的</w:t>
      </w:r>
    </w:p>
    <w:p w14:paraId="770F6B7C"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z w:val="32"/>
          <w:szCs w:val="22"/>
          <w:lang w:val="en-US" w:eastAsia="en-US" w:bidi="ar-SA"/>
        </w:rPr>
        <w:t>处理和说明，保证了评价数据的真实性和有效性。</w:t>
      </w:r>
    </w:p>
    <w:p w14:paraId="34DC0DB2">
      <w:pPr>
        <w:framePr w:w="8880" w:wrap="around" w:vAnchor="margin" w:hAnchor="text" w:x="1800" w:y="1598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z w:val="32"/>
          <w:szCs w:val="22"/>
          <w:lang w:val="en-US" w:eastAsia="en-US" w:bidi="ar-SA"/>
        </w:rPr>
        <w:t>在报告的撰写结构上，按照统一的格式和规范进行编排，</w:t>
      </w:r>
    </w:p>
    <w:p w14:paraId="0E863496"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内容层次分明、条理清晰。首先对项目的背景、目标和预算安</w:t>
      </w:r>
    </w:p>
    <w:p w14:paraId="22F78846"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9"/>
          <w:sz w:val="32"/>
          <w:szCs w:val="22"/>
          <w:lang w:val="en-US" w:eastAsia="en-US" w:bidi="ar-SA"/>
        </w:rPr>
        <w:t>排进行了简要介绍，为后续的绩效评价提供了必要的背景信</w:t>
      </w:r>
    </w:p>
    <w:p w14:paraId="513A468D">
      <w:pPr>
        <w:framePr w:w="8880" w:wrap="around" w:vAnchor="margin" w:hAnchor="text" w:x="1800" w:y="159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息；接着详细阐述了绩效评价的指标体系、评价方法和数据来</w:t>
      </w:r>
    </w:p>
    <w:p w14:paraId="07720FBA"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源，为评价过程的透明性和可复现性奠定了基础；然后对各项</w:t>
      </w:r>
    </w:p>
    <w:p w14:paraId="5672F6E0"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绩效指标的完成情况进行了逐一分析和评价，指出了项目在实</w:t>
      </w:r>
    </w:p>
    <w:p w14:paraId="4D7E3773">
      <w:pPr>
        <w:framePr w:w="8880" w:wrap="around" w:vAnchor="margin" w:hAnchor="text" w:x="1800" w:y="159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施过程中存在的问题和不足，并提出了相应的改进建议；最后</w:t>
      </w:r>
    </w:p>
    <w:p w14:paraId="605F359B"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对整个项目的绩效状况进行了综合总结，给出了明确的评价结</w:t>
      </w:r>
    </w:p>
    <w:p w14:paraId="771F0F3A"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论和后续工作的建议，为项目的持续改进和决策提供了有力支</w:t>
      </w:r>
    </w:p>
    <w:p w14:paraId="2744882F">
      <w:pPr>
        <w:framePr w:w="8880" w:wrap="around" w:vAnchor="margin" w:hAnchor="text" w:x="1800" w:y="159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持。</w:t>
      </w:r>
    </w:p>
    <w:p w14:paraId="35D00C78">
      <w:pPr>
        <w:framePr w:w="8853" w:wrap="around" w:vAnchor="margin" w:hAnchor="text" w:x="1800" w:y="887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本项目预算绩效评价报告在内容、方法和数据等方面均具</w:t>
      </w:r>
    </w:p>
    <w:p w14:paraId="64BC0E4A">
      <w:pPr>
        <w:framePr w:w="8853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备较高的完整性，能够真实、客观地反映项目的绩效情况，为</w:t>
      </w:r>
    </w:p>
    <w:p w14:paraId="2E7125EE">
      <w:pPr>
        <w:framePr w:w="8853" w:wrap="around" w:vAnchor="margin" w:hAnchor="text" w:x="1800" w:y="887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项目管理决策提供了有价值的参考依据。在未来的工作中，我</w:t>
      </w:r>
    </w:p>
    <w:p w14:paraId="44E1DD7D">
      <w:pPr>
        <w:framePr w:w="8853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9"/>
          <w:sz w:val="32"/>
          <w:szCs w:val="22"/>
          <w:lang w:val="en-US" w:eastAsia="en-US" w:bidi="ar-SA"/>
        </w:rPr>
        <w:t>们将继续完善绩效评价体系，不断提升评价工作的质量和水</w:t>
      </w:r>
    </w:p>
    <w:p w14:paraId="1BBD6B19">
      <w:pPr>
        <w:framePr w:w="8853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z w:val="32"/>
          <w:szCs w:val="22"/>
          <w:lang w:val="en-US" w:eastAsia="en-US" w:bidi="ar-SA"/>
        </w:rPr>
        <w:t>平，以更好地服务于项目的管理和优化。</w:t>
      </w:r>
    </w:p>
    <w:p w14:paraId="518DCD49">
      <w:pPr>
        <w:framePr w:w="2719" w:wrap="around" w:vAnchor="margin" w:hAnchor="text" w:x="2441" w:y="11678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BTEHM+TimesNewRomanPS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2.</w:t>
      </w:r>
      <w:r>
        <w:rPr>
          <w:rFonts w:ascii="ENVHHE+FangSong_GB2312" w:hAnsi="ENVHHE+FangSong_GB2312" w:cs="ENVHHE+FangSong_GB2312" w:eastAsiaTheme="minorEastAsia"/>
          <w:color w:val="000000"/>
          <w:sz w:val="32"/>
          <w:szCs w:val="22"/>
          <w:lang w:val="en-US" w:eastAsia="en-US" w:bidi="ar-SA"/>
        </w:rPr>
        <w:t>绩效评价的目的</w:t>
      </w:r>
    </w:p>
    <w:p w14:paraId="15766084">
      <w:pPr>
        <w:framePr w:w="3600" w:wrap="around" w:vAnchor="margin" w:hAnchor="text" w:x="2441" w:y="1223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z w:val="32"/>
          <w:szCs w:val="22"/>
          <w:lang w:val="en-US" w:eastAsia="en-US" w:bidi="ar-SA"/>
        </w:rPr>
        <w:t>（1）评估项目实施效果</w:t>
      </w:r>
    </w:p>
    <w:p w14:paraId="1D721CC6">
      <w:pPr>
        <w:framePr w:w="8880" w:wrap="around" w:vAnchor="margin" w:hAnchor="text" w:x="1800" w:y="1279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10"/>
          <w:sz w:val="32"/>
          <w:szCs w:val="22"/>
          <w:lang w:val="en-US" w:eastAsia="en-US" w:bidi="ar-SA"/>
        </w:rPr>
        <w:t>通过对项目预算执行情况及各项绩效目标达成程度的系</w:t>
      </w:r>
    </w:p>
    <w:p w14:paraId="5ECB1C32">
      <w:pPr>
        <w:framePr w:w="8880" w:wrap="around" w:vAnchor="margin" w:hAnchor="text" w:x="1800" w:y="1279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z w:val="32"/>
          <w:szCs w:val="22"/>
          <w:lang w:val="en-US" w:eastAsia="en-US" w:bidi="ar-SA"/>
        </w:rPr>
        <w:t>统性分析，全面、客观地评估项目在预定周期内的实施效果，</w:t>
      </w:r>
    </w:p>
    <w:p w14:paraId="566521F5">
      <w:pPr>
        <w:framePr w:w="8880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包括经济效益等多维度指标，为项目后续的改进与优化提供科</w:t>
      </w:r>
    </w:p>
    <w:p w14:paraId="193B72ED">
      <w:pPr>
        <w:framePr w:w="8880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NVHHE+FangSong_GB2312" w:hAnsi="ENVHHE+FangSong_GB2312" w:cs="ENVHHE+FangSong_GB2312" w:eastAsiaTheme="minorEastAsia"/>
          <w:color w:val="000000"/>
          <w:sz w:val="32"/>
          <w:szCs w:val="22"/>
          <w:lang w:val="en-US" w:eastAsia="en-US" w:bidi="ar-SA"/>
        </w:rPr>
        <w:t>学依据。</w:t>
      </w:r>
    </w:p>
    <w:p w14:paraId="06910E9A">
      <w:pPr>
        <w:framePr w:w="331" w:wrap="around" w:vAnchor="margin" w:hAnchor="text" w:x="6029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4</w:t>
      </w:r>
    </w:p>
    <w:p w14:paraId="6CBC7C90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37AC7D9C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4FD3946D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6" w:name="br1_5"/>
      <w:bookmarkEnd w:id="6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11CB128E">
      <w:pPr>
        <w:framePr w:w="3600" w:wrap="around" w:vAnchor="margin" w:hAnchor="text" w:x="2441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（2）提升资源利用效率</w:t>
      </w:r>
    </w:p>
    <w:p w14:paraId="18CF9807">
      <w:pPr>
        <w:framePr w:w="8853" w:wrap="around" w:vAnchor="margin" w:hAnchor="text" w:x="1800" w:y="21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深入剖析项目预算资金的投入与产出关系，识别资金使用</w:t>
      </w:r>
    </w:p>
    <w:p w14:paraId="366660B8">
      <w:pPr>
        <w:framePr w:w="8853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9"/>
          <w:sz w:val="32"/>
          <w:szCs w:val="22"/>
          <w:lang w:val="en-US" w:eastAsia="en-US" w:bidi="ar-SA"/>
        </w:rPr>
        <w:t>过程中的冗余环节与低效领域，挖掘潜在的资源优化配置空</w:t>
      </w:r>
    </w:p>
    <w:p w14:paraId="45536B1F">
      <w:pPr>
        <w:framePr w:w="8853" w:wrap="around" w:vAnchor="margin" w:hAnchor="text" w:x="1800" w:y="21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间，推动项目在有限的预算资源下实现更高的绩效产出，提升</w:t>
      </w:r>
    </w:p>
    <w:p w14:paraId="7CC5A4A2">
      <w:pPr>
        <w:framePr w:w="8853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整体资源利用效率，确保财政资金的合理、高效运用。</w:t>
      </w:r>
    </w:p>
    <w:p w14:paraId="47640F8E">
      <w:pPr>
        <w:framePr w:w="8853" w:wrap="around" w:vAnchor="margin" w:hAnchor="text" w:x="1800" w:y="2157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（3）强化项目管理责任</w:t>
      </w:r>
    </w:p>
    <w:p w14:paraId="7555F862">
      <w:pPr>
        <w:framePr w:w="8880" w:wrap="around" w:vAnchor="margin" w:hAnchor="text" w:x="1800" w:y="495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明确项目各参与主体在预算绩效管理中的职责与任务，借</w:t>
      </w:r>
    </w:p>
    <w:p w14:paraId="1BCB87A0">
      <w:pPr>
        <w:framePr w:w="8880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助绩效评价结果对项目管理过程进行监督与问责，促使项目管</w:t>
      </w:r>
    </w:p>
    <w:p w14:paraId="3EA640A8">
      <w:pPr>
        <w:framePr w:w="8880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理者增强责任意识，主动优化管理流程，完善内部控制机制，</w:t>
      </w:r>
    </w:p>
    <w:p w14:paraId="388F65FA">
      <w:pPr>
        <w:framePr w:w="8880" w:wrap="around" w:vAnchor="margin" w:hAnchor="text" w:x="1800" w:y="495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提高项目管理水平与执行力，保障项目按计划、高质量推进。</w:t>
      </w:r>
    </w:p>
    <w:p w14:paraId="6130B80D">
      <w:pPr>
        <w:framePr w:w="8880" w:wrap="around" w:vAnchor="margin" w:hAnchor="text" w:x="1800" w:y="495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（4）为决策提供支持</w:t>
      </w:r>
    </w:p>
    <w:p w14:paraId="5A11B088">
      <w:pPr>
        <w:framePr w:w="8853" w:wrap="around" w:vAnchor="margin" w:hAnchor="text" w:x="1800" w:y="775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为项目主管部门、财政部门及相关决策层提供详实、准确</w:t>
      </w:r>
    </w:p>
    <w:p w14:paraId="488EC604">
      <w:pPr>
        <w:framePr w:w="8853" w:wrap="around" w:vAnchor="margin" w:hAnchor="text" w:x="1800" w:y="775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的绩效评价信息，辅助其在项目审批、预算安排、政策调整等</w:t>
      </w:r>
    </w:p>
    <w:p w14:paraId="487289A1">
      <w:pPr>
        <w:framePr w:w="8853" w:wrap="around" w:vAnchor="margin" w:hAnchor="text" w:x="1800" w:y="775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关键决策环节做出更加科学、合理的判断，促进项目资源的合</w:t>
      </w:r>
    </w:p>
    <w:p w14:paraId="23D48DE6">
      <w:pPr>
        <w:framePr w:w="8853" w:wrap="around" w:vAnchor="margin" w:hAnchor="text" w:x="1800" w:y="775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理分配与有效整合，推动项目管理体系的不断完善与升级，提</w:t>
      </w:r>
    </w:p>
    <w:p w14:paraId="77FD05D6">
      <w:pPr>
        <w:framePr w:w="8853" w:wrap="around" w:vAnchor="margin" w:hAnchor="text" w:x="1800" w:y="775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升公共资源配置的精准度与有效性。</w:t>
      </w:r>
    </w:p>
    <w:p w14:paraId="61F6F62E">
      <w:pPr>
        <w:framePr w:w="3600" w:wrap="around" w:vAnchor="margin" w:hAnchor="text" w:x="2441" w:y="1055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（5）促进项目持续改进</w:t>
      </w:r>
    </w:p>
    <w:p w14:paraId="207960EA">
      <w:pPr>
        <w:framePr w:w="9172" w:wrap="around" w:vAnchor="margin" w:hAnchor="text" w:x="1800" w:y="1111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基于绩效评价发现的问题与不足，提出针对性的改进建议</w:t>
      </w:r>
    </w:p>
    <w:p w14:paraId="1244DCB9">
      <w:pPr>
        <w:framePr w:w="9172" w:wrap="around" w:vAnchor="margin" w:hAnchor="text" w:x="1800" w:y="111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与措施，引导项目团队聚焦关键环节，持续优化项目实施方案，</w:t>
      </w:r>
    </w:p>
    <w:p w14:paraId="2E987396">
      <w:pPr>
        <w:framePr w:w="9172" w:wrap="around" w:vAnchor="margin" w:hAnchor="text" w:x="1800" w:y="111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9"/>
          <w:sz w:val="32"/>
          <w:szCs w:val="22"/>
          <w:lang w:val="en-US" w:eastAsia="en-US" w:bidi="ar-SA"/>
        </w:rPr>
        <w:t>加强过程监控与质量把控，形成项目绩效持续改进的良性循</w:t>
      </w:r>
    </w:p>
    <w:p w14:paraId="0E35BBA5">
      <w:pPr>
        <w:framePr w:w="9172" w:wrap="around" w:vAnchor="margin" w:hAnchor="text" w:x="1800" w:y="111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环，不断提升项目整体绩效水平，实现项目长期稳定发展的目</w:t>
      </w:r>
    </w:p>
    <w:p w14:paraId="03A3D52B">
      <w:pPr>
        <w:framePr w:w="9172" w:wrap="around" w:vAnchor="margin" w:hAnchor="text" w:x="1800" w:y="111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标。</w:t>
      </w:r>
    </w:p>
    <w:p w14:paraId="52719115">
      <w:pPr>
        <w:framePr w:w="8880" w:wrap="around" w:vAnchor="margin" w:hAnchor="text" w:x="1800" w:y="1391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z w:val="32"/>
          <w:szCs w:val="22"/>
          <w:lang w:val="en-US" w:eastAsia="en-US" w:bidi="ar-SA"/>
        </w:rPr>
        <w:t>本项目预算绩效评价报告的编制以提升项目绩效为核心，</w:t>
      </w:r>
    </w:p>
    <w:p w14:paraId="531EED77">
      <w:pPr>
        <w:framePr w:w="8880" w:wrap="around" w:vAnchor="margin" w:hAnchor="text" w:x="1800" w:y="139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TIUQHR+FangSong_GB2312" w:hAnsi="TIUQHR+FangSong_GB2312" w:cs="TIUQHR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旨在通过科学、严谨的评价工作，为项目管理与决策提供全方</w:t>
      </w:r>
    </w:p>
    <w:p w14:paraId="5305A34B">
      <w:pPr>
        <w:framePr w:w="331" w:wrap="around" w:vAnchor="margin" w:hAnchor="text" w:x="6029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5</w:t>
      </w:r>
    </w:p>
    <w:p w14:paraId="2BE99C22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4D20A4A0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52709CA9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7" w:name="br1_6"/>
      <w:bookmarkEnd w:id="7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3A391F37">
      <w:pPr>
        <w:framePr w:w="8853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位、深层次的支持，推动项目在预算约束下实现高质量、可持</w:t>
      </w:r>
    </w:p>
    <w:p w14:paraId="034989CC">
      <w:pPr>
        <w:framePr w:w="8853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续发展，充分发挥财政资金的经济效益与社会效益。</w:t>
      </w:r>
    </w:p>
    <w:p w14:paraId="7A8C30BE">
      <w:pPr>
        <w:framePr w:w="8853" w:wrap="around" w:vAnchor="margin" w:hAnchor="text" w:x="1800" w:y="159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3.绩效评价的对象</w:t>
      </w:r>
    </w:p>
    <w:p w14:paraId="4D56E782">
      <w:pPr>
        <w:framePr w:w="8880" w:wrap="around" w:vAnchor="margin" w:hAnchor="text" w:x="1800" w:y="327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3"/>
          <w:sz w:val="32"/>
          <w:szCs w:val="22"/>
          <w:lang w:val="en-US" w:eastAsia="en-US" w:bidi="ar-SA"/>
        </w:rPr>
        <w:t>本项目预算绩效评价报告的评价对象是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="JHODNT+FangSong_GB2312" w:cs="JHODNT+FangSong_GB2312" w:eastAsiaTheme="minorEastAsia"/>
          <w:color w:val="000000"/>
          <w:spacing w:val="3"/>
          <w:sz w:val="32"/>
          <w:szCs w:val="22"/>
          <w:lang w:val="en-US" w:eastAsia="en-US" w:bidi="ar-SA"/>
        </w:rPr>
        <w:t>年度乡村振</w:t>
      </w:r>
    </w:p>
    <w:p w14:paraId="6D270BE9">
      <w:pPr>
        <w:framePr w:w="8880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兴专项审计经费及其预算执行情况。该项目由裕民县审计局负</w:t>
      </w:r>
    </w:p>
    <w:p w14:paraId="32392ABD">
      <w:pPr>
        <w:framePr w:w="8880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责实施，旨在通过项目实施，加大对体制机制性问题的揭示和</w:t>
      </w:r>
    </w:p>
    <w:p w14:paraId="71091073">
      <w:pPr>
        <w:framePr w:w="8880" w:wrap="around" w:vAnchor="margin" w:hAnchor="text" w:x="1800" w:y="327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反映力度，增强人民群众幸福感、满足感。该项目主要用于：</w:t>
      </w:r>
    </w:p>
    <w:p w14:paraId="1159C18D">
      <w:pPr>
        <w:framePr w:w="8880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1.该审计项目人员的差旅费，确保工作顺利开展；2.乡村振兴</w:t>
      </w:r>
    </w:p>
    <w:p w14:paraId="601D117F">
      <w:pPr>
        <w:framePr w:w="8880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审计开展期间车辆使用相关支出；3.基本办公费。项目预算涵</w:t>
      </w:r>
    </w:p>
    <w:p w14:paraId="1F3077E2">
      <w:pPr>
        <w:framePr w:w="8880" w:wrap="around" w:vAnchor="margin" w:hAnchor="text" w:x="1800" w:y="327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4"/>
          <w:sz w:val="32"/>
          <w:szCs w:val="22"/>
          <w:lang w:val="en-US" w:eastAsia="en-US" w:bidi="ar-SA"/>
        </w:rPr>
        <w:t>盖从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="JHODNT+FangSong_GB2312" w:cs="JHODNT+FangSong_GB2312" w:eastAsiaTheme="minorEastAsia"/>
          <w:color w:val="000000"/>
          <w:spacing w:val="2"/>
          <w:sz w:val="32"/>
          <w:szCs w:val="22"/>
          <w:lang w:val="en-US" w:eastAsia="en-US" w:bidi="ar-SA"/>
        </w:rPr>
        <w:t>月至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12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="JHODNT+FangSong_GB2312" w:cs="JHODNT+FangSong_GB2312" w:eastAsiaTheme="minorEastAsia"/>
          <w:color w:val="000000"/>
          <w:spacing w:val="3"/>
          <w:sz w:val="32"/>
          <w:szCs w:val="22"/>
          <w:lang w:val="en-US" w:eastAsia="en-US" w:bidi="ar-SA"/>
        </w:rPr>
        <w:t>月的全部资金投入与支出，涉</w:t>
      </w:r>
    </w:p>
    <w:p w14:paraId="21777FE0">
      <w:pPr>
        <w:framePr w:w="8880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及资金总额为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万元。</w:t>
      </w:r>
    </w:p>
    <w:p w14:paraId="4D95C1D0">
      <w:pPr>
        <w:framePr w:w="2719" w:wrap="around" w:vAnchor="margin" w:hAnchor="text" w:x="2441" w:y="7756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DAFFW+TimesNewRomanPS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4.</w:t>
      </w: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绩效评价的范围</w:t>
      </w:r>
    </w:p>
    <w:p w14:paraId="46099E26">
      <w:pPr>
        <w:framePr w:w="8880" w:wrap="around" w:vAnchor="margin" w:hAnchor="text" w:x="1800" w:y="831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本项目预算绩效评价报告的评价范围广泛而全面，涵盖了</w:t>
      </w:r>
    </w:p>
    <w:p w14:paraId="23395868">
      <w:pPr>
        <w:framePr w:w="8880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从项目立项至评价时点期间的所有关键预算活动和财务流程。</w:t>
      </w:r>
    </w:p>
    <w:p w14:paraId="59BE36CE">
      <w:pPr>
        <w:framePr w:w="8880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具体而言，评价范围包括但不限于以下几个方面：</w:t>
      </w:r>
    </w:p>
    <w:p w14:paraId="5CBA38D2">
      <w:pPr>
        <w:framePr w:w="8880" w:wrap="around" w:vAnchor="margin" w:hAnchor="text" w:x="1800" w:y="8318"/>
        <w:widowControl w:val="0"/>
        <w:autoSpaceDE w:val="0"/>
        <w:autoSpaceDN w:val="0"/>
        <w:spacing w:before="243" w:line="332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（</w:t>
      </w:r>
      <w:r>
        <w:rPr>
          <w:rFonts w:ascii="PDAFFW+TimesNewRomanPSMT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</w:t>
      </w:r>
      <w:r>
        <w:rPr>
          <w:rFonts w:ascii="JHODNT+FangSong_GB2312" w:hAnsi="JHODNT+FangSong_GB2312" w:cs="JHODNT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）项目预算编制与执行：全面审视项目预算的编制依</w:t>
      </w:r>
    </w:p>
    <w:p w14:paraId="34F3CD8D">
      <w:pPr>
        <w:framePr w:w="8880" w:wrap="around" w:vAnchor="margin" w:hAnchor="text" w:x="1800" w:y="8318"/>
        <w:widowControl w:val="0"/>
        <w:autoSpaceDE w:val="0"/>
        <w:autoSpaceDN w:val="0"/>
        <w:spacing w:before="22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据、合理性、科学性以及实际执行情况，包括预算调整的原因</w:t>
      </w:r>
    </w:p>
    <w:p w14:paraId="6FA364C7">
      <w:pPr>
        <w:framePr w:w="8880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和效果。</w:t>
      </w:r>
    </w:p>
    <w:p w14:paraId="3E43647A">
      <w:pPr>
        <w:framePr w:w="8853" w:wrap="around" w:vAnchor="margin" w:hAnchor="text" w:x="1800" w:y="11678"/>
        <w:widowControl w:val="0"/>
        <w:autoSpaceDE w:val="0"/>
        <w:autoSpaceDN w:val="0"/>
        <w:spacing w:line="332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（</w:t>
      </w:r>
      <w:r>
        <w:rPr>
          <w:rFonts w:ascii="PDAFFW+TimesNewRomanPSMT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</w:t>
      </w:r>
      <w:r>
        <w:rPr>
          <w:rFonts w:ascii="JHODNT+FangSong_GB2312" w:hAnsi="JHODNT+FangSong_GB2312" w:cs="JHODNT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）资金管理：深入分析项目资金的分配、使用和监管</w:t>
      </w:r>
    </w:p>
    <w:p w14:paraId="1FD27F8A">
      <w:pPr>
        <w:framePr w:w="8853" w:wrap="around" w:vAnchor="margin" w:hAnchor="text" w:x="1800" w:y="11678"/>
        <w:widowControl w:val="0"/>
        <w:autoSpaceDE w:val="0"/>
        <w:autoSpaceDN w:val="0"/>
        <w:spacing w:before="22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情况，确保资金使用的合规性、高效性和透明度。</w:t>
      </w:r>
    </w:p>
    <w:p w14:paraId="06C5F9DB">
      <w:pPr>
        <w:framePr w:w="8853" w:wrap="around" w:vAnchor="margin" w:hAnchor="text" w:x="1800" w:y="11678"/>
        <w:widowControl w:val="0"/>
        <w:autoSpaceDE w:val="0"/>
        <w:autoSpaceDN w:val="0"/>
        <w:spacing w:before="240" w:line="332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（</w:t>
      </w:r>
      <w:r>
        <w:rPr>
          <w:rFonts w:ascii="PDAFFW+TimesNewRomanPSMT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3</w:t>
      </w:r>
      <w:r>
        <w:rPr>
          <w:rFonts w:ascii="JHODNT+FangSong_GB2312" w:hAnsi="JHODNT+FangSong_GB2312" w:cs="JHODNT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）项目实施进度与产出：评估项目是否按照既定计划</w:t>
      </w:r>
    </w:p>
    <w:p w14:paraId="177DDD3B">
      <w:pPr>
        <w:framePr w:w="8853" w:wrap="around" w:vAnchor="margin" w:hAnchor="text" w:x="1800" w:y="11678"/>
        <w:widowControl w:val="0"/>
        <w:autoSpaceDE w:val="0"/>
        <w:autoSpaceDN w:val="0"/>
        <w:spacing w:before="222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顺利推进，各项任务是否按时完成，以及项目产出的数量、质</w:t>
      </w:r>
    </w:p>
    <w:p w14:paraId="454025CC">
      <w:pPr>
        <w:framePr w:w="8853" w:wrap="around" w:vAnchor="margin" w:hAnchor="text" w:x="1800" w:y="116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量和时效性是否符合预期。</w:t>
      </w:r>
    </w:p>
    <w:p w14:paraId="4056242A">
      <w:pPr>
        <w:framePr w:w="7118" w:wrap="around" w:vAnchor="margin" w:hAnchor="text" w:x="2441" w:y="14476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HODNT+FangSong_GB2312" w:hAnsi="JHODNT+FangSong_GB2312" w:cs="JHODNT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（</w:t>
      </w:r>
      <w:r>
        <w:rPr>
          <w:rFonts w:ascii="PDAFFW+TimesNewRomanPSMT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4</w:t>
      </w:r>
      <w:r>
        <w:rPr>
          <w:rFonts w:ascii="JHODNT+FangSong_GB2312" w:hAnsi="JHODNT+FangSong_GB2312" w:cs="JHODNT+FangSong_GB2312" w:eastAsiaTheme="minorEastAsia"/>
          <w:color w:val="000000"/>
          <w:sz w:val="32"/>
          <w:szCs w:val="22"/>
          <w:lang w:val="en-US" w:eastAsia="en-US" w:bidi="ar-SA"/>
        </w:rPr>
        <w:t>）社会等影响：考察项目对社会方面的影响。</w:t>
      </w:r>
    </w:p>
    <w:p w14:paraId="0E0F58E1">
      <w:pPr>
        <w:framePr w:w="331" w:wrap="around" w:vAnchor="margin" w:hAnchor="text" w:x="6029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6</w:t>
      </w:r>
    </w:p>
    <w:p w14:paraId="2DCD2406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24D22B69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115248F7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8" w:name="br1_7"/>
      <w:bookmarkEnd w:id="8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4BF73099">
      <w:pPr>
        <w:framePr w:w="8793" w:wrap="around" w:vAnchor="margin" w:hAnchor="text" w:x="1800" w:y="1598"/>
        <w:widowControl w:val="0"/>
        <w:autoSpaceDE w:val="0"/>
        <w:autoSpaceDN w:val="0"/>
        <w:spacing w:line="332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WGQLGF+KaiTi_GB2312" w:hAnsi="WGQLGF+KaiTi_GB2312" w:cs="WGQLGF+KaiTi_GB2312" w:eastAsiaTheme="minorEastAsia"/>
          <w:color w:val="000000"/>
          <w:sz w:val="32"/>
          <w:szCs w:val="22"/>
          <w:lang w:val="en-US" w:eastAsia="en-US" w:bidi="ar-SA"/>
        </w:rPr>
        <w:t>（二）绩效评价原则、评价指标体系（详情见表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AALPKJ+TimesNewRomanPS-BoldMT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</w:t>
      </w:r>
      <w:r>
        <w:rPr>
          <w:rFonts w:ascii="WGQLGF+KaiTi_GB2312" w:hAnsi="WGQLGF+KaiTi_GB2312" w:cs="WGQLGF+KaiTi_GB2312" w:eastAsiaTheme="minorEastAsia"/>
          <w:color w:val="000000"/>
          <w:spacing w:val="-7"/>
          <w:sz w:val="32"/>
          <w:szCs w:val="22"/>
          <w:lang w:val="en-US" w:eastAsia="en-US" w:bidi="ar-SA"/>
        </w:rPr>
        <w:t>）、评</w:t>
      </w:r>
    </w:p>
    <w:p w14:paraId="62C6F23E">
      <w:pPr>
        <w:framePr w:w="8793" w:wrap="around" w:vAnchor="margin" w:hAnchor="text" w:x="1800" w:y="1598"/>
        <w:widowControl w:val="0"/>
        <w:autoSpaceDE w:val="0"/>
        <w:autoSpaceDN w:val="0"/>
        <w:spacing w:before="22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WGQLGF+KaiTi_GB2312" w:hAnsi="WGQLGF+KaiTi_GB2312" w:cs="WGQLGF+KaiTi_GB2312" w:eastAsiaTheme="minorEastAsia"/>
          <w:color w:val="000000"/>
          <w:spacing w:val="1"/>
          <w:sz w:val="32"/>
          <w:szCs w:val="22"/>
          <w:lang w:val="en-US" w:eastAsia="en-US" w:bidi="ar-SA"/>
        </w:rPr>
        <w:t>价方法、评价标准。</w:t>
      </w:r>
    </w:p>
    <w:p w14:paraId="1515C4B7">
      <w:pPr>
        <w:framePr w:w="2479" w:wrap="around" w:vAnchor="margin" w:hAnchor="text" w:x="2441" w:y="271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1.绩效评价原则</w:t>
      </w:r>
    </w:p>
    <w:p w14:paraId="75C4D7CF">
      <w:pPr>
        <w:framePr w:w="5678" w:wrap="around" w:vAnchor="margin" w:hAnchor="text" w:x="2441" w:y="327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本次项目绩效评价遵循以下基本原则：</w:t>
      </w:r>
    </w:p>
    <w:p w14:paraId="341083E4">
      <w:pPr>
        <w:framePr w:w="9172" w:wrap="around" w:vAnchor="margin" w:hAnchor="text" w:x="1800" w:y="383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（1）科学公正。绩效评价应当运用科学合理的方法，按</w:t>
      </w:r>
    </w:p>
    <w:p w14:paraId="35A4565E">
      <w:pPr>
        <w:framePr w:w="9172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照规范的程序，对项目绩效进行客观、公正的反映。</w:t>
      </w:r>
    </w:p>
    <w:p w14:paraId="4960B7CC">
      <w:pPr>
        <w:framePr w:w="9172" w:wrap="around" w:vAnchor="margin" w:hAnchor="text" w:x="1800" w:y="3837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（2）统筹兼顾。单位自评、部门评价和财政评价应职责</w:t>
      </w:r>
    </w:p>
    <w:p w14:paraId="1EC4B715">
      <w:pPr>
        <w:framePr w:w="9172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明确，各有侧重，相互衔接。单位自评应由项目单位自主实施，</w:t>
      </w:r>
    </w:p>
    <w:p w14:paraId="6F4D3D9B">
      <w:pPr>
        <w:framePr w:w="9172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即“谁支出、谁自评”。部门评价和财政评价应在单位自评的</w:t>
      </w:r>
    </w:p>
    <w:p w14:paraId="17525912">
      <w:pPr>
        <w:framePr w:w="9172" w:wrap="around" w:vAnchor="margin" w:hAnchor="text" w:x="1800" w:y="383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基础上开展。</w:t>
      </w:r>
    </w:p>
    <w:p w14:paraId="28965947">
      <w:pPr>
        <w:framePr w:w="8947" w:wrap="around" w:vAnchor="margin" w:hAnchor="text" w:x="1800" w:y="719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（3）激励约束。绩效评价结果应与预算安排、政策调整、</w:t>
      </w:r>
    </w:p>
    <w:p w14:paraId="3FF8EBF3">
      <w:pPr>
        <w:framePr w:w="8947" w:wrap="around" w:vAnchor="margin" w:hAnchor="text" w:x="1800" w:y="719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改进管理实质性挂钩，体现奖优罚劣和激励相容导向，有效要</w:t>
      </w:r>
    </w:p>
    <w:p w14:paraId="17050E18">
      <w:pPr>
        <w:framePr w:w="8947" w:wrap="around" w:vAnchor="margin" w:hAnchor="text" w:x="1800" w:y="719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安排、低效要压减、无效要问责。</w:t>
      </w:r>
    </w:p>
    <w:p w14:paraId="340DDB07">
      <w:pPr>
        <w:framePr w:w="8786" w:wrap="around" w:vAnchor="margin" w:hAnchor="text" w:x="1800" w:y="887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（4）公开透明。绩效评价结果应依法依规公开，并自觉</w:t>
      </w:r>
    </w:p>
    <w:p w14:paraId="7A46147F">
      <w:pPr>
        <w:framePr w:w="8786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接受社会监督。</w:t>
      </w:r>
    </w:p>
    <w:p w14:paraId="1EA0C2E1">
      <w:pPr>
        <w:framePr w:w="2479" w:wrap="around" w:vAnchor="margin" w:hAnchor="text" w:x="2441" w:y="99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2.评价指标体系</w:t>
      </w:r>
    </w:p>
    <w:p w14:paraId="0EFA364F">
      <w:pPr>
        <w:framePr w:w="8853" w:wrap="around" w:vAnchor="margin" w:hAnchor="text" w:x="1800" w:y="105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绩效评价框架是开展绩效评价的核心。绩效评价框架包括</w:t>
      </w:r>
    </w:p>
    <w:p w14:paraId="56540156">
      <w:pPr>
        <w:framePr w:w="8853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评价准则、关键评价问题、评价指标、数据来源、数据收集方</w:t>
      </w:r>
    </w:p>
    <w:p w14:paraId="7D4C8829">
      <w:pPr>
        <w:framePr w:w="8853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法等。指标体系建立过程如下：</w:t>
      </w:r>
    </w:p>
    <w:p w14:paraId="3C456AEF">
      <w:pPr>
        <w:framePr w:w="2959" w:wrap="around" w:vAnchor="margin" w:hAnchor="text" w:x="2441" w:y="1223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（1）确定评价指标</w:t>
      </w:r>
    </w:p>
    <w:p w14:paraId="6ED39B2C">
      <w:pPr>
        <w:framePr w:w="8853" w:wrap="around" w:vAnchor="margin" w:hAnchor="text" w:x="1800" w:y="1279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采用层次分析法，建立评价指标体系。绩效评价将指标分</w:t>
      </w:r>
    </w:p>
    <w:p w14:paraId="61005024">
      <w:pPr>
        <w:framePr w:w="8853" w:wrap="around" w:vAnchor="margin" w:hAnchor="text" w:x="1800" w:y="1279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为项目决策指标、项目过程指标、项目产出指标、项目效益指</w:t>
      </w:r>
    </w:p>
    <w:p w14:paraId="5AB24FFD">
      <w:pPr>
        <w:framePr w:w="8853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标四个维度，最终形成一个由多个相互联系的指标组成的多层</w:t>
      </w:r>
    </w:p>
    <w:p w14:paraId="269FE831">
      <w:pPr>
        <w:framePr w:w="8853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AFHRIE+FangSong_GB2312" w:hAnsi="AFHRIE+FangSong_GB2312" w:cs="AFHRIE+FangSong_GB2312" w:eastAsiaTheme="minorEastAsia"/>
          <w:color w:val="000000"/>
          <w:sz w:val="32"/>
          <w:szCs w:val="22"/>
          <w:lang w:val="en-US" w:eastAsia="en-US" w:bidi="ar-SA"/>
        </w:rPr>
        <w:t>次指标体系。</w:t>
      </w:r>
    </w:p>
    <w:p w14:paraId="5F80F40A">
      <w:pPr>
        <w:framePr w:w="331" w:wrap="around" w:vAnchor="margin" w:hAnchor="text" w:x="6029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7</w:t>
      </w:r>
    </w:p>
    <w:p w14:paraId="05769234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2286D2B9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6D27EAAF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9" w:name="br1_8"/>
      <w:bookmarkEnd w:id="9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26E5C9C0">
      <w:pPr>
        <w:framePr w:w="2318" w:wrap="around" w:vAnchor="margin" w:hAnchor="text" w:x="2441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（2）确定权重</w:t>
      </w:r>
    </w:p>
    <w:p w14:paraId="4A25393C">
      <w:pPr>
        <w:framePr w:w="8947" w:wrap="around" w:vAnchor="margin" w:hAnchor="text" w:x="1800" w:y="21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确定各个指标相对于项目总体绩效的权重分值。在绩效评</w:t>
      </w:r>
    </w:p>
    <w:p w14:paraId="11837B8C">
      <w:pPr>
        <w:framePr w:w="8947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价指标体系中，项目决策权重为</w:t>
      </w:r>
      <w:r>
        <w:rPr>
          <w:rFonts w:hAnsiTheme="minorHAnsi" w:eastAsiaTheme="minorEastAsia" w:cstheme="minorBidi"/>
          <w:color w:val="000000"/>
          <w:spacing w:val="7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="SLVSUH+FangSong_GB2312" w:cs="SLVSUH+FangSong_GB2312" w:eastAsiaTheme="minorEastAsia"/>
          <w:color w:val="000000"/>
          <w:spacing w:val="-14"/>
          <w:sz w:val="32"/>
          <w:szCs w:val="22"/>
          <w:lang w:val="en-US" w:eastAsia="en-US" w:bidi="ar-SA"/>
        </w:rPr>
        <w:t>分，项目过程权重为</w:t>
      </w:r>
      <w:r>
        <w:rPr>
          <w:rFonts w:hAnsiTheme="minorHAnsi" w:eastAsiaTheme="minorEastAsia" w:cstheme="minorBidi"/>
          <w:color w:val="000000"/>
          <w:spacing w:val="15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="SLVSUH+FangSong_GB2312" w:cs="SLVSUH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分，</w:t>
      </w:r>
    </w:p>
    <w:p w14:paraId="155AB1E6">
      <w:pPr>
        <w:framePr w:w="8947" w:wrap="around" w:vAnchor="margin" w:hAnchor="text" w:x="1800" w:y="21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项目产出权重为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40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分，项目效益权重为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="SLVSUH+FangSong_GB2312" w:cs="SLVSUH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分。</w:t>
      </w:r>
    </w:p>
    <w:p w14:paraId="1E13F131">
      <w:pPr>
        <w:framePr w:w="8947" w:wrap="around" w:vAnchor="margin" w:hAnchor="text" w:x="1800" w:y="2157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（3）确定指标标准值</w:t>
      </w:r>
    </w:p>
    <w:p w14:paraId="27DB845F">
      <w:pPr>
        <w:framePr w:w="8853" w:wrap="around" w:vAnchor="margin" w:hAnchor="text" w:x="1800" w:y="439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指标标准值是绩效评价指标的尺度，既要反映同类项目的</w:t>
      </w:r>
    </w:p>
    <w:p w14:paraId="0AB9129D">
      <w:pPr>
        <w:framePr w:w="8853" w:wrap="around" w:vAnchor="margin" w:hAnchor="text" w:x="1800" w:y="439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先进水平，又要符合项目的实际绩效水平。具体采用计划标准</w:t>
      </w:r>
    </w:p>
    <w:p w14:paraId="757727E7">
      <w:pPr>
        <w:framePr w:w="8853" w:wrap="around" w:vAnchor="margin" w:hAnchor="text" w:x="1800" w:y="43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等确定此次绩效评价指标标准值。</w:t>
      </w:r>
    </w:p>
    <w:p w14:paraId="4F9409A3">
      <w:pPr>
        <w:framePr w:w="8788" w:wrap="around" w:vAnchor="margin" w:hAnchor="text" w:x="1800" w:y="607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绩效评价总分值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100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="SLVSUH+FangSong_GB2312" w:cs="SLVSUH+FangSong_GB2312" w:eastAsiaTheme="minorEastAsia"/>
          <w:color w:val="000000"/>
          <w:spacing w:val="-21"/>
          <w:sz w:val="32"/>
          <w:szCs w:val="22"/>
          <w:lang w:val="en-US" w:eastAsia="en-US" w:bidi="ar-SA"/>
        </w:rPr>
        <w:t>分，根据综合评分结果，90（含）-100</w:t>
      </w:r>
    </w:p>
    <w:p w14:paraId="62266F69">
      <w:pPr>
        <w:framePr w:w="8788" w:wrap="around" w:vAnchor="margin" w:hAnchor="text" w:x="1800" w:y="607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分为优、80（含）-90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分为良、60（含）-80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分为中、60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="SLVSUH+FangSong_GB2312" w:cs="SLVSUH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分以</w:t>
      </w:r>
    </w:p>
    <w:p w14:paraId="5F17E417">
      <w:pPr>
        <w:framePr w:w="8788" w:wrap="around" w:vAnchor="margin" w:hAnchor="text" w:x="1800" w:y="607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下为差。</w:t>
      </w:r>
    </w:p>
    <w:p w14:paraId="1A576116">
      <w:pPr>
        <w:framePr w:w="4638" w:wrap="around" w:vAnchor="margin" w:hAnchor="text" w:x="2441" w:y="775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具体评价指标体系详情见附件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SLVSU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</w:t>
      </w:r>
    </w:p>
    <w:p w14:paraId="51BBC403">
      <w:pPr>
        <w:framePr w:w="2479" w:wrap="around" w:vAnchor="margin" w:hAnchor="text" w:x="2441" w:y="831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3.绩效评价方法</w:t>
      </w:r>
    </w:p>
    <w:p w14:paraId="3DC8573E">
      <w:pPr>
        <w:framePr w:w="8853" w:wrap="around" w:vAnchor="margin" w:hAnchor="text" w:x="1800" w:y="887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绩效评价从项目决策、项目过程、项目产出、项目效益四</w:t>
      </w:r>
    </w:p>
    <w:p w14:paraId="12B12EB8">
      <w:pPr>
        <w:framePr w:w="8853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个维度进行评价。评价对象为项目目标实施情况，评价核心为</w:t>
      </w:r>
    </w:p>
    <w:p w14:paraId="46D91A84">
      <w:pPr>
        <w:framePr w:w="8853" w:wrap="around" w:vAnchor="margin" w:hAnchor="text" w:x="1800" w:y="887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资金的支出完成情况和项目的产出效益。</w:t>
      </w:r>
    </w:p>
    <w:p w14:paraId="11825D79">
      <w:pPr>
        <w:framePr w:w="8880" w:wrap="around" w:vAnchor="margin" w:hAnchor="text" w:x="1800" w:y="105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本次评价指标中，既有定性指标又有定量指标，各类指标</w:t>
      </w:r>
    </w:p>
    <w:p w14:paraId="75134C2D"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因考核内容不同和客观标准不同存在较大差异，因此核定具体</w:t>
      </w:r>
    </w:p>
    <w:p w14:paraId="78003323">
      <w:pPr>
        <w:framePr w:w="8880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指标时采用了不同方法，具体评价方法如下：</w:t>
      </w:r>
    </w:p>
    <w:p w14:paraId="6F3DDA5C"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z w:val="32"/>
          <w:szCs w:val="22"/>
          <w:lang w:val="en-US" w:eastAsia="en-US" w:bidi="ar-SA"/>
        </w:rPr>
        <w:t>（一）比较法。是指将实施情况与绩效目标、历史情况、</w:t>
      </w:r>
    </w:p>
    <w:p w14:paraId="5ACA00FB"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不同部门和地区同类支出情况进行比较的方法。通过整理本项</w:t>
      </w:r>
    </w:p>
    <w:p w14:paraId="6EC580D5">
      <w:pPr>
        <w:framePr w:w="8880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目相关资料和数据，评价数量指标的完成情况；通过分析项目</w:t>
      </w:r>
    </w:p>
    <w:p w14:paraId="3BE095F6"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的实施情况与绩效目标实现情况，评价项目实施的效果；通过</w:t>
      </w:r>
    </w:p>
    <w:p w14:paraId="04CB4E66"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SLVSUH+FangSong_GB2312" w:hAnsi="SLVSUH+FangSong_GB2312" w:cs="SLVSU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分析项目资金使用情况及产生的效果，评价预算资金分配的合</w:t>
      </w:r>
    </w:p>
    <w:p w14:paraId="401C5BE0">
      <w:pPr>
        <w:framePr w:w="331" w:wrap="around" w:vAnchor="margin" w:hAnchor="text" w:x="6029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8</w:t>
      </w:r>
    </w:p>
    <w:p w14:paraId="2FB45A7D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7F5069F1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5A68EA1D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0" w:name="br1_9"/>
      <w:bookmarkEnd w:id="10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232D2FC6">
      <w:pPr>
        <w:framePr w:w="8786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理性。</w:t>
      </w:r>
    </w:p>
    <w:p w14:paraId="57F36F47">
      <w:pPr>
        <w:framePr w:w="8786" w:wrap="around" w:vAnchor="margin" w:hAnchor="text" w:x="1800" w:y="159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（二）公众评判法。是指通过专家评估、公众问卷及抽样</w:t>
      </w:r>
    </w:p>
    <w:p w14:paraId="35539C77">
      <w:pPr>
        <w:framePr w:w="8880" w:wrap="around" w:vAnchor="margin" w:hAnchor="text" w:x="1800" w:y="271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调查等方式进行评判的方法。通过采用实地访谈、远程访谈相</w:t>
      </w:r>
    </w:p>
    <w:p w14:paraId="4C016A0C">
      <w:pPr>
        <w:framePr w:w="8880" w:wrap="around" w:vAnchor="margin" w:hAnchor="text" w:x="1800" w:y="27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结合方式，对本项目的实施情况进行充分调研，了解掌握资金</w:t>
      </w:r>
    </w:p>
    <w:p w14:paraId="71FC5CCD">
      <w:pPr>
        <w:framePr w:w="8880" w:wrap="around" w:vAnchor="margin" w:hAnchor="text" w:x="1800" w:y="27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分配、资金管理、资金使用、制度建设、制度执行情况。采用</w:t>
      </w:r>
    </w:p>
    <w:p w14:paraId="19382CF1">
      <w:pPr>
        <w:framePr w:w="8880" w:wrap="around" w:vAnchor="margin" w:hAnchor="text" w:x="1800" w:y="27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问卷调查方式，对受益对象开展满意度调查，进行综合评价。</w:t>
      </w:r>
    </w:p>
    <w:p w14:paraId="0A09A14B">
      <w:pPr>
        <w:framePr w:w="8880" w:wrap="around" w:vAnchor="margin" w:hAnchor="text" w:x="1800" w:y="2716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4.评价标准</w:t>
      </w:r>
    </w:p>
    <w:p w14:paraId="02207DB2">
      <w:pPr>
        <w:framePr w:w="8947" w:wrap="around" w:vAnchor="margin" w:hAnchor="text" w:x="1800" w:y="551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10"/>
          <w:sz w:val="32"/>
          <w:szCs w:val="22"/>
          <w:lang w:val="en-US" w:eastAsia="en-US" w:bidi="ar-SA"/>
        </w:rPr>
        <w:t>绩效评价标准通常包括计划标准、行业标准、历史标准等，</w:t>
      </w:r>
    </w:p>
    <w:p w14:paraId="199B58CE">
      <w:pPr>
        <w:framePr w:w="8947" w:wrap="around" w:vAnchor="margin" w:hAnchor="text" w:x="1800" w:y="55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用于对绩效指标完成情况进行比较、分析、评价。本次评价主</w:t>
      </w:r>
    </w:p>
    <w:p w14:paraId="7E3DE33A">
      <w:pPr>
        <w:framePr w:w="8947" w:wrap="around" w:vAnchor="margin" w:hAnchor="text" w:x="1800" w:y="551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要采用了计划标准、行业标准、历史标准。</w:t>
      </w:r>
    </w:p>
    <w:p w14:paraId="7F62DA72">
      <w:pPr>
        <w:framePr w:w="8947" w:wrap="around" w:vAnchor="margin" w:hAnchor="text" w:x="1800" w:y="5517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（1）计划标准。指以预先制定的目标、计划、预算、定</w:t>
      </w:r>
    </w:p>
    <w:p w14:paraId="6532EFDB">
      <w:pPr>
        <w:framePr w:w="8947" w:wrap="around" w:vAnchor="margin" w:hAnchor="text" w:x="1800" w:y="55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额等作为评价标准。</w:t>
      </w:r>
    </w:p>
    <w:p w14:paraId="73B9175D">
      <w:pPr>
        <w:framePr w:w="8786" w:wrap="around" w:vAnchor="margin" w:hAnchor="text" w:x="1800" w:y="831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（2）行业标准。指参照国家公布的行业指标数据制定的</w:t>
      </w:r>
    </w:p>
    <w:p w14:paraId="32695532">
      <w:pPr>
        <w:framePr w:w="8786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评价标准。</w:t>
      </w:r>
    </w:p>
    <w:p w14:paraId="26E43806">
      <w:pPr>
        <w:framePr w:w="8853" w:wrap="around" w:vAnchor="margin" w:hAnchor="text" w:x="1800" w:y="943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3"/>
          <w:sz w:val="32"/>
          <w:szCs w:val="22"/>
          <w:lang w:val="en-US" w:eastAsia="en-US" w:bidi="ar-SA"/>
        </w:rPr>
        <w:t>（3）历史标准。指参照历史数据制定的评价标准，为体</w:t>
      </w:r>
    </w:p>
    <w:p w14:paraId="407AC69A">
      <w:pPr>
        <w:framePr w:w="8853" w:wrap="around" w:vAnchor="margin" w:hAnchor="text" w:x="1800" w:y="943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现绩效改进的原则，在可实现的条件下应当确定相对较高的评</w:t>
      </w:r>
    </w:p>
    <w:p w14:paraId="4D08C9FB">
      <w:pPr>
        <w:framePr w:w="8853" w:wrap="around" w:vAnchor="margin" w:hAnchor="text" w:x="1800" w:y="943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价标准。</w:t>
      </w:r>
    </w:p>
    <w:p w14:paraId="363228F2">
      <w:pPr>
        <w:framePr w:w="4111" w:wrap="around" w:vAnchor="margin" w:hAnchor="text" w:x="2508" w:y="1111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楷体" w:hAnsi="楷体" w:cs="楷体" w:eastAsiaTheme="minorEastAsia"/>
          <w:color w:val="000000"/>
          <w:spacing w:val="35"/>
          <w:sz w:val="32"/>
          <w:szCs w:val="22"/>
          <w:lang w:val="en-US" w:eastAsia="en-US" w:bidi="ar-SA"/>
        </w:rPr>
        <w:t>（三）绩效评价工作过程</w:t>
      </w:r>
    </w:p>
    <w:p w14:paraId="104533FC">
      <w:pPr>
        <w:framePr w:w="3278" w:wrap="around" w:vAnchor="margin" w:hAnchor="text" w:x="2441" w:y="1167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（1）前期准备与规划</w:t>
      </w:r>
    </w:p>
    <w:p w14:paraId="37811BC3">
      <w:pPr>
        <w:framePr w:w="9172" w:wrap="around" w:vAnchor="margin" w:hAnchor="text" w:x="1800" w:y="1223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在项目绩效评价工作启动之初，成立了专门的评价工作小</w:t>
      </w:r>
    </w:p>
    <w:p w14:paraId="6E9129E5">
      <w:pPr>
        <w:framePr w:w="9172" w:wrap="around" w:vAnchor="margin" w:hAnchor="text" w:x="1800" w:y="122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组，小组成员由财务人员、项目管理专业人员及相关领域技术</w:t>
      </w:r>
    </w:p>
    <w:p w14:paraId="252A711D">
      <w:pPr>
        <w:framePr w:w="9172" w:wrap="around" w:vAnchor="margin" w:hAnchor="text" w:x="1800" w:y="1223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骨干组成，确保从多角度、全方位对项目绩效进行评价。同时，</w:t>
      </w:r>
    </w:p>
    <w:p w14:paraId="3E852F36">
      <w:pPr>
        <w:framePr w:w="9172" w:wrap="around" w:vAnchor="margin" w:hAnchor="text" w:x="1800" w:y="122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明确了评价工作的目标、范围、重点及时间安排，制定了详细</w:t>
      </w:r>
    </w:p>
    <w:p w14:paraId="505B6E4F">
      <w:pPr>
        <w:framePr w:w="9172" w:wrap="around" w:vAnchor="margin" w:hAnchor="text" w:x="1800" w:y="122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DQJKVE+FangSong_GB2312" w:hAnsi="DQJKVE+FangSong_GB2312" w:cs="DQJKVE+FangSong_GB2312" w:eastAsiaTheme="minorEastAsia"/>
          <w:color w:val="000000"/>
          <w:sz w:val="32"/>
          <w:szCs w:val="22"/>
          <w:lang w:val="en-US" w:eastAsia="en-US" w:bidi="ar-SA"/>
        </w:rPr>
        <w:t>的工作计划，为评价工作的顺利开展奠定了坚实基础。</w:t>
      </w:r>
    </w:p>
    <w:p w14:paraId="74150B6B">
      <w:pPr>
        <w:framePr w:w="331" w:wrap="around" w:vAnchor="margin" w:hAnchor="text" w:x="6029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9</w:t>
      </w:r>
    </w:p>
    <w:p w14:paraId="4B9284CA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5A202AE5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0A9BD5FD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1" w:name="br1_10"/>
      <w:bookmarkEnd w:id="11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4ED26183">
      <w:pPr>
        <w:framePr w:w="2959" w:wrap="around" w:vAnchor="margin" w:hAnchor="text" w:x="2441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（2）指标体系构建</w:t>
      </w:r>
    </w:p>
    <w:p w14:paraId="2E58454A">
      <w:pPr>
        <w:framePr w:w="8930" w:wrap="around" w:vAnchor="margin" w:hAnchor="text" w:x="1800" w:y="21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依据项目的性质、目标以及预期成果，构建了科学合理的</w:t>
      </w:r>
    </w:p>
    <w:p w14:paraId="5EC18B03">
      <w:pPr>
        <w:framePr w:w="8930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2"/>
          <w:sz w:val="32"/>
          <w:szCs w:val="22"/>
          <w:lang w:val="en-US" w:eastAsia="en-US" w:bidi="ar-SA"/>
        </w:rPr>
        <w:t>绩效评价指标体系。该指标体系涵盖了项目决策、项目过程、</w:t>
      </w:r>
    </w:p>
    <w:p w14:paraId="23ACE080">
      <w:pPr>
        <w:framePr w:w="8930" w:wrap="around" w:vAnchor="margin" w:hAnchor="text" w:x="1800" w:y="21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19"/>
          <w:sz w:val="32"/>
          <w:szCs w:val="22"/>
          <w:lang w:val="en-US" w:eastAsia="en-US" w:bidi="ar-SA"/>
        </w:rPr>
        <w:t>项目</w:t>
      </w:r>
      <w:r>
        <w:rPr>
          <w:rFonts w:hAnsiTheme="minorHAnsi" w:eastAsiaTheme="minorEastAsia" w:cstheme="minorBidi"/>
          <w:color w:val="000000"/>
          <w:spacing w:val="-40"/>
          <w:sz w:val="32"/>
          <w:szCs w:val="22"/>
          <w:lang w:val="en-US" w:eastAsia="en-US" w:bidi="ar-SA"/>
        </w:rPr>
        <w:t xml:space="preserve"> </w:t>
      </w:r>
      <w:r>
        <w:rPr>
          <w:rFonts w:ascii="ONNIAK+FangSong_GB2312" w:hAnsi="ONNIAK+FangSong_GB2312" w:cs="ONNIAK+FangSong_GB2312" w:eastAsiaTheme="minorEastAsia"/>
          <w:color w:val="000000"/>
          <w:spacing w:val="25"/>
          <w:sz w:val="32"/>
          <w:szCs w:val="22"/>
          <w:lang w:val="en-US" w:eastAsia="en-US" w:bidi="ar-SA"/>
        </w:rPr>
        <w:t>产出、</w:t>
      </w:r>
      <w:r>
        <w:rPr>
          <w:rFonts w:hAnsiTheme="minorHAnsi" w:eastAsiaTheme="minorEastAsia" w:cstheme="minorBidi"/>
          <w:color w:val="000000"/>
          <w:spacing w:val="-40"/>
          <w:sz w:val="32"/>
          <w:szCs w:val="22"/>
          <w:lang w:val="en-US" w:eastAsia="en-US" w:bidi="ar-SA"/>
        </w:rPr>
        <w:t xml:space="preserve"> </w:t>
      </w:r>
      <w:r>
        <w:rPr>
          <w:rFonts w:ascii="ONNIAK+FangSong_GB2312" w:hAnsi="ONNIAK+FangSong_GB2312" w:cs="ONNIAK+FangSong_GB2312" w:eastAsiaTheme="minorEastAsia"/>
          <w:color w:val="000000"/>
          <w:spacing w:val="25"/>
          <w:sz w:val="32"/>
          <w:szCs w:val="22"/>
          <w:lang w:val="en-US" w:eastAsia="en-US" w:bidi="ar-SA"/>
        </w:rPr>
        <w:t>项目效</w:t>
      </w:r>
      <w:r>
        <w:rPr>
          <w:rFonts w:hAnsiTheme="minorHAnsi" w:eastAsiaTheme="minorEastAsia" w:cstheme="minorBidi"/>
          <w:color w:val="000000"/>
          <w:spacing w:val="-40"/>
          <w:sz w:val="32"/>
          <w:szCs w:val="22"/>
          <w:lang w:val="en-US" w:eastAsia="en-US" w:bidi="ar-SA"/>
        </w:rPr>
        <w:t xml:space="preserve"> </w:t>
      </w:r>
      <w:r>
        <w:rPr>
          <w:rFonts w:ascii="ONNIAK+FangSong_GB2312" w:hAnsi="ONNIAK+FangSong_GB2312" w:cs="ONNIAK+FangSong_GB2312" w:eastAsiaTheme="minorEastAsia"/>
          <w:color w:val="000000"/>
          <w:spacing w:val="25"/>
          <w:sz w:val="32"/>
          <w:szCs w:val="22"/>
          <w:lang w:val="en-US" w:eastAsia="en-US" w:bidi="ar-SA"/>
        </w:rPr>
        <w:t>益四个</w:t>
      </w:r>
      <w:r>
        <w:rPr>
          <w:rFonts w:hAnsiTheme="minorHAnsi" w:eastAsiaTheme="minorEastAsia" w:cstheme="minorBidi"/>
          <w:color w:val="000000"/>
          <w:spacing w:val="-40"/>
          <w:sz w:val="32"/>
          <w:szCs w:val="22"/>
          <w:lang w:val="en-US" w:eastAsia="en-US" w:bidi="ar-SA"/>
        </w:rPr>
        <w:t xml:space="preserve"> </w:t>
      </w:r>
      <w:r>
        <w:rPr>
          <w:rFonts w:ascii="ONNIAK+FangSong_GB2312" w:hAnsi="ONNIAK+FangSong_GB2312" w:cs="ONNIAK+FangSong_GB2312" w:eastAsiaTheme="minorEastAsia"/>
          <w:color w:val="000000"/>
          <w:spacing w:val="9"/>
          <w:sz w:val="32"/>
          <w:szCs w:val="22"/>
          <w:lang w:val="en-US" w:eastAsia="en-US" w:bidi="ar-SA"/>
        </w:rPr>
        <w:t>维度，选取了具有代表性和可衡</w:t>
      </w:r>
    </w:p>
    <w:p w14:paraId="2C2F3E79">
      <w:pPr>
        <w:framePr w:w="8930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9"/>
          <w:sz w:val="32"/>
          <w:szCs w:val="22"/>
          <w:lang w:val="en-US" w:eastAsia="en-US" w:bidi="ar-SA"/>
        </w:rPr>
        <w:t>量性的关键指标，并为每个指标设定了明确的评价标准与权</w:t>
      </w:r>
    </w:p>
    <w:p w14:paraId="2A7D2063">
      <w:pPr>
        <w:framePr w:w="8930" w:wrap="around" w:vAnchor="margin" w:hAnchor="text" w:x="1800" w:y="21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重，确保评价结果能够全面、准确地反映项目的绩效状况。</w:t>
      </w:r>
    </w:p>
    <w:p w14:paraId="6E7EA25E">
      <w:pPr>
        <w:framePr w:w="8930" w:wrap="around" w:vAnchor="margin" w:hAnchor="text" w:x="1800" w:y="2157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（3）数据收集与整理</w:t>
      </w:r>
    </w:p>
    <w:p w14:paraId="4BB32A8E">
      <w:pPr>
        <w:framePr w:w="8853" w:wrap="around" w:vAnchor="margin" w:hAnchor="text" w:x="1800" w:y="551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广泛收集与项目相关的各类数据，包括财务报表、项目文</w:t>
      </w:r>
    </w:p>
    <w:p w14:paraId="6BD16395">
      <w:pPr>
        <w:framePr w:w="8853" w:wrap="around" w:vAnchor="margin" w:hAnchor="text" w:x="1800" w:y="55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档、业务数据、被审计单位反馈等。在数据收集过程中，注重</w:t>
      </w:r>
    </w:p>
    <w:p w14:paraId="197151B1">
      <w:pPr>
        <w:framePr w:w="8853" w:wrap="around" w:vAnchor="margin" w:hAnchor="text" w:x="1800" w:y="551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数据的质量与完整性，对缺失或异常的数据进行了合理的处理</w:t>
      </w:r>
    </w:p>
    <w:p w14:paraId="52FAE84F">
      <w:pPr>
        <w:framePr w:w="8853" w:wrap="around" w:vAnchor="margin" w:hAnchor="text" w:x="1800" w:y="55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和补充。随后，对收集到的数据进行了系统的整理与分类，为</w:t>
      </w:r>
    </w:p>
    <w:p w14:paraId="0D371337">
      <w:pPr>
        <w:framePr w:w="8853" w:wrap="around" w:vAnchor="margin" w:hAnchor="text" w:x="1800" w:y="55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后续的数据分析提供了有力支持。</w:t>
      </w:r>
    </w:p>
    <w:p w14:paraId="18D81DE9">
      <w:pPr>
        <w:framePr w:w="3278" w:wrap="around" w:vAnchor="margin" w:hAnchor="text" w:x="2441" w:y="831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（4）数据分析与评估</w:t>
      </w:r>
    </w:p>
    <w:p w14:paraId="6CF754D9">
      <w:pPr>
        <w:framePr w:w="8880" w:wrap="around" w:vAnchor="margin" w:hAnchor="text" w:x="1800" w:y="887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对收集到的数据进行了深入挖掘与分析。通过对各项绩效</w:t>
      </w:r>
    </w:p>
    <w:p w14:paraId="62C49A59">
      <w:pPr>
        <w:framePr w:w="8880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指标的实际完成情况与预期目标进行对比，计算出指标的达成</w:t>
      </w:r>
    </w:p>
    <w:p w14:paraId="189B1891">
      <w:pPr>
        <w:framePr w:w="8880" w:wrap="around" w:vAnchor="margin" w:hAnchor="text" w:x="1800" w:y="887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率，并结合指标权重进行综合评分，从而得出项目的整体绩效</w:t>
      </w:r>
    </w:p>
    <w:p w14:paraId="6A6EDE7F">
      <w:pPr>
        <w:framePr w:w="8880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评价结果。在分析过程中，注重数据之间的关联性与逻辑性，</w:t>
      </w:r>
    </w:p>
    <w:p w14:paraId="4F98443F">
      <w:pPr>
        <w:framePr w:w="8880" w:wrap="around" w:vAnchor="margin" w:hAnchor="text" w:x="1800" w:y="887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深入剖析项目绩效背后的原因，识别出项目实施过程中的优势</w:t>
      </w:r>
    </w:p>
    <w:p w14:paraId="1502A4B0">
      <w:pPr>
        <w:framePr w:w="8880" w:wrap="around" w:vAnchor="margin" w:hAnchor="text" w:x="1800" w:y="887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与不足，为提出有针对性的改进建议提供了依据。</w:t>
      </w:r>
    </w:p>
    <w:p w14:paraId="2121C2A7">
      <w:pPr>
        <w:framePr w:w="8880" w:wrap="around" w:vAnchor="margin" w:hAnchor="text" w:x="1800" w:y="8877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（5）报告撰写与反馈</w:t>
      </w:r>
    </w:p>
    <w:p w14:paraId="25E71950">
      <w:pPr>
        <w:framePr w:w="8880" w:wrap="around" w:vAnchor="margin" w:hAnchor="text" w:x="1800" w:y="1279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根据数据分析与评估的结果，按照统一的格式和规范撰写</w:t>
      </w:r>
    </w:p>
    <w:p w14:paraId="0B213B37">
      <w:pPr>
        <w:framePr w:w="8880" w:wrap="around" w:vAnchor="margin" w:hAnchor="text" w:x="1800" w:y="1279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z w:val="32"/>
          <w:szCs w:val="22"/>
          <w:lang w:val="en-US" w:eastAsia="en-US" w:bidi="ar-SA"/>
        </w:rPr>
        <w:t>项目预算绩效评价报告。报告内容包括项目背景、评价目的、</w:t>
      </w:r>
    </w:p>
    <w:p w14:paraId="5B9EF4C8">
      <w:pPr>
        <w:framePr w:w="8880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评价指标体系、数据收集与分析方法、绩效评价结果、存在问</w:t>
      </w:r>
    </w:p>
    <w:p w14:paraId="2B8496A9">
      <w:pPr>
        <w:framePr w:w="8880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NNIAK+FangSong_GB2312" w:hAnsi="ONNIAK+FangSong_GB2312" w:cs="ONNIA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题与改进建议等多个部分，力求条理清晰、重点突出、语言简</w:t>
      </w:r>
    </w:p>
    <w:p w14:paraId="4E62DD65"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10</w:t>
      </w:r>
    </w:p>
    <w:p w14:paraId="26386B64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2BB36D5D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7BC8738C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2" w:name="br1_11"/>
      <w:bookmarkEnd w:id="12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02AF7133">
      <w:pPr>
        <w:framePr w:w="8853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洁明了。在报告撰写完成后，及时向项目实施主体及相关利益</w:t>
      </w:r>
    </w:p>
    <w:p w14:paraId="45002D71">
      <w:pPr>
        <w:framePr w:w="8853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相关者进行反馈，充分听取各方意见与建议，对报告内容进行</w:t>
      </w:r>
    </w:p>
    <w:p w14:paraId="44923D9E">
      <w:pPr>
        <w:framePr w:w="8853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z w:val="32"/>
          <w:szCs w:val="22"/>
          <w:lang w:val="en-US" w:eastAsia="en-US" w:bidi="ar-SA"/>
        </w:rPr>
        <w:t>进一步的完善与优化，确保评价报告的质量与实用性。</w:t>
      </w:r>
    </w:p>
    <w:p w14:paraId="6FDAC509">
      <w:pPr>
        <w:framePr w:w="8853" w:wrap="around" w:vAnchor="margin" w:hAnchor="text" w:x="1800" w:y="1598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z w:val="32"/>
          <w:szCs w:val="22"/>
          <w:lang w:val="en-US" w:eastAsia="en-US" w:bidi="ar-SA"/>
        </w:rPr>
        <w:t>（6）后续跟踪与改进</w:t>
      </w:r>
    </w:p>
    <w:p w14:paraId="06255F8C">
      <w:pPr>
        <w:framePr w:w="8853" w:wrap="around" w:vAnchor="margin" w:hAnchor="text" w:x="1800" w:y="383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在评价报告提交后，我们将持续跟踪项目的改进措施落实</w:t>
      </w:r>
    </w:p>
    <w:p w14:paraId="6C04C68A">
      <w:pPr>
        <w:framePr w:w="8853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情况，定期对项目绩效进行复查与评估，确保项目能够根据评</w:t>
      </w:r>
    </w:p>
    <w:p w14:paraId="4EAD0007">
      <w:pPr>
        <w:framePr w:w="8853" w:wrap="around" w:vAnchor="margin" w:hAnchor="text" w:x="1800" w:y="383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价结果及时调整与优化，实现绩效的持续提升。同时，根据项</w:t>
      </w:r>
    </w:p>
    <w:p w14:paraId="031E30EF">
      <w:pPr>
        <w:framePr w:w="8853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目实施过程中出现的新情况、新问题，适时调整绩效评价指标</w:t>
      </w:r>
    </w:p>
    <w:p w14:paraId="554173E2">
      <w:pPr>
        <w:framePr w:w="8853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体系与方法，保持评价工作的适应性与前瞻性，为项目的长期</w:t>
      </w:r>
    </w:p>
    <w:p w14:paraId="18066A01">
      <w:pPr>
        <w:framePr w:w="8853" w:wrap="around" w:vAnchor="margin" w:hAnchor="text" w:x="1800" w:y="383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z w:val="32"/>
          <w:szCs w:val="22"/>
          <w:lang w:val="en-US" w:eastAsia="en-US" w:bidi="ar-SA"/>
        </w:rPr>
        <w:t>稳定发展提供有力保障。</w:t>
      </w:r>
    </w:p>
    <w:p w14:paraId="79E11702">
      <w:pPr>
        <w:framePr w:w="6957" w:wrap="around" w:vAnchor="margin" w:hAnchor="text" w:x="2441" w:y="719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三、综合评价情况及评价结论（附相关评分表）</w:t>
      </w:r>
    </w:p>
    <w:p w14:paraId="15CC42D2">
      <w:pPr>
        <w:framePr w:w="6957" w:wrap="around" w:vAnchor="margin" w:hAnchor="text" w:x="2441" w:y="719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JOPHKG+KaiTi_GB2312" w:hAnsi="JOPHKG+KaiTi_GB2312" w:cs="JOPHKG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（一）评价情况</w:t>
      </w:r>
    </w:p>
    <w:p w14:paraId="016562F8">
      <w:pPr>
        <w:framePr w:w="8880" w:wrap="around" w:vAnchor="margin" w:hAnchor="text" w:x="1800" w:y="831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z w:val="32"/>
          <w:szCs w:val="22"/>
          <w:lang w:val="en-US" w:eastAsia="en-US" w:bidi="ar-SA"/>
        </w:rPr>
        <w:t>本项目的综合评价基于对项目各方面绩效的深入分析与</w:t>
      </w:r>
    </w:p>
    <w:p w14:paraId="60F01FFB">
      <w:pPr>
        <w:framePr w:w="8880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z w:val="32"/>
          <w:szCs w:val="22"/>
          <w:lang w:val="en-US" w:eastAsia="en-US" w:bidi="ar-SA"/>
        </w:rPr>
        <w:t>评估。从项目目标的达成情况来看，2024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OFLFRA+FangSong_GB2312" w:hAnsi="OFLFRA+FangSong_GB2312" w:cs="OFLFRA+FangSong_GB2312" w:eastAsiaTheme="minorEastAsia"/>
          <w:color w:val="000000"/>
          <w:sz w:val="32"/>
          <w:szCs w:val="22"/>
          <w:lang w:val="en-US" w:eastAsia="en-US" w:bidi="ar-SA"/>
        </w:rPr>
        <w:t>年度乡村振兴专项</w:t>
      </w:r>
    </w:p>
    <w:p w14:paraId="5F4CDDF8">
      <w:pPr>
        <w:framePr w:w="8880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z w:val="32"/>
          <w:szCs w:val="22"/>
          <w:lang w:val="en-US" w:eastAsia="en-US" w:bidi="ar-SA"/>
        </w:rPr>
        <w:t>审计经费项目在解决该审计项目人员开展审计期间的差旅费、</w:t>
      </w:r>
    </w:p>
    <w:p w14:paraId="3C699027">
      <w:pPr>
        <w:framePr w:w="8880" w:wrap="around" w:vAnchor="margin" w:hAnchor="text" w:x="1800" w:y="831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开展审计期间车辆使用相关支出等方面表现出色，达到了预期</w:t>
      </w:r>
    </w:p>
    <w:p w14:paraId="0662C513">
      <w:pPr>
        <w:framePr w:w="8880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的标准与要求。同时，项目也在确保审计顺利开展，提出审计</w:t>
      </w:r>
    </w:p>
    <w:p w14:paraId="672D5872">
      <w:pPr>
        <w:framePr w:w="8880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建议方面取得了显著的成效，如促进被审计单位根据审计建议</w:t>
      </w:r>
    </w:p>
    <w:p w14:paraId="45A672C7">
      <w:pPr>
        <w:framePr w:w="8880" w:wrap="around" w:vAnchor="margin" w:hAnchor="text" w:x="1800" w:y="831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z w:val="32"/>
          <w:szCs w:val="22"/>
          <w:lang w:val="en-US" w:eastAsia="en-US" w:bidi="ar-SA"/>
        </w:rPr>
        <w:t>制定整改措施等。</w:t>
      </w:r>
    </w:p>
    <w:p w14:paraId="3D1D39AB">
      <w:pPr>
        <w:framePr w:w="8853" w:wrap="around" w:vAnchor="margin" w:hAnchor="text" w:x="1800" w:y="1223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在项目管理方面，裕民县审计局通过有效的规划、组织与</w:t>
      </w:r>
    </w:p>
    <w:p w14:paraId="7D89D54D">
      <w:pPr>
        <w:framePr w:w="8853" w:wrap="around" w:vAnchor="margin" w:hAnchor="text" w:x="1800" w:y="122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协调，项目得以顺利实施，并在预算与时间上保持了良好的控</w:t>
      </w:r>
    </w:p>
    <w:p w14:paraId="6766CCB1">
      <w:pPr>
        <w:framePr w:w="8853" w:wrap="around" w:vAnchor="margin" w:hAnchor="text" w:x="1800" w:y="1223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制。</w:t>
      </w:r>
    </w:p>
    <w:p w14:paraId="6CFDA08D">
      <w:pPr>
        <w:framePr w:w="8853" w:wrap="around" w:vAnchor="margin" w:hAnchor="text" w:x="1800" w:y="1391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从项目效益的角度来看，本项目不仅实现了预期的社会效</w:t>
      </w:r>
    </w:p>
    <w:p w14:paraId="4D3EBD71">
      <w:pPr>
        <w:framePr w:w="8853" w:wrap="around" w:vAnchor="margin" w:hAnchor="text" w:x="1800" w:y="139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FLFRA+FangSong_GB2312" w:hAnsi="OFLFRA+FangSong_GB2312" w:cs="OFLFRA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益方面产生了积极的影响。具体而言，是促进被审计单位根据</w:t>
      </w:r>
    </w:p>
    <w:p w14:paraId="681E66EF"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11</w:t>
      </w:r>
    </w:p>
    <w:p w14:paraId="58088DDF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4E3BFD4F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5E5037CB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3" w:name="br1_12"/>
      <w:bookmarkEnd w:id="13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6614B473">
      <w:pPr>
        <w:framePr w:w="8853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审计建议制定整改措施方面的提升，为项目的利益相关者带来</w:t>
      </w:r>
    </w:p>
    <w:p w14:paraId="6BFD9981">
      <w:pPr>
        <w:framePr w:w="8853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了实实在在的利益。</w:t>
      </w:r>
    </w:p>
    <w:p w14:paraId="50863C44">
      <w:pPr>
        <w:framePr w:w="8853" w:wrap="around" w:vAnchor="margin" w:hAnchor="text" w:x="1800" w:y="271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综上所述，2024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年度乡村振兴专项审计经费在绩效评价</w:t>
      </w:r>
    </w:p>
    <w:p w14:paraId="4FC7EFFE">
      <w:pPr>
        <w:framePr w:w="8853" w:wrap="around" w:vAnchor="margin" w:hAnchor="text" w:x="1800" w:y="27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中表现出色，达到了项目的预期目标，并在多个方面取得了显</w:t>
      </w:r>
    </w:p>
    <w:p w14:paraId="6F41494F">
      <w:pPr>
        <w:framePr w:w="8853" w:wrap="around" w:vAnchor="margin" w:hAnchor="text" w:x="1800" w:y="27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著的成效。</w:t>
      </w:r>
    </w:p>
    <w:p w14:paraId="398BADAC">
      <w:pPr>
        <w:framePr w:w="2486" w:wrap="around" w:vAnchor="margin" w:hAnchor="text" w:x="2441" w:y="439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CGGRP+KaiTi_GB2312" w:hAnsi="PCGGRP+KaiTi_GB2312" w:cs="PCGGRP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（二）评价结论</w:t>
      </w:r>
    </w:p>
    <w:p w14:paraId="3A3B60BB">
      <w:pPr>
        <w:framePr w:w="8947" w:wrap="around" w:vAnchor="margin" w:hAnchor="text" w:x="1800" w:y="495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运用绩效评价组制定的评价指标体系以及财政部《项目支</w:t>
      </w:r>
    </w:p>
    <w:p w14:paraId="4944006A">
      <w:pPr>
        <w:framePr w:w="8947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5"/>
          <w:sz w:val="32"/>
          <w:szCs w:val="22"/>
          <w:lang w:val="en-US" w:eastAsia="en-US" w:bidi="ar-SA"/>
        </w:rPr>
        <w:t>出绩效评价管理办法》（财预〔2020〕10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6"/>
          <w:sz w:val="32"/>
          <w:szCs w:val="22"/>
          <w:lang w:val="en-US" w:eastAsia="en-US" w:bidi="ar-SA"/>
        </w:rPr>
        <w:t>号）文件的评分标</w:t>
      </w:r>
    </w:p>
    <w:p w14:paraId="267AAB8D">
      <w:pPr>
        <w:framePr w:w="8947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准，通过数据采集、问卷调查及访谈等方式，对本项目进行客</w:t>
      </w:r>
    </w:p>
    <w:p w14:paraId="5182538C">
      <w:pPr>
        <w:framePr w:w="8947" w:wrap="around" w:vAnchor="margin" w:hAnchor="text" w:x="1800" w:y="495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3"/>
          <w:sz w:val="32"/>
          <w:szCs w:val="22"/>
          <w:lang w:val="en-US" w:eastAsia="en-US" w:bidi="ar-SA"/>
        </w:rPr>
        <w:t>观评价，最终评分结果：总得分为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99.4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3"/>
          <w:sz w:val="32"/>
          <w:szCs w:val="22"/>
          <w:lang w:val="en-US" w:eastAsia="en-US" w:bidi="ar-SA"/>
        </w:rPr>
        <w:t>分，属于“优”。其</w:t>
      </w:r>
    </w:p>
    <w:p w14:paraId="2FC814CF">
      <w:pPr>
        <w:framePr w:w="8947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9"/>
          <w:sz w:val="32"/>
          <w:szCs w:val="22"/>
          <w:lang w:val="en-US" w:eastAsia="en-US" w:bidi="ar-SA"/>
        </w:rPr>
        <w:t>中，项目决策类指标权重为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6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9"/>
          <w:sz w:val="32"/>
          <w:szCs w:val="22"/>
          <w:lang w:val="en-US" w:eastAsia="en-US" w:bidi="ar-SA"/>
        </w:rPr>
        <w:t>分，得分为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9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9"/>
          <w:sz w:val="32"/>
          <w:szCs w:val="22"/>
          <w:lang w:val="en-US" w:eastAsia="en-US" w:bidi="ar-SA"/>
        </w:rPr>
        <w:t>分，得分率为</w:t>
      </w:r>
    </w:p>
    <w:p w14:paraId="55C1EB0C">
      <w:pPr>
        <w:framePr w:w="8947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2"/>
          <w:sz w:val="32"/>
          <w:szCs w:val="22"/>
          <w:lang w:val="en-US" w:eastAsia="en-US" w:bidi="ar-SA"/>
        </w:rPr>
        <w:t>100%。项目过程类指标权重为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3"/>
          <w:sz w:val="32"/>
          <w:szCs w:val="22"/>
          <w:lang w:val="en-US" w:eastAsia="en-US" w:bidi="ar-SA"/>
        </w:rPr>
        <w:t>分，得分为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19.84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3"/>
          <w:sz w:val="32"/>
          <w:szCs w:val="22"/>
          <w:lang w:val="en-US" w:eastAsia="en-US" w:bidi="ar-SA"/>
        </w:rPr>
        <w:t>分，得分</w:t>
      </w:r>
    </w:p>
    <w:p w14:paraId="002BBD1C">
      <w:pPr>
        <w:framePr w:w="8947" w:wrap="around" w:vAnchor="margin" w:hAnchor="text" w:x="1800" w:y="495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率为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99.2%。项目产出类指标权重为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40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分，得分为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39.56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分，</w:t>
      </w:r>
    </w:p>
    <w:p w14:paraId="6AB084B8">
      <w:pPr>
        <w:framePr w:w="8947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得分率为</w:t>
      </w:r>
      <w:r>
        <w:rPr>
          <w:rFonts w:hAnsiTheme="minorHAnsi" w:eastAsiaTheme="minorEastAsia" w:cstheme="minorBidi"/>
          <w:color w:val="000000"/>
          <w:spacing w:val="80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-8"/>
          <w:sz w:val="32"/>
          <w:szCs w:val="22"/>
          <w:lang w:val="en-US" w:eastAsia="en-US" w:bidi="ar-SA"/>
        </w:rPr>
        <w:t>98.9%。项目效益类指标权重为</w:t>
      </w:r>
      <w:r>
        <w:rPr>
          <w:rFonts w:hAnsiTheme="minorHAnsi" w:eastAsiaTheme="minorEastAsia" w:cstheme="minorBidi"/>
          <w:color w:val="000000"/>
          <w:spacing w:val="9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-25"/>
          <w:sz w:val="32"/>
          <w:szCs w:val="22"/>
          <w:lang w:val="en-US" w:eastAsia="en-US" w:bidi="ar-SA"/>
        </w:rPr>
        <w:t>分，得分为</w:t>
      </w:r>
      <w:r>
        <w:rPr>
          <w:rFonts w:hAnsiTheme="minorHAnsi" w:eastAsiaTheme="minorEastAsia" w:cstheme="minorBidi"/>
          <w:color w:val="000000"/>
          <w:spacing w:val="23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分，</w:t>
      </w:r>
    </w:p>
    <w:p w14:paraId="51AF2F17">
      <w:pPr>
        <w:framePr w:w="8318" w:wrap="around" w:vAnchor="margin" w:hAnchor="text" w:x="1800" w:y="943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得分率为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100%。具体打分情况详见：附件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综合评分表。</w:t>
      </w:r>
    </w:p>
    <w:p w14:paraId="5FE7C8B2">
      <w:pPr>
        <w:framePr w:w="1711" w:wrap="around" w:vAnchor="margin" w:hAnchor="text" w:x="5340" w:y="9874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21"/>
          <w:szCs w:val="22"/>
          <w:lang w:val="en-US" w:eastAsia="en-US" w:bidi="ar-SA"/>
        </w:rPr>
        <w:t>表</w:t>
      </w:r>
      <w:r>
        <w:rPr>
          <w:rFonts w:hAnsiTheme="minorHAnsi" w:eastAsiaTheme="minorEastAsia" w:cstheme="minorBidi"/>
          <w:color w:val="000000"/>
          <w:spacing w:val="-1"/>
          <w:sz w:val="21"/>
          <w:szCs w:val="22"/>
          <w:lang w:val="en-US" w:eastAsia="en-US" w:bidi="ar-SA"/>
        </w:rPr>
        <w:t xml:space="preserve"> </w:t>
      </w:r>
      <w:r>
        <w:rPr>
          <w:rFonts w:ascii="PAHGVQ+TimesNewRomanPS-BoldMT" w:hAnsiTheme="minorHAnsi" w:eastAsiaTheme="minorEastAsia" w:cstheme="minorBidi"/>
          <w:color w:val="000000"/>
          <w:sz w:val="21"/>
          <w:szCs w:val="22"/>
          <w:lang w:val="en-US" w:eastAsia="en-US" w:bidi="ar-SA"/>
        </w:rPr>
        <w:t>1</w:t>
      </w:r>
      <w:r>
        <w:rPr>
          <w:rFonts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1"/>
          <w:sz w:val="21"/>
          <w:szCs w:val="22"/>
          <w:lang w:val="en-US" w:eastAsia="en-US" w:bidi="ar-SA"/>
        </w:rPr>
        <w:t>综合评分表</w:t>
      </w:r>
    </w:p>
    <w:p w14:paraId="337F155A">
      <w:pPr>
        <w:framePr w:w="1083" w:wrap="around" w:vAnchor="margin" w:hAnchor="text" w:x="2666" w:y="10195"/>
        <w:widowControl w:val="0"/>
        <w:autoSpaceDE w:val="0"/>
        <w:autoSpaceDN w:val="0"/>
        <w:spacing w:line="209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1"/>
          <w:sz w:val="21"/>
          <w:szCs w:val="22"/>
          <w:lang w:val="en-US" w:eastAsia="en-US" w:bidi="ar-SA"/>
        </w:rPr>
        <w:t>一级指标</w:t>
      </w:r>
    </w:p>
    <w:p w14:paraId="1A79D640">
      <w:pPr>
        <w:framePr w:w="1083" w:wrap="around" w:vAnchor="margin" w:hAnchor="text" w:x="2666" w:y="10195"/>
        <w:widowControl w:val="0"/>
        <w:autoSpaceDE w:val="0"/>
        <w:autoSpaceDN w:val="0"/>
        <w:spacing w:before="127" w:line="209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21"/>
          <w:szCs w:val="22"/>
          <w:lang w:val="en-US" w:eastAsia="en-US" w:bidi="ar-SA"/>
        </w:rPr>
        <w:t>项目决策</w:t>
      </w:r>
    </w:p>
    <w:p w14:paraId="79890708">
      <w:pPr>
        <w:framePr w:w="1083" w:wrap="around" w:vAnchor="margin" w:hAnchor="text" w:x="2666" w:y="10195"/>
        <w:widowControl w:val="0"/>
        <w:autoSpaceDE w:val="0"/>
        <w:autoSpaceDN w:val="0"/>
        <w:spacing w:before="141" w:line="209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21"/>
          <w:szCs w:val="22"/>
          <w:lang w:val="en-US" w:eastAsia="en-US" w:bidi="ar-SA"/>
        </w:rPr>
        <w:t>项目过程</w:t>
      </w:r>
    </w:p>
    <w:p w14:paraId="280FF53E">
      <w:pPr>
        <w:framePr w:w="1083" w:wrap="around" w:vAnchor="margin" w:hAnchor="text" w:x="2666" w:y="10195"/>
        <w:widowControl w:val="0"/>
        <w:autoSpaceDE w:val="0"/>
        <w:autoSpaceDN w:val="0"/>
        <w:spacing w:before="141" w:line="209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21"/>
          <w:szCs w:val="22"/>
          <w:lang w:val="en-US" w:eastAsia="en-US" w:bidi="ar-SA"/>
        </w:rPr>
        <w:t>项目产出</w:t>
      </w:r>
    </w:p>
    <w:p w14:paraId="11BB5FB3">
      <w:pPr>
        <w:framePr w:w="1083" w:wrap="around" w:vAnchor="margin" w:hAnchor="text" w:x="2666" w:y="10195"/>
        <w:widowControl w:val="0"/>
        <w:autoSpaceDE w:val="0"/>
        <w:autoSpaceDN w:val="0"/>
        <w:spacing w:before="139" w:line="209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21"/>
          <w:szCs w:val="22"/>
          <w:lang w:val="en-US" w:eastAsia="en-US" w:bidi="ar-SA"/>
        </w:rPr>
        <w:t>项目效益</w:t>
      </w:r>
    </w:p>
    <w:p w14:paraId="757BDA59">
      <w:pPr>
        <w:framePr w:w="1083" w:wrap="around" w:vAnchor="margin" w:hAnchor="text" w:x="2666" w:y="10195"/>
        <w:widowControl w:val="0"/>
        <w:autoSpaceDE w:val="0"/>
        <w:autoSpaceDN w:val="0"/>
        <w:spacing w:before="141" w:line="209" w:lineRule="exact"/>
        <w:ind w:left="211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1"/>
          <w:sz w:val="21"/>
          <w:szCs w:val="22"/>
          <w:lang w:val="en-US" w:eastAsia="en-US" w:bidi="ar-SA"/>
        </w:rPr>
        <w:t>合计</w:t>
      </w:r>
    </w:p>
    <w:p w14:paraId="60602783">
      <w:pPr>
        <w:framePr w:w="871" w:wrap="around" w:vAnchor="margin" w:hAnchor="text" w:x="5129" w:y="10195"/>
        <w:widowControl w:val="0"/>
        <w:autoSpaceDE w:val="0"/>
        <w:autoSpaceDN w:val="0"/>
        <w:spacing w:line="209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1"/>
          <w:sz w:val="21"/>
          <w:szCs w:val="22"/>
          <w:lang w:val="en-US" w:eastAsia="en-US" w:bidi="ar-SA"/>
        </w:rPr>
        <w:t>权重分</w:t>
      </w:r>
    </w:p>
    <w:p w14:paraId="2C913C51">
      <w:pPr>
        <w:framePr w:w="871" w:wrap="around" w:vAnchor="margin" w:hAnchor="text" w:x="5129" w:y="10195"/>
        <w:widowControl w:val="0"/>
        <w:autoSpaceDE w:val="0"/>
        <w:autoSpaceDN w:val="0"/>
        <w:spacing w:before="131" w:line="218" w:lineRule="exact"/>
        <w:ind w:left="211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20</w:t>
      </w:r>
    </w:p>
    <w:p w14:paraId="75DAE9C8">
      <w:pPr>
        <w:framePr w:w="660" w:wrap="around" w:vAnchor="margin" w:hAnchor="text" w:x="7210" w:y="10195"/>
        <w:widowControl w:val="0"/>
        <w:autoSpaceDE w:val="0"/>
        <w:autoSpaceDN w:val="0"/>
        <w:spacing w:line="209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1"/>
          <w:sz w:val="21"/>
          <w:szCs w:val="22"/>
          <w:lang w:val="en-US" w:eastAsia="en-US" w:bidi="ar-SA"/>
        </w:rPr>
        <w:t>得分</w:t>
      </w:r>
    </w:p>
    <w:p w14:paraId="7198F452">
      <w:pPr>
        <w:framePr w:w="660" w:wrap="around" w:vAnchor="margin" w:hAnchor="text" w:x="7210" w:y="10195"/>
        <w:widowControl w:val="0"/>
        <w:autoSpaceDE w:val="0"/>
        <w:autoSpaceDN w:val="0"/>
        <w:spacing w:before="131" w:line="218" w:lineRule="exact"/>
        <w:ind w:left="103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20</w:t>
      </w:r>
    </w:p>
    <w:p w14:paraId="41098814">
      <w:pPr>
        <w:framePr w:w="871" w:wrap="around" w:vAnchor="margin" w:hAnchor="text" w:x="9127" w:y="10195"/>
        <w:widowControl w:val="0"/>
        <w:autoSpaceDE w:val="0"/>
        <w:autoSpaceDN w:val="0"/>
        <w:spacing w:line="209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1"/>
          <w:sz w:val="21"/>
          <w:szCs w:val="22"/>
          <w:lang w:val="en-US" w:eastAsia="en-US" w:bidi="ar-SA"/>
        </w:rPr>
        <w:t>得分率</w:t>
      </w:r>
    </w:p>
    <w:p w14:paraId="0CB180AA">
      <w:pPr>
        <w:framePr w:w="871" w:wrap="around" w:vAnchor="margin" w:hAnchor="text" w:x="9127" w:y="10195"/>
        <w:widowControl w:val="0"/>
        <w:autoSpaceDE w:val="0"/>
        <w:autoSpaceDN w:val="0"/>
        <w:spacing w:before="131" w:line="218" w:lineRule="exact"/>
        <w:ind w:left="70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100%</w:t>
      </w:r>
    </w:p>
    <w:p w14:paraId="178B65D8">
      <w:pPr>
        <w:framePr w:w="450" w:wrap="around" w:vAnchor="margin" w:hAnchor="text" w:x="5340" w:y="10886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20</w:t>
      </w:r>
    </w:p>
    <w:p w14:paraId="7AEE5956">
      <w:pPr>
        <w:framePr w:w="714" w:wrap="around" w:vAnchor="margin" w:hAnchor="text" w:x="7183" w:y="10886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19.84</w:t>
      </w:r>
    </w:p>
    <w:p w14:paraId="646007AD">
      <w:pPr>
        <w:framePr w:w="714" w:wrap="around" w:vAnchor="margin" w:hAnchor="text" w:x="7183" w:y="10886"/>
        <w:widowControl w:val="0"/>
        <w:autoSpaceDE w:val="0"/>
        <w:autoSpaceDN w:val="0"/>
        <w:spacing w:before="133"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39.56</w:t>
      </w:r>
    </w:p>
    <w:p w14:paraId="0F48B12C">
      <w:pPr>
        <w:framePr w:w="714" w:wrap="around" w:vAnchor="margin" w:hAnchor="text" w:x="7183" w:y="10886"/>
        <w:widowControl w:val="0"/>
        <w:autoSpaceDE w:val="0"/>
        <w:autoSpaceDN w:val="0"/>
        <w:spacing w:before="130" w:line="218" w:lineRule="exact"/>
        <w:ind w:left="130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20</w:t>
      </w:r>
    </w:p>
    <w:p w14:paraId="0C126E49">
      <w:pPr>
        <w:framePr w:w="781" w:wrap="around" w:vAnchor="margin" w:hAnchor="text" w:x="9173" w:y="10886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z w:val="21"/>
          <w:szCs w:val="22"/>
          <w:lang w:val="en-US" w:eastAsia="en-US" w:bidi="ar-SA"/>
        </w:rPr>
        <w:t>99.2%</w:t>
      </w:r>
    </w:p>
    <w:p w14:paraId="0246F836">
      <w:pPr>
        <w:framePr w:w="781" w:wrap="around" w:vAnchor="margin" w:hAnchor="text" w:x="9173" w:y="10886"/>
        <w:widowControl w:val="0"/>
        <w:autoSpaceDE w:val="0"/>
        <w:autoSpaceDN w:val="0"/>
        <w:spacing w:before="133"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z w:val="21"/>
          <w:szCs w:val="22"/>
          <w:lang w:val="en-US" w:eastAsia="en-US" w:bidi="ar-SA"/>
        </w:rPr>
        <w:t>98.9%</w:t>
      </w:r>
    </w:p>
    <w:p w14:paraId="7DE3A6B0">
      <w:pPr>
        <w:framePr w:w="781" w:wrap="around" w:vAnchor="margin" w:hAnchor="text" w:x="9173" w:y="10886"/>
        <w:widowControl w:val="0"/>
        <w:autoSpaceDE w:val="0"/>
        <w:autoSpaceDN w:val="0"/>
        <w:spacing w:before="130" w:line="218" w:lineRule="exact"/>
        <w:ind w:left="24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100%</w:t>
      </w:r>
    </w:p>
    <w:p w14:paraId="34225F83">
      <w:pPr>
        <w:framePr w:w="450" w:wrap="around" w:vAnchor="margin" w:hAnchor="text" w:x="5340" w:y="11237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40</w:t>
      </w:r>
    </w:p>
    <w:p w14:paraId="637A9939">
      <w:pPr>
        <w:framePr w:w="450" w:wrap="around" w:vAnchor="margin" w:hAnchor="text" w:x="5340" w:y="11585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ANFRIS+TimesNewRomanPS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20</w:t>
      </w:r>
    </w:p>
    <w:p w14:paraId="62AB272E">
      <w:pPr>
        <w:framePr w:w="556" w:wrap="around" w:vAnchor="margin" w:hAnchor="text" w:x="5287" w:y="11935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PAHGVQ+TimesNewRomanPS-Bold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100</w:t>
      </w:r>
    </w:p>
    <w:p w14:paraId="55A0DF37">
      <w:pPr>
        <w:framePr w:w="608" w:wrap="around" w:vAnchor="margin" w:hAnchor="text" w:x="7236" w:y="11935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PAHGVQ+TimesNewRomanPS-BoldMT" w:hAnsiTheme="minorHAnsi" w:eastAsiaTheme="minorEastAsia" w:cstheme="minorBidi"/>
          <w:color w:val="000000"/>
          <w:sz w:val="21"/>
          <w:szCs w:val="22"/>
          <w:lang w:val="en-US" w:eastAsia="en-US" w:bidi="ar-SA"/>
        </w:rPr>
        <w:t>99.4</w:t>
      </w:r>
    </w:p>
    <w:p w14:paraId="1A6BE00B">
      <w:pPr>
        <w:framePr w:w="819" w:wrap="around" w:vAnchor="margin" w:hAnchor="text" w:x="9154" w:y="11935"/>
        <w:widowControl w:val="0"/>
        <w:autoSpaceDE w:val="0"/>
        <w:autoSpaceDN w:val="0"/>
        <w:spacing w:line="218" w:lineRule="exact"/>
        <w:rPr>
          <w:rFonts w:hAnsiTheme="minorHAnsi" w:eastAsiaTheme="minorEastAsia" w:cstheme="minorBidi"/>
          <w:color w:val="000000"/>
          <w:sz w:val="21"/>
          <w:szCs w:val="22"/>
          <w:lang w:val="en-US" w:eastAsia="en-US" w:bidi="ar-SA"/>
        </w:rPr>
      </w:pPr>
      <w:r>
        <w:rPr>
          <w:rFonts w:ascii="PAHGVQ+TimesNewRomanPS-BoldMT" w:hAnsiTheme="minorHAnsi" w:eastAsiaTheme="minorEastAsia" w:cstheme="minorBidi"/>
          <w:color w:val="000000"/>
          <w:spacing w:val="1"/>
          <w:sz w:val="21"/>
          <w:szCs w:val="22"/>
          <w:lang w:val="en-US" w:eastAsia="en-US" w:bidi="ar-SA"/>
        </w:rPr>
        <w:t>99.4%</w:t>
      </w:r>
    </w:p>
    <w:p w14:paraId="311CBB15">
      <w:pPr>
        <w:framePr w:w="3439" w:wrap="around" w:vAnchor="margin" w:hAnchor="text" w:x="2441" w:y="12390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四、绩效评价指标分析</w:t>
      </w:r>
    </w:p>
    <w:p w14:paraId="719B4F76">
      <w:pPr>
        <w:framePr w:w="3129" w:wrap="around" w:vAnchor="margin" w:hAnchor="text" w:x="2441" w:y="12950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CGGRP+KaiTi_GB2312" w:hAnsi="PCGGRP+KaiTi_GB2312" w:cs="PCGGRP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（一）项目决策情况</w:t>
      </w:r>
    </w:p>
    <w:p w14:paraId="7B47B6D3">
      <w:pPr>
        <w:framePr w:w="8786" w:wrap="around" w:vAnchor="margin" w:hAnchor="text" w:x="1800" w:y="13511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项目决策类指标包括项目立项、绩效目标和资金投入三方</w:t>
      </w:r>
    </w:p>
    <w:p w14:paraId="0E9D7EC3">
      <w:pPr>
        <w:framePr w:w="8786" w:wrap="around" w:vAnchor="margin" w:hAnchor="text" w:x="1800" w:y="13511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pacing w:val="3"/>
          <w:sz w:val="32"/>
          <w:szCs w:val="22"/>
          <w:lang w:val="en-US" w:eastAsia="en-US" w:bidi="ar-SA"/>
        </w:rPr>
        <w:t>面的内容，由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6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3"/>
          <w:sz w:val="32"/>
          <w:szCs w:val="22"/>
          <w:lang w:val="en-US" w:eastAsia="en-US" w:bidi="ar-SA"/>
        </w:rPr>
        <w:t>个三级指标构成，权重分值为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pacing w:val="3"/>
          <w:sz w:val="32"/>
          <w:szCs w:val="22"/>
          <w:lang w:val="en-US" w:eastAsia="en-US" w:bidi="ar-SA"/>
        </w:rPr>
        <w:t>分，实际得</w:t>
      </w:r>
    </w:p>
    <w:p w14:paraId="6363B96B">
      <w:pPr>
        <w:framePr w:w="8786" w:wrap="around" w:vAnchor="margin" w:hAnchor="text" w:x="1800" w:y="13511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分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分，得分率为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OKUTBB+FangSong_GB2312" w:hAnsi="OKUTBB+FangSong_GB2312" w:cs="OKUTBB+FangSong_GB2312" w:eastAsiaTheme="minorEastAsia"/>
          <w:color w:val="000000"/>
          <w:sz w:val="32"/>
          <w:szCs w:val="22"/>
          <w:lang w:val="en-US" w:eastAsia="en-US" w:bidi="ar-SA"/>
        </w:rPr>
        <w:t>100%。</w:t>
      </w:r>
    </w:p>
    <w:p w14:paraId="5A5EAE7F"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12</w:t>
      </w:r>
    </w:p>
    <w:p w14:paraId="7D381020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  <w:r>
        <w:pict>
          <v:shape id="_x0000_s1026" o:spid="_x0000_s1026" o:spt="75" type="#_x0000_t75" style="position:absolute;left:0pt;margin-left:83.45pt;margin-top:505.7pt;height:106.85pt;width:441.25pt;mso-position-horizontal-relative:page;mso-position-vertic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</w:p>
    <w:p w14:paraId="573B15EA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4" w:name="br1_13"/>
      <w:bookmarkEnd w:id="14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63B547C4">
      <w:pPr>
        <w:framePr w:w="1764" w:wrap="around" w:vAnchor="margin" w:hAnchor="text" w:x="2441" w:y="1598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WKBSJL+TimesNewRomanPS-Bold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1.</w:t>
      </w:r>
      <w:r>
        <w:rPr>
          <w:rFonts w:ascii="CVTEFH+FangSong_GB2312" w:hAnsi="CVTEFH+FangSong_GB2312" w:cs="CVTEFH+FangSong_GB2312" w:eastAsiaTheme="minorEastAsia"/>
          <w:color w:val="000000"/>
          <w:spacing w:val="2"/>
          <w:sz w:val="32"/>
          <w:szCs w:val="22"/>
          <w:lang w:val="en-US" w:eastAsia="en-US" w:bidi="ar-SA"/>
        </w:rPr>
        <w:t>项目立项</w:t>
      </w:r>
    </w:p>
    <w:p w14:paraId="7020EC85">
      <w:pPr>
        <w:framePr w:w="3278" w:wrap="around" w:vAnchor="margin" w:hAnchor="text" w:x="2441" w:y="215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（1）立项依据充分性</w:t>
      </w:r>
    </w:p>
    <w:p w14:paraId="759E726F">
      <w:pPr>
        <w:framePr w:w="8949" w:wrap="around" w:vAnchor="margin" w:hAnchor="text" w:x="1800" w:y="271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6"/>
          <w:sz w:val="32"/>
          <w:szCs w:val="22"/>
          <w:lang w:val="en-US" w:eastAsia="en-US" w:bidi="ar-SA"/>
        </w:rPr>
        <w:t>该项目立项符合国家相关法律法规《2024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CVTEFH+FangSong_GB2312" w:hAnsi="CVTEFH+FangSong_GB2312" w:cs="CVTEFH+FangSong_GB2312" w:eastAsiaTheme="minorEastAsia"/>
          <w:color w:val="000000"/>
          <w:spacing w:val="7"/>
          <w:sz w:val="32"/>
          <w:szCs w:val="22"/>
          <w:lang w:val="en-US" w:eastAsia="en-US" w:bidi="ar-SA"/>
        </w:rPr>
        <w:t>年度乡村振兴</w:t>
      </w:r>
    </w:p>
    <w:p w14:paraId="2D34164C">
      <w:pPr>
        <w:framePr w:w="8949" w:wrap="around" w:vAnchor="margin" w:hAnchor="text" w:x="1800" w:y="27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专项审计经费》（塔地财行〔2024〕24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号）文件及发展政策，</w:t>
      </w:r>
    </w:p>
    <w:p w14:paraId="1272855D">
      <w:pPr>
        <w:framePr w:w="8949" w:wrap="around" w:vAnchor="margin" w:hAnchor="text" w:x="1800" w:y="27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符合行业规划要求，围绕本年度工作重点和工作计划制定经费</w:t>
      </w:r>
    </w:p>
    <w:p w14:paraId="4612ABFD">
      <w:pPr>
        <w:framePr w:w="8949" w:wrap="around" w:vAnchor="margin" w:hAnchor="text" w:x="1800" w:y="27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预算，属于公共财政支持范围。本项目与部门内部其他相关项</w:t>
      </w:r>
    </w:p>
    <w:p w14:paraId="3C416738">
      <w:pPr>
        <w:framePr w:w="8949" w:wrap="around" w:vAnchor="margin" w:hAnchor="text" w:x="1800" w:y="27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目不重复。部门发展规划及职能文件等归档完整。</w:t>
      </w:r>
    </w:p>
    <w:p w14:paraId="4CFB871C">
      <w:pPr>
        <w:framePr w:w="8949" w:wrap="around" w:vAnchor="margin" w:hAnchor="text" w:x="1800" w:y="2716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（2）立项程序规范性</w:t>
      </w:r>
    </w:p>
    <w:p w14:paraId="3097A61E">
      <w:pPr>
        <w:framePr w:w="9172" w:wrap="around" w:vAnchor="margin" w:hAnchor="text" w:x="1800" w:y="607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项目申请、设立过程符合相关要求，严格按照审批流程准</w:t>
      </w:r>
    </w:p>
    <w:p w14:paraId="5D1F79D0">
      <w:pPr>
        <w:framePr w:w="9172" w:wrap="around" w:vAnchor="margin" w:hAnchor="text" w:x="1800" w:y="607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备符合要求的文件、材料；根据决算依据编制工作计划和经费</w:t>
      </w:r>
    </w:p>
    <w:p w14:paraId="4459B1AE">
      <w:pPr>
        <w:framePr w:w="9172" w:wrap="around" w:vAnchor="margin" w:hAnchor="text" w:x="1800" w:y="607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预算，经过与部门项目分管领导沟通、筛选确定经费预算计划，</w:t>
      </w:r>
    </w:p>
    <w:p w14:paraId="24C32A96">
      <w:pPr>
        <w:framePr w:w="9172" w:wrap="around" w:vAnchor="margin" w:hAnchor="text" w:x="1800" w:y="607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确定最终预算方案。项目的审批文件、材料符合相关要求，项</w:t>
      </w:r>
    </w:p>
    <w:p w14:paraId="44BBFB64">
      <w:pPr>
        <w:framePr w:w="9172" w:wrap="around" w:vAnchor="margin" w:hAnchor="text" w:x="1800" w:y="607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目事前经过必要的可行性研究、风险评估、绩效评估、集体决</w:t>
      </w:r>
    </w:p>
    <w:p w14:paraId="3D72D79F">
      <w:pPr>
        <w:framePr w:w="9172" w:wrap="around" w:vAnchor="margin" w:hAnchor="text" w:x="1800" w:y="607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策，保障了程序的规范性。</w:t>
      </w:r>
    </w:p>
    <w:p w14:paraId="361005E1">
      <w:pPr>
        <w:framePr w:w="1764" w:wrap="around" w:vAnchor="margin" w:hAnchor="text" w:x="2441" w:y="9436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WKBSJL+TimesNewRomanPS-Bold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2.</w:t>
      </w:r>
      <w:r>
        <w:rPr>
          <w:rFonts w:ascii="CVTEFH+FangSong_GB2312" w:hAnsi="CVTEFH+FangSong_GB2312" w:cs="CVTEFH+FangSong_GB2312" w:eastAsiaTheme="minorEastAsia"/>
          <w:color w:val="000000"/>
          <w:spacing w:val="2"/>
          <w:sz w:val="32"/>
          <w:szCs w:val="22"/>
          <w:lang w:val="en-US" w:eastAsia="en-US" w:bidi="ar-SA"/>
        </w:rPr>
        <w:t>绩效目标</w:t>
      </w:r>
    </w:p>
    <w:p w14:paraId="407B0F56">
      <w:pPr>
        <w:framePr w:w="3278" w:wrap="around" w:vAnchor="margin" w:hAnchor="text" w:x="2441" w:y="99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（1）绩效目标合理性</w:t>
      </w:r>
    </w:p>
    <w:p w14:paraId="7933E4D9">
      <w:pPr>
        <w:framePr w:w="9172" w:wrap="around" w:vAnchor="margin" w:hAnchor="text" w:x="1800" w:y="105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10"/>
          <w:sz w:val="32"/>
          <w:szCs w:val="22"/>
          <w:lang w:val="en-US" w:eastAsia="en-US" w:bidi="ar-SA"/>
        </w:rPr>
        <w:t>年初结合实际工作内容设定绩效目标，绩效目标依据充</w:t>
      </w:r>
    </w:p>
    <w:p w14:paraId="72805302">
      <w:pPr>
        <w:framePr w:w="9172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分，符合客观实际，能反映和考核项目绩效目标与项目实施的</w:t>
      </w:r>
    </w:p>
    <w:p w14:paraId="570E2F63">
      <w:pPr>
        <w:framePr w:w="9172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相符情况，依据绩效目标设定的绩效指标清晰、细化、可衡量，</w:t>
      </w:r>
    </w:p>
    <w:p w14:paraId="05E3C895">
      <w:pPr>
        <w:framePr w:w="9172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能反映和考核项目绩效目标的明细化情况。绩效目标表经过审</w:t>
      </w:r>
    </w:p>
    <w:p w14:paraId="4FCC5091">
      <w:pPr>
        <w:framePr w:w="9172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核，绩效目标与实际工作内容具有相关性，预算与确定的项目</w:t>
      </w:r>
    </w:p>
    <w:p w14:paraId="1D7E0F3D">
      <w:pPr>
        <w:framePr w:w="9172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投资额相匹配，对项目任务进行了详细分解。项目预期产出效</w:t>
      </w:r>
    </w:p>
    <w:p w14:paraId="432B2428">
      <w:pPr>
        <w:framePr w:w="9172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益及效果符合正常的业绩水平。</w:t>
      </w:r>
    </w:p>
    <w:p w14:paraId="0F1D387F">
      <w:pPr>
        <w:framePr w:w="3278" w:wrap="around" w:vAnchor="margin" w:hAnchor="text" w:x="2441" w:y="1447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VTEFH+FangSong_GB2312" w:hAnsi="CVTEFH+FangSong_GB2312" w:cs="CVTEFH+FangSong_GB2312" w:eastAsiaTheme="minorEastAsia"/>
          <w:color w:val="000000"/>
          <w:sz w:val="32"/>
          <w:szCs w:val="22"/>
          <w:lang w:val="en-US" w:eastAsia="en-US" w:bidi="ar-SA"/>
        </w:rPr>
        <w:t>（2）绩效指标明确性</w:t>
      </w:r>
    </w:p>
    <w:p w14:paraId="69B2AF9F"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13</w:t>
      </w:r>
    </w:p>
    <w:p w14:paraId="32D06D8D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3A2E5098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40102F9D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5" w:name="br1_14"/>
      <w:bookmarkEnd w:id="15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0A623054">
      <w:pPr>
        <w:framePr w:w="8880" w:wrap="around" w:vAnchor="margin" w:hAnchor="text" w:x="1800" w:y="159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项目设置了明确的预期产出效益和效果，将绩效目标细化</w:t>
      </w:r>
    </w:p>
    <w:p w14:paraId="3B202AAD"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z w:val="32"/>
          <w:szCs w:val="22"/>
          <w:lang w:val="en-US" w:eastAsia="en-US" w:bidi="ar-SA"/>
        </w:rPr>
        <w:t>分解为具体的绩效指标，绩效目标与项目目标任务数相对应，</w:t>
      </w:r>
    </w:p>
    <w:p w14:paraId="608D272A"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z w:val="32"/>
          <w:szCs w:val="22"/>
          <w:lang w:val="en-US" w:eastAsia="en-US" w:bidi="ar-SA"/>
        </w:rPr>
        <w:t>绩效目标设定的绩效指标清晰、细化、可衡量。</w:t>
      </w:r>
    </w:p>
    <w:p w14:paraId="0ECDBB58">
      <w:pPr>
        <w:framePr w:w="8880" w:wrap="around" w:vAnchor="margin" w:hAnchor="text" w:x="1800" w:y="1598"/>
        <w:widowControl w:val="0"/>
        <w:autoSpaceDE w:val="0"/>
        <w:autoSpaceDN w:val="0"/>
        <w:spacing w:before="243" w:line="332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EOFWAD+TimesNewRomanPS-Bold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3.</w:t>
      </w:r>
      <w:r>
        <w:rPr>
          <w:rFonts w:ascii="COOLPI+FangSong_GB2312" w:hAnsi="COOLPI+FangSong_GB2312" w:cs="COOLPI+FangSong_GB2312" w:eastAsiaTheme="minorEastAsia"/>
          <w:color w:val="000000"/>
          <w:spacing w:val="2"/>
          <w:sz w:val="32"/>
          <w:szCs w:val="22"/>
          <w:lang w:val="en-US" w:eastAsia="en-US" w:bidi="ar-SA"/>
        </w:rPr>
        <w:t>资金投入</w:t>
      </w:r>
    </w:p>
    <w:p w14:paraId="455B1B51">
      <w:pPr>
        <w:framePr w:w="3278" w:wrap="around" w:vAnchor="margin" w:hAnchor="text" w:x="2441" w:y="383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z w:val="32"/>
          <w:szCs w:val="22"/>
          <w:lang w:val="en-US" w:eastAsia="en-US" w:bidi="ar-SA"/>
        </w:rPr>
        <w:t>（1）预算编制科学性</w:t>
      </w:r>
    </w:p>
    <w:p w14:paraId="2C6EC6E0">
      <w:pPr>
        <w:framePr w:w="8853" w:wrap="around" w:vAnchor="margin" w:hAnchor="text" w:x="1800" w:y="439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本项目的预算编制过程严谨、科学，充分体现了精细化管</w:t>
      </w:r>
    </w:p>
    <w:p w14:paraId="2F59FD44">
      <w:pPr>
        <w:framePr w:w="8853" w:wrap="around" w:vAnchor="margin" w:hAnchor="text" w:x="1800" w:y="439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理的要求。预算编制之初，进行了全面的成本估算，确保项目</w:t>
      </w:r>
    </w:p>
    <w:p w14:paraId="28BAD97A">
      <w:pPr>
        <w:framePr w:w="8853" w:wrap="around" w:vAnchor="margin" w:hAnchor="text" w:x="1800" w:y="43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所需的各项资源得到合理的预估与分配。同时，预算编制还紧</w:t>
      </w:r>
    </w:p>
    <w:p w14:paraId="2A23A656">
      <w:pPr>
        <w:framePr w:w="8853" w:wrap="around" w:vAnchor="margin" w:hAnchor="text" w:x="1800" w:y="43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密结合了项目的特点与实际情况，对不同阶段、不同任务的资</w:t>
      </w:r>
    </w:p>
    <w:p w14:paraId="65D20EDE">
      <w:pPr>
        <w:framePr w:w="8853" w:wrap="around" w:vAnchor="margin" w:hAnchor="text" w:x="1800" w:y="439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z w:val="32"/>
          <w:szCs w:val="22"/>
          <w:lang w:val="en-US" w:eastAsia="en-US" w:bidi="ar-SA"/>
        </w:rPr>
        <w:t>金需求进行了详细的分析与计算。</w:t>
      </w:r>
    </w:p>
    <w:p w14:paraId="5EAA06DC">
      <w:pPr>
        <w:framePr w:w="8853" w:wrap="around" w:vAnchor="margin" w:hAnchor="text" w:x="1800" w:y="719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在预算编制过程中，还注重了成本控制与效益最大化的原</w:t>
      </w:r>
    </w:p>
    <w:p w14:paraId="26CB82D9">
      <w:pPr>
        <w:framePr w:w="8853" w:wrap="around" w:vAnchor="margin" w:hAnchor="text" w:x="1800" w:y="719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则。通过优化资源配置、提高资金使用效率等措施，确保项目</w:t>
      </w:r>
    </w:p>
    <w:p w14:paraId="216EF769">
      <w:pPr>
        <w:framePr w:w="8853" w:wrap="around" w:vAnchor="margin" w:hAnchor="text" w:x="1800" w:y="719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在有限的预算内取得最大的经济效益与社会效益。此外，预算</w:t>
      </w:r>
    </w:p>
    <w:p w14:paraId="54103B63">
      <w:pPr>
        <w:framePr w:w="8853" w:wrap="around" w:vAnchor="margin" w:hAnchor="text" w:x="1800" w:y="719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编制还充分考虑了风险因素，对可能出现的超支情况进行了预</w:t>
      </w:r>
    </w:p>
    <w:p w14:paraId="02FAD811">
      <w:pPr>
        <w:framePr w:w="8853" w:wrap="around" w:vAnchor="margin" w:hAnchor="text" w:x="1800" w:y="719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z w:val="32"/>
          <w:szCs w:val="22"/>
          <w:lang w:val="en-US" w:eastAsia="en-US" w:bidi="ar-SA"/>
        </w:rPr>
        <w:t>留与规划，以应对项目实施过程中的不确定性。</w:t>
      </w:r>
    </w:p>
    <w:p w14:paraId="14CEFF0B">
      <w:pPr>
        <w:framePr w:w="8853" w:wrap="around" w:vAnchor="margin" w:hAnchor="text" w:x="1800" w:y="7197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z w:val="32"/>
          <w:szCs w:val="22"/>
          <w:lang w:val="en-US" w:eastAsia="en-US" w:bidi="ar-SA"/>
        </w:rPr>
        <w:t>（2）资金分配合理性</w:t>
      </w:r>
    </w:p>
    <w:p w14:paraId="5FEC0D3D">
      <w:pPr>
        <w:framePr w:w="8853" w:wrap="around" w:vAnchor="margin" w:hAnchor="text" w:x="1800" w:y="105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本项目的资金分配遵循了公平、公正、透明的原则，确保</w:t>
      </w:r>
    </w:p>
    <w:p w14:paraId="24F232C9">
      <w:pPr>
        <w:framePr w:w="8853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了项目资源的合理配置与高效利用。在资金分配过程中，我们</w:t>
      </w:r>
    </w:p>
    <w:p w14:paraId="28656E73">
      <w:pPr>
        <w:framePr w:w="8853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充分考虑了项目的实际需求与目标，对不同阶段、不同任务的</w:t>
      </w:r>
    </w:p>
    <w:p w14:paraId="07BD891C">
      <w:pPr>
        <w:framePr w:w="8853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z w:val="32"/>
          <w:szCs w:val="22"/>
          <w:lang w:val="en-US" w:eastAsia="en-US" w:bidi="ar-SA"/>
        </w:rPr>
        <w:t>资金进行了科学的规划与安排。</w:t>
      </w:r>
    </w:p>
    <w:p w14:paraId="7CEDA556">
      <w:pPr>
        <w:framePr w:w="8880" w:wrap="around" w:vAnchor="margin" w:hAnchor="text" w:x="1800" w:y="1279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z w:val="32"/>
          <w:szCs w:val="22"/>
          <w:lang w:val="en-US" w:eastAsia="en-US" w:bidi="ar-SA"/>
        </w:rPr>
        <w:t>具体而言，资金分配紧密结合了项目的特点与实际情况，</w:t>
      </w:r>
    </w:p>
    <w:p w14:paraId="474E354F">
      <w:pPr>
        <w:framePr w:w="8880" w:wrap="around" w:vAnchor="margin" w:hAnchor="text" w:x="1800" w:y="1279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对关键领域与重要环节给予了重点支持。同时，我们也注重了</w:t>
      </w:r>
    </w:p>
    <w:p w14:paraId="0FE5DA11">
      <w:pPr>
        <w:framePr w:w="8880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资金的均衡分配，避免了资源浪费与资金闲置。此外，资金分</w:t>
      </w:r>
    </w:p>
    <w:p w14:paraId="03D01267">
      <w:pPr>
        <w:framePr w:w="8880" w:wrap="around" w:vAnchor="margin" w:hAnchor="text" w:x="1800" w:y="1279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COOLPI+FangSong_GB2312" w:hAnsi="COOLPI+FangSong_GB2312" w:cs="COOLPI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配还充分考虑了风险因素，对可能出现的超支情况进行了预留</w:t>
      </w:r>
    </w:p>
    <w:p w14:paraId="2EF5F9FB"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14</w:t>
      </w:r>
    </w:p>
    <w:p w14:paraId="2426C313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537E8739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41FD85CE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6" w:name="br1_15"/>
      <w:bookmarkEnd w:id="16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267DB8F3">
      <w:pPr>
        <w:framePr w:w="8789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与调整。</w:t>
      </w:r>
    </w:p>
    <w:p w14:paraId="592DC65B">
      <w:pPr>
        <w:framePr w:w="8789" w:wrap="around" w:vAnchor="margin" w:hAnchor="text" w:x="1800" w:y="159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综上所述，本项目的资金分配是合理的、科学的，既符合</w:t>
      </w:r>
    </w:p>
    <w:p w14:paraId="039DCE3D">
      <w:pPr>
        <w:framePr w:w="8853" w:wrap="around" w:vAnchor="margin" w:hAnchor="text" w:x="1800" w:y="271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项目的实际情况，又满足了资金使用的效益最大化要求。资金</w:t>
      </w:r>
    </w:p>
    <w:p w14:paraId="5A856A05">
      <w:pPr>
        <w:framePr w:w="8853" w:wrap="around" w:vAnchor="margin" w:hAnchor="text" w:x="1800" w:y="27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分配的合理性为项目的成功实施提供了有力的保障，也为项目</w:t>
      </w:r>
    </w:p>
    <w:p w14:paraId="4D7280DA">
      <w:pPr>
        <w:framePr w:w="8853" w:wrap="around" w:vAnchor="margin" w:hAnchor="text" w:x="1800" w:y="27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的绩效评价奠定了坚实的基础。</w:t>
      </w:r>
    </w:p>
    <w:p w14:paraId="06EB4464">
      <w:pPr>
        <w:framePr w:w="3127" w:wrap="around" w:vAnchor="margin" w:hAnchor="text" w:x="2441" w:y="439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楷体" w:hAnsi="楷体" w:cs="楷体" w:eastAsiaTheme="minorEastAsia"/>
          <w:color w:val="000000"/>
          <w:spacing w:val="1"/>
          <w:sz w:val="32"/>
          <w:szCs w:val="22"/>
          <w:lang w:val="en-US" w:eastAsia="en-US" w:bidi="ar-SA"/>
        </w:rPr>
        <w:t>（二）项目过程情况</w:t>
      </w:r>
    </w:p>
    <w:p w14:paraId="29C5BB6F">
      <w:pPr>
        <w:framePr w:w="8947" w:wrap="around" w:vAnchor="margin" w:hAnchor="text" w:x="1800" w:y="495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项目过程类指标包括资金管理和组织实施两方面的内容，</w:t>
      </w:r>
    </w:p>
    <w:p w14:paraId="340CCD08">
      <w:pPr>
        <w:framePr w:w="8947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由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个三级指标构成，权重分值为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pacing w:val="-8"/>
          <w:sz w:val="32"/>
          <w:szCs w:val="22"/>
          <w:lang w:val="en-US" w:eastAsia="en-US" w:bidi="ar-SA"/>
        </w:rPr>
        <w:t>分，实际得分</w:t>
      </w:r>
      <w:r>
        <w:rPr>
          <w:rFonts w:hAnsiTheme="minorHAnsi" w:eastAsiaTheme="minorEastAsia" w:cstheme="minorBidi"/>
          <w:color w:val="000000"/>
          <w:spacing w:val="9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19.84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分，</w:t>
      </w:r>
    </w:p>
    <w:p w14:paraId="66C7B072">
      <w:pPr>
        <w:framePr w:w="8947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得分率为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99.2%。</w:t>
      </w:r>
    </w:p>
    <w:p w14:paraId="0679DB0F">
      <w:pPr>
        <w:framePr w:w="1764" w:wrap="around" w:vAnchor="margin" w:hAnchor="text" w:x="2441" w:y="6638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GLMJW+TimesNewRomanPS-Bold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1.</w:t>
      </w:r>
      <w:r>
        <w:rPr>
          <w:rFonts w:ascii="PBDBHS+FangSong_GB2312" w:hAnsi="PBDBHS+FangSong_GB2312" w:cs="PBDBHS+FangSong_GB2312" w:eastAsiaTheme="minorEastAsia"/>
          <w:color w:val="000000"/>
          <w:spacing w:val="2"/>
          <w:sz w:val="32"/>
          <w:szCs w:val="22"/>
          <w:lang w:val="en-US" w:eastAsia="en-US" w:bidi="ar-SA"/>
        </w:rPr>
        <w:t>资金管理</w:t>
      </w:r>
    </w:p>
    <w:p w14:paraId="6D521AD9">
      <w:pPr>
        <w:framePr w:w="2640" w:wrap="around" w:vAnchor="margin" w:hAnchor="text" w:x="2441" w:y="719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（1）资金到位率</w:t>
      </w:r>
    </w:p>
    <w:p w14:paraId="792CF65C">
      <w:pPr>
        <w:framePr w:w="8786" w:wrap="around" w:vAnchor="margin" w:hAnchor="text" w:x="1800" w:y="775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3"/>
          <w:sz w:val="32"/>
          <w:szCs w:val="22"/>
          <w:lang w:val="en-US" w:eastAsia="en-US" w:bidi="ar-SA"/>
        </w:rPr>
        <w:t>本项目总投资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pacing w:val="3"/>
          <w:sz w:val="32"/>
          <w:szCs w:val="22"/>
          <w:lang w:val="en-US" w:eastAsia="en-US" w:bidi="ar-SA"/>
        </w:rPr>
        <w:t>万元，财政资金及时足额到位，到位</w:t>
      </w:r>
    </w:p>
    <w:p w14:paraId="753D85FC">
      <w:pPr>
        <w:framePr w:w="8786" w:wrap="around" w:vAnchor="margin" w:hAnchor="text" w:x="1800" w:y="775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率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100%，预算资金按计划进度执行。</w:t>
      </w:r>
    </w:p>
    <w:p w14:paraId="70BE1DEC">
      <w:pPr>
        <w:framePr w:w="2640" w:wrap="around" w:vAnchor="margin" w:hAnchor="text" w:x="2441" w:y="887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（2）预算执行率</w:t>
      </w:r>
    </w:p>
    <w:p w14:paraId="12D079C0">
      <w:pPr>
        <w:framePr w:w="8788" w:wrap="around" w:vAnchor="margin" w:hAnchor="text" w:x="1800" w:y="943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10"/>
          <w:sz w:val="32"/>
          <w:szCs w:val="22"/>
          <w:lang w:val="en-US" w:eastAsia="en-US" w:bidi="ar-SA"/>
        </w:rPr>
        <w:t>预算编制较为详细，项目资金支出总体能够按照预算执</w:t>
      </w:r>
    </w:p>
    <w:p w14:paraId="674EB33E">
      <w:pPr>
        <w:framePr w:w="8788" w:wrap="around" w:vAnchor="margin" w:hAnchor="text" w:x="1800" w:y="943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行，预算资金支出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10.99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万元，预算执行率为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95.57%。</w:t>
      </w:r>
    </w:p>
    <w:p w14:paraId="05211469">
      <w:pPr>
        <w:framePr w:w="8788" w:wrap="around" w:vAnchor="margin" w:hAnchor="text" w:x="1800" w:y="9436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（3）资金使用合规性</w:t>
      </w:r>
    </w:p>
    <w:p w14:paraId="06862664">
      <w:pPr>
        <w:framePr w:w="8853" w:wrap="around" w:vAnchor="margin" w:hAnchor="text" w:x="1800" w:y="1111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9"/>
          <w:sz w:val="32"/>
          <w:szCs w:val="22"/>
          <w:lang w:val="en-US" w:eastAsia="en-US" w:bidi="ar-SA"/>
        </w:rPr>
        <w:t>本项目的资金使用严格遵循了国家相关法律法规《2024</w:t>
      </w:r>
    </w:p>
    <w:p w14:paraId="433FA5B9">
      <w:pPr>
        <w:framePr w:w="8853" w:wrap="around" w:vAnchor="margin" w:hAnchor="text" w:x="1800" w:y="111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5"/>
          <w:sz w:val="32"/>
          <w:szCs w:val="22"/>
          <w:lang w:val="en-US" w:eastAsia="en-US" w:bidi="ar-SA"/>
        </w:rPr>
        <w:t>年度乡村振兴专项审计经费》（塔地财行〔2024〕24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PBDBHS+FangSong_GB2312" w:hAnsi="PBDBHS+FangSong_GB2312" w:cs="PBDBHS+FangSong_GB2312" w:eastAsiaTheme="minorEastAsia"/>
          <w:color w:val="000000"/>
          <w:spacing w:val="6"/>
          <w:sz w:val="32"/>
          <w:szCs w:val="22"/>
          <w:lang w:val="en-US" w:eastAsia="en-US" w:bidi="ar-SA"/>
        </w:rPr>
        <w:t>号）文</w:t>
      </w:r>
    </w:p>
    <w:p w14:paraId="3C90E293">
      <w:pPr>
        <w:framePr w:w="8853" w:wrap="around" w:vAnchor="margin" w:hAnchor="text" w:x="1800" w:y="111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件与财务制度，确保了资金的合规性与安全性。在资金使用过</w:t>
      </w:r>
    </w:p>
    <w:p w14:paraId="3C4939A9">
      <w:pPr>
        <w:framePr w:w="8853" w:wrap="around" w:vAnchor="margin" w:hAnchor="text" w:x="1800" w:y="111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程中，我们建立了完善的财务管理体系，对资金的流动进行了</w:t>
      </w:r>
    </w:p>
    <w:p w14:paraId="55306CC3">
      <w:pPr>
        <w:framePr w:w="8853" w:wrap="around" w:vAnchor="margin" w:hAnchor="text" w:x="1800" w:y="111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z w:val="32"/>
          <w:szCs w:val="22"/>
          <w:lang w:val="en-US" w:eastAsia="en-US" w:bidi="ar-SA"/>
        </w:rPr>
        <w:t>全程监控与记录。</w:t>
      </w:r>
    </w:p>
    <w:p w14:paraId="12DCA6E5">
      <w:pPr>
        <w:framePr w:w="8853" w:wrap="around" w:vAnchor="margin" w:hAnchor="text" w:x="1800" w:y="1391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具体而言，资金使用坚持了专款专用的原则，确保了项目</w:t>
      </w:r>
    </w:p>
    <w:p w14:paraId="6D25CA4B">
      <w:pPr>
        <w:framePr w:w="8853" w:wrap="around" w:vAnchor="margin" w:hAnchor="text" w:x="1800" w:y="139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PBDBHS+FangSong_GB2312" w:hAnsi="PBDBHS+FangSong_GB2312" w:cs="PBDBHS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资金不被挪用或截留。同时，我们还加强了对资金使用的审计</w:t>
      </w:r>
    </w:p>
    <w:p w14:paraId="45A030B0"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15</w:t>
      </w:r>
    </w:p>
    <w:p w14:paraId="27513207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3D675097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1EE346F4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7" w:name="br1_16"/>
      <w:bookmarkEnd w:id="17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12DC1092">
      <w:pPr>
        <w:framePr w:w="8880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与监督，定期对财务收支进行自查与自纠，及时发现并纠正可</w:t>
      </w:r>
    </w:p>
    <w:p w14:paraId="700E85A0"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z w:val="32"/>
          <w:szCs w:val="22"/>
          <w:lang w:val="en-US" w:eastAsia="en-US" w:bidi="ar-SA"/>
        </w:rPr>
        <w:t>能存在的问题。此外，资金使用还充分考虑了成本效益原则，</w:t>
      </w:r>
    </w:p>
    <w:p w14:paraId="7C179EDE">
      <w:pPr>
        <w:framePr w:w="8880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通过优化资源配置、提高资金使用效率等措施，确保了项目资</w:t>
      </w:r>
    </w:p>
    <w:p w14:paraId="5BB90FFF">
      <w:pPr>
        <w:framePr w:w="8880" w:wrap="around" w:vAnchor="margin" w:hAnchor="text" w:x="1800" w:y="159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z w:val="32"/>
          <w:szCs w:val="22"/>
          <w:lang w:val="en-US" w:eastAsia="en-US" w:bidi="ar-SA"/>
        </w:rPr>
        <w:t>金的最大化利用。</w:t>
      </w:r>
    </w:p>
    <w:p w14:paraId="34EB98F2">
      <w:pPr>
        <w:framePr w:w="8853" w:wrap="around" w:vAnchor="margin" w:hAnchor="text" w:x="1800" w:y="383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综上所述，本项目的资金使用是合规的、安全的，既符合</w:t>
      </w:r>
    </w:p>
    <w:p w14:paraId="3EE68F8A">
      <w:pPr>
        <w:framePr w:w="8853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国家相关法律法规与财务制度的要求，又满足了项目实施的实</w:t>
      </w:r>
    </w:p>
    <w:p w14:paraId="72AC3B43">
      <w:pPr>
        <w:framePr w:w="8853" w:wrap="around" w:vAnchor="margin" w:hAnchor="text" w:x="1800" w:y="383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际需要。资金使用的合规性为项目的成功实施提供了有力的保</w:t>
      </w:r>
    </w:p>
    <w:p w14:paraId="71F91698">
      <w:pPr>
        <w:framePr w:w="8853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z w:val="32"/>
          <w:szCs w:val="22"/>
          <w:lang w:val="en-US" w:eastAsia="en-US" w:bidi="ar-SA"/>
        </w:rPr>
        <w:t>障，也为项目的绩效评价奠定了坚实的基础。</w:t>
      </w:r>
    </w:p>
    <w:p w14:paraId="62E6B7AC">
      <w:pPr>
        <w:framePr w:w="1764" w:wrap="around" w:vAnchor="margin" w:hAnchor="text" w:x="2441" w:y="6076"/>
        <w:widowControl w:val="0"/>
        <w:autoSpaceDE w:val="0"/>
        <w:autoSpaceDN w:val="0"/>
        <w:spacing w:line="332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APTMF+TimesNewRomanPS-BoldMT" w:hAnsiTheme="minorHAnsi" w:eastAsiaTheme="minorEastAsia" w:cstheme="minorBidi"/>
          <w:color w:val="000000"/>
          <w:sz w:val="32"/>
          <w:szCs w:val="22"/>
          <w:lang w:val="en-US" w:eastAsia="en-US" w:bidi="ar-SA"/>
        </w:rPr>
        <w:t>2.</w:t>
      </w:r>
      <w:r>
        <w:rPr>
          <w:rFonts w:ascii="KOJWAM+FangSong_GB2312" w:hAnsi="KOJWAM+FangSong_GB2312" w:cs="KOJWAM+FangSong_GB2312" w:eastAsiaTheme="minorEastAsia"/>
          <w:color w:val="000000"/>
          <w:spacing w:val="2"/>
          <w:sz w:val="32"/>
          <w:szCs w:val="22"/>
          <w:lang w:val="en-US" w:eastAsia="en-US" w:bidi="ar-SA"/>
        </w:rPr>
        <w:t>组织实施</w:t>
      </w:r>
    </w:p>
    <w:p w14:paraId="3B31EE06">
      <w:pPr>
        <w:framePr w:w="3278" w:wrap="around" w:vAnchor="margin" w:hAnchor="text" w:x="2441" w:y="663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z w:val="32"/>
          <w:szCs w:val="22"/>
          <w:lang w:val="en-US" w:eastAsia="en-US" w:bidi="ar-SA"/>
        </w:rPr>
        <w:t>（1）管理制度健全性</w:t>
      </w:r>
    </w:p>
    <w:p w14:paraId="1F4138D5">
      <w:pPr>
        <w:framePr w:w="8853" w:wrap="around" w:vAnchor="margin" w:hAnchor="text" w:x="1800" w:y="719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本项目拥有一套完善、健全的《专项资金使用管理》制度</w:t>
      </w:r>
    </w:p>
    <w:p w14:paraId="1A7C58FA">
      <w:pPr>
        <w:framePr w:w="8853" w:wrap="around" w:vAnchor="margin" w:hAnchor="text" w:x="1800" w:y="719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体系，为项目的成功实施提供了坚实的制度保障。项目管理制</w:t>
      </w:r>
    </w:p>
    <w:p w14:paraId="4070CDCE">
      <w:pPr>
        <w:framePr w:w="8853" w:wrap="around" w:vAnchor="margin" w:hAnchor="text" w:x="1800" w:y="719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度的制定紧密结合了项目的特点与实际情况，涵盖了项目的策</w:t>
      </w:r>
    </w:p>
    <w:p w14:paraId="68DAE5F9">
      <w:pPr>
        <w:framePr w:w="8853" w:wrap="around" w:vAnchor="margin" w:hAnchor="text" w:x="1800" w:y="719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z w:val="32"/>
          <w:szCs w:val="22"/>
          <w:lang w:val="en-US" w:eastAsia="en-US" w:bidi="ar-SA"/>
        </w:rPr>
        <w:t>划、组织、实施、监控与收尾等各个环节。</w:t>
      </w:r>
    </w:p>
    <w:p w14:paraId="491307A5">
      <w:pPr>
        <w:framePr w:w="8786" w:wrap="around" w:vAnchor="margin" w:hAnchor="text" w:x="1800" w:y="943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在制度设计上，我们注重了制度的科学性与可操作性，确</w:t>
      </w:r>
    </w:p>
    <w:p w14:paraId="60B3A160">
      <w:pPr>
        <w:framePr w:w="8786" w:wrap="around" w:vAnchor="margin" w:hAnchor="text" w:x="1800" w:y="943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z w:val="32"/>
          <w:szCs w:val="22"/>
          <w:lang w:val="en-US" w:eastAsia="en-US" w:bidi="ar-SA"/>
        </w:rPr>
        <w:t>保制度能够切实指导项目的执行与管理。</w:t>
      </w:r>
    </w:p>
    <w:p w14:paraId="4CC244FE">
      <w:pPr>
        <w:framePr w:w="8880" w:wrap="around" w:vAnchor="margin" w:hAnchor="text" w:x="1800" w:y="105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此外，项目管理制度还充分考虑了风险因素，制定了相应</w:t>
      </w:r>
    </w:p>
    <w:p w14:paraId="697080AC"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的风险应对措施与预案，以应对项目实施过程中可能出现的各</w:t>
      </w:r>
    </w:p>
    <w:p w14:paraId="6B2841B2">
      <w:pPr>
        <w:framePr w:w="8880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z w:val="32"/>
          <w:szCs w:val="22"/>
          <w:lang w:val="en-US" w:eastAsia="en-US" w:bidi="ar-SA"/>
        </w:rPr>
        <w:t>种风险与挑战。管理制度的健全性不仅体现在制度的完善上，</w:t>
      </w:r>
    </w:p>
    <w:p w14:paraId="58A488B6"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还体现在制度的执行与监督上。我们建立了有效的监督机制与</w:t>
      </w:r>
    </w:p>
    <w:p w14:paraId="1A8300BD"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反馈机制，对项目的实施情况进行定期检查与评估，及时发现</w:t>
      </w:r>
    </w:p>
    <w:p w14:paraId="477AF7F0">
      <w:pPr>
        <w:framePr w:w="8880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z w:val="32"/>
          <w:szCs w:val="22"/>
          <w:lang w:val="en-US" w:eastAsia="en-US" w:bidi="ar-SA"/>
        </w:rPr>
        <w:t>并纠正可能存在的问题。</w:t>
      </w:r>
    </w:p>
    <w:p w14:paraId="28FCF21A">
      <w:pPr>
        <w:framePr w:w="8853" w:wrap="around" w:vAnchor="margin" w:hAnchor="text" w:x="1800" w:y="1391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综上所述，本项目的管理制度是健全的、有效的，既符合</w:t>
      </w:r>
    </w:p>
    <w:p w14:paraId="7ACF1B3F">
      <w:pPr>
        <w:framePr w:w="8853" w:wrap="around" w:vAnchor="margin" w:hAnchor="text" w:x="1800" w:y="1391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KOJWAM+FangSong_GB2312" w:hAnsi="KOJWAM+FangSong_GB2312" w:cs="KOJWAM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项目的实际情况，又满足了项目管理的需要。管理制度的健全</w:t>
      </w:r>
    </w:p>
    <w:p w14:paraId="274297EA"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16</w:t>
      </w:r>
    </w:p>
    <w:p w14:paraId="2BFAADA8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593A6865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524C7B3D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8" w:name="br1_17"/>
      <w:bookmarkEnd w:id="18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392F717D">
      <w:pPr>
        <w:framePr w:w="8853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性为项目的成功实施提供了有力的保障，也为项目的绩效评价</w:t>
      </w:r>
    </w:p>
    <w:p w14:paraId="672CB028">
      <w:pPr>
        <w:framePr w:w="8853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奠定了坚实的基础。</w:t>
      </w:r>
    </w:p>
    <w:p w14:paraId="5628D343">
      <w:pPr>
        <w:framePr w:w="3278" w:wrap="around" w:vAnchor="margin" w:hAnchor="text" w:x="2441" w:y="271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（2）制度执行有效性</w:t>
      </w:r>
    </w:p>
    <w:p w14:paraId="2E93DC46">
      <w:pPr>
        <w:framePr w:w="8947" w:wrap="around" w:vAnchor="margin" w:hAnchor="text" w:x="1800" w:y="327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10"/>
          <w:sz w:val="32"/>
          <w:szCs w:val="22"/>
          <w:lang w:val="en-US" w:eastAsia="en-US" w:bidi="ar-SA"/>
        </w:rPr>
        <w:t>本项目在执行过程中，管理制度得到了全面、有效的落实，</w:t>
      </w:r>
    </w:p>
    <w:p w14:paraId="3E82673F">
      <w:pPr>
        <w:framePr w:w="8947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为确保项目的顺利实施与目标实现提供了坚实的保障。项目单</w:t>
      </w:r>
    </w:p>
    <w:p w14:paraId="0DBEDF74">
      <w:pPr>
        <w:framePr w:w="8947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位重视制度执行的重要性，通过明确责任分工、制定详细执行</w:t>
      </w:r>
    </w:p>
    <w:p w14:paraId="4F930974">
      <w:pPr>
        <w:framePr w:w="8947" w:wrap="around" w:vAnchor="margin" w:hAnchor="text" w:x="1800" w:y="327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计划、加强监督考核等措施，确保了各项管理制度能够得到有</w:t>
      </w:r>
    </w:p>
    <w:p w14:paraId="052C34BD">
      <w:pPr>
        <w:framePr w:w="8947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效执行。</w:t>
      </w:r>
    </w:p>
    <w:p w14:paraId="02309190">
      <w:pPr>
        <w:framePr w:w="8853" w:wrap="around" w:vAnchor="margin" w:hAnchor="text" w:x="1800" w:y="607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在具体执行过程中，项目团队成员严格按照制度要求进行</w:t>
      </w:r>
    </w:p>
    <w:p w14:paraId="31740B16">
      <w:pPr>
        <w:framePr w:w="8853" w:wrap="around" w:vAnchor="margin" w:hAnchor="text" w:x="1800" w:y="607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操作。同时，我们还建立了有效的沟通机制与反馈机制，确保</w:t>
      </w:r>
    </w:p>
    <w:p w14:paraId="3CC4CFBE">
      <w:pPr>
        <w:framePr w:w="8853" w:wrap="around" w:vAnchor="margin" w:hAnchor="text" w:x="1800" w:y="607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项目信息的及时传递与问题的及时解决，进一步提高了制度执</w:t>
      </w:r>
    </w:p>
    <w:p w14:paraId="364A2686">
      <w:pPr>
        <w:framePr w:w="8853" w:wrap="around" w:vAnchor="margin" w:hAnchor="text" w:x="1800" w:y="607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行的效率与效果。</w:t>
      </w:r>
    </w:p>
    <w:p w14:paraId="63FA083A">
      <w:pPr>
        <w:framePr w:w="8853" w:wrap="around" w:vAnchor="margin" w:hAnchor="text" w:x="1800" w:y="831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综上所述，本项目的管理制度在执行过程中表现出了高度</w:t>
      </w:r>
    </w:p>
    <w:p w14:paraId="76E3D191">
      <w:pPr>
        <w:framePr w:w="8853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的有效性，既确保了项目的顺利进行，又实现了项目目标的有</w:t>
      </w:r>
    </w:p>
    <w:p w14:paraId="43C47450">
      <w:pPr>
        <w:framePr w:w="8853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效达成。</w:t>
      </w:r>
    </w:p>
    <w:p w14:paraId="1C98072C">
      <w:pPr>
        <w:framePr w:w="3127" w:wrap="around" w:vAnchor="margin" w:hAnchor="text" w:x="2441" w:y="99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OSGSUB+KaiTi_GB2312" w:hAnsi="OSGSUB+KaiTi_GB2312" w:cs="OSGSUB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（三）项目产出情况</w:t>
      </w:r>
    </w:p>
    <w:p w14:paraId="26D0BA6F">
      <w:pPr>
        <w:framePr w:w="8947" w:wrap="around" w:vAnchor="margin" w:hAnchor="text" w:x="1800" w:y="105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项目产出类指标包括产出数量、产出质量、产出时效、产</w:t>
      </w:r>
    </w:p>
    <w:p w14:paraId="4D577D76">
      <w:pPr>
        <w:framePr w:w="8947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出成本四方面的内容，由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7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个三级指标构成，权重分为</w:t>
      </w:r>
      <w:r>
        <w:rPr>
          <w:rFonts w:hAnsiTheme="minorHAns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40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分，</w:t>
      </w:r>
    </w:p>
    <w:p w14:paraId="0E863E2F">
      <w:pPr>
        <w:framePr w:w="8947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实际得分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39.56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分，得分率为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98.9%。具体产出指标完成情况</w:t>
      </w:r>
    </w:p>
    <w:p w14:paraId="018F4C25">
      <w:pPr>
        <w:framePr w:w="8947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如下：</w:t>
      </w:r>
    </w:p>
    <w:p w14:paraId="27F39635">
      <w:pPr>
        <w:framePr w:w="2157" w:wrap="around" w:vAnchor="margin" w:hAnchor="text" w:x="2441" w:y="1279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①数量指标：</w:t>
      </w:r>
    </w:p>
    <w:p w14:paraId="10E899BA">
      <w:pPr>
        <w:framePr w:w="8786" w:wrap="around" w:vAnchor="margin" w:hAnchor="text" w:x="1800" w:y="1335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4"/>
          <w:sz w:val="32"/>
          <w:szCs w:val="22"/>
          <w:lang w:val="en-US" w:eastAsia="en-US" w:bidi="ar-SA"/>
        </w:rPr>
        <w:t>指标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pacing w:val="3"/>
          <w:sz w:val="32"/>
          <w:szCs w:val="22"/>
          <w:lang w:val="en-US" w:eastAsia="en-US" w:bidi="ar-SA"/>
        </w:rPr>
        <w:t>1：乡村振兴审计项目个数，指标值：“&gt;=1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pacing w:val="3"/>
          <w:sz w:val="32"/>
          <w:szCs w:val="22"/>
          <w:lang w:val="en-US" w:eastAsia="en-US" w:bidi="ar-SA"/>
        </w:rPr>
        <w:t>个”，</w:t>
      </w:r>
    </w:p>
    <w:p w14:paraId="43D0A369">
      <w:pPr>
        <w:framePr w:w="8786" w:wrap="around" w:vAnchor="margin" w:hAnchor="text" w:x="1800" w:y="133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实际完成值：1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个，指标完成率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z w:val="32"/>
          <w:szCs w:val="22"/>
          <w:lang w:val="en-US" w:eastAsia="en-US" w:bidi="ar-SA"/>
        </w:rPr>
        <w:t>100%。</w:t>
      </w:r>
    </w:p>
    <w:p w14:paraId="12C435DC">
      <w:pPr>
        <w:framePr w:w="8534" w:wrap="around" w:vAnchor="margin" w:hAnchor="text" w:x="2441" w:y="1447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LBLK+FangSong_GB2312" w:hAnsi="QPLBLK+FangSong_GB2312" w:cs="QPLBLK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指标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pacing w:val="-11"/>
          <w:sz w:val="32"/>
          <w:szCs w:val="22"/>
          <w:lang w:val="en-US" w:eastAsia="en-US" w:bidi="ar-SA"/>
        </w:rPr>
        <w:t>2：乡村振兴专项审计出差人数，指标值：“&gt;=8</w:t>
      </w:r>
      <w:r>
        <w:rPr>
          <w:rFonts w:hAnsiTheme="minorHAnsi" w:eastAsiaTheme="minorEastAsia" w:cstheme="minorBidi"/>
          <w:color w:val="000000"/>
          <w:spacing w:val="11"/>
          <w:sz w:val="32"/>
          <w:szCs w:val="22"/>
          <w:lang w:val="en-US" w:eastAsia="en-US" w:bidi="ar-SA"/>
        </w:rPr>
        <w:t xml:space="preserve"> </w:t>
      </w:r>
      <w:r>
        <w:rPr>
          <w:rFonts w:ascii="QPLBLK+FangSong_GB2312" w:hAnsi="QPLBLK+FangSong_GB2312" w:cs="QPLBLK+FangSong_GB2312" w:eastAsiaTheme="minorEastAsia"/>
          <w:color w:val="000000"/>
          <w:spacing w:val="-53"/>
          <w:sz w:val="32"/>
          <w:szCs w:val="22"/>
          <w:lang w:val="en-US" w:eastAsia="en-US" w:bidi="ar-SA"/>
        </w:rPr>
        <w:t>人”，</w:t>
      </w:r>
    </w:p>
    <w:p w14:paraId="2D8CA0B2"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17</w:t>
      </w:r>
    </w:p>
    <w:p w14:paraId="574BD49C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1E730023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18EF1275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9" w:name="br1_18"/>
      <w:bookmarkEnd w:id="19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107C9ED5">
      <w:pPr>
        <w:framePr w:w="5678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实际完成值：8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人，指标完成率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100%。</w:t>
      </w:r>
    </w:p>
    <w:p w14:paraId="7CFBE7E7">
      <w:pPr>
        <w:framePr w:w="2157" w:wrap="around" w:vAnchor="margin" w:hAnchor="text" w:x="2441" w:y="2157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②质量指标：</w:t>
      </w:r>
    </w:p>
    <w:p w14:paraId="5B77BA97">
      <w:pPr>
        <w:framePr w:w="8786" w:wrap="around" w:vAnchor="margin" w:hAnchor="text" w:x="1800" w:y="2716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6"/>
          <w:sz w:val="32"/>
          <w:szCs w:val="22"/>
          <w:lang w:val="en-US" w:eastAsia="en-US" w:bidi="ar-SA"/>
        </w:rPr>
        <w:t>指标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6"/>
          <w:sz w:val="32"/>
          <w:szCs w:val="22"/>
          <w:lang w:val="en-US" w:eastAsia="en-US" w:bidi="ar-SA"/>
        </w:rPr>
        <w:t>1：审计建议采纳率，指标值：“&gt;=95%”，实际完</w:t>
      </w:r>
    </w:p>
    <w:p w14:paraId="574D37B1">
      <w:pPr>
        <w:framePr w:w="8786" w:wrap="around" w:vAnchor="margin" w:hAnchor="text" w:x="1800" w:y="2716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5"/>
          <w:sz w:val="32"/>
          <w:szCs w:val="22"/>
          <w:lang w:val="en-US" w:eastAsia="en-US" w:bidi="ar-SA"/>
        </w:rPr>
        <w:t>成值：100%，指标完成率</w:t>
      </w:r>
      <w:r>
        <w:rPr>
          <w:rFonts w:hAnsiTheme="minorHAns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5"/>
          <w:sz w:val="32"/>
          <w:szCs w:val="22"/>
          <w:lang w:val="en-US" w:eastAsia="en-US" w:bidi="ar-SA"/>
        </w:rPr>
        <w:t>105%，偏差原因：保守估计被审计</w:t>
      </w:r>
    </w:p>
    <w:p w14:paraId="74A1FDAB">
      <w:pPr>
        <w:framePr w:w="8786" w:wrap="around" w:vAnchor="margin" w:hAnchor="text" w:x="1800" w:y="2716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单位审计建议采纳情况。</w:t>
      </w:r>
    </w:p>
    <w:p w14:paraId="08154FD1">
      <w:pPr>
        <w:framePr w:w="2157" w:wrap="around" w:vAnchor="margin" w:hAnchor="text" w:x="2441" w:y="439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③时效指标：</w:t>
      </w:r>
    </w:p>
    <w:p w14:paraId="104359CC">
      <w:pPr>
        <w:framePr w:w="8949" w:wrap="around" w:vAnchor="margin" w:hAnchor="text" w:x="1800" w:y="495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指标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1：完成该审计项目的期限，指标值：“&lt;=3</w:t>
      </w:r>
      <w:r>
        <w:rPr>
          <w:rFonts w:hAnsiTheme="minorHAnsi" w:eastAsiaTheme="minorEastAsia" w:cstheme="minorBidi"/>
          <w:color w:val="000000"/>
          <w:spacing w:val="4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-6"/>
          <w:sz w:val="32"/>
          <w:szCs w:val="22"/>
          <w:lang w:val="en-US" w:eastAsia="en-US" w:bidi="ar-SA"/>
        </w:rPr>
        <w:t>个月”，</w:t>
      </w:r>
    </w:p>
    <w:p w14:paraId="402C9400">
      <w:pPr>
        <w:framePr w:w="8949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实际完成值：3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个月内，指标完成率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100%。</w:t>
      </w:r>
    </w:p>
    <w:p w14:paraId="485B2677">
      <w:pPr>
        <w:framePr w:w="8949" w:wrap="around" w:vAnchor="margin" w:hAnchor="text" w:x="1800" w:y="495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④成本指标：</w:t>
      </w:r>
    </w:p>
    <w:p w14:paraId="4858D728">
      <w:pPr>
        <w:framePr w:w="9172" w:wrap="around" w:vAnchor="margin" w:hAnchor="text" w:x="1800" w:y="663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指标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-17"/>
          <w:sz w:val="32"/>
          <w:szCs w:val="22"/>
          <w:lang w:val="en-US" w:eastAsia="en-US" w:bidi="ar-SA"/>
        </w:rPr>
        <w:t>1：乡村振兴专项审计办公费，指标值：&lt;=0.52</w:t>
      </w:r>
      <w:r>
        <w:rPr>
          <w:rFonts w:hAnsiTheme="minorHAnsi" w:eastAsiaTheme="minorEastAsia" w:cstheme="minorBidi"/>
          <w:color w:val="000000"/>
          <w:spacing w:val="15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-40"/>
          <w:sz w:val="32"/>
          <w:szCs w:val="22"/>
          <w:lang w:val="en-US" w:eastAsia="en-US" w:bidi="ar-SA"/>
        </w:rPr>
        <w:t>万元”，</w:t>
      </w:r>
    </w:p>
    <w:p w14:paraId="0C07E8AF">
      <w:pPr>
        <w:framePr w:w="9172" w:wrap="around" w:vAnchor="margin" w:hAnchor="text" w:x="1800" w:y="663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6"/>
          <w:sz w:val="32"/>
          <w:szCs w:val="22"/>
          <w:lang w:val="en-US" w:eastAsia="en-US" w:bidi="ar-SA"/>
        </w:rPr>
        <w:t>实际完成值：0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6"/>
          <w:sz w:val="32"/>
          <w:szCs w:val="22"/>
          <w:lang w:val="en-US" w:eastAsia="en-US" w:bidi="ar-SA"/>
        </w:rPr>
        <w:t>万元，指标完成率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5"/>
          <w:sz w:val="32"/>
          <w:szCs w:val="22"/>
          <w:lang w:val="en-US" w:eastAsia="en-US" w:bidi="ar-SA"/>
        </w:rPr>
        <w:t>0%，偏差原因：截止</w:t>
      </w:r>
      <w:r>
        <w:rPr>
          <w:rFonts w:hAnsiTheme="minorHAns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</w:p>
    <w:p w14:paraId="0E51F918">
      <w:pPr>
        <w:framePr w:w="9172" w:wrap="around" w:vAnchor="margin" w:hAnchor="text" w:x="1800" w:y="663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12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月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31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日，已完成该项目现场审计工作，资金主要用于审</w:t>
      </w:r>
    </w:p>
    <w:p w14:paraId="4118E93F">
      <w:pPr>
        <w:framePr w:w="9172" w:wrap="around" w:vAnchor="margin" w:hAnchor="text" w:x="1800" w:y="663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计期间人员差旅费、车辆维修维护费，部分项目经费还未支付，</w:t>
      </w:r>
    </w:p>
    <w:p w14:paraId="25D7B4AA">
      <w:pPr>
        <w:framePr w:w="9172" w:wrap="around" w:vAnchor="margin" w:hAnchor="text" w:x="1800" w:y="663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改进措施：该项目办公经费将用于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年相关项目中。</w:t>
      </w:r>
    </w:p>
    <w:p w14:paraId="45850884">
      <w:pPr>
        <w:framePr w:w="9172" w:wrap="around" w:vAnchor="margin" w:hAnchor="text" w:x="1800" w:y="663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4"/>
          <w:sz w:val="32"/>
          <w:szCs w:val="22"/>
          <w:lang w:val="en-US" w:eastAsia="en-US" w:bidi="ar-SA"/>
        </w:rPr>
        <w:t>指标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2"/>
          <w:sz w:val="32"/>
          <w:szCs w:val="22"/>
          <w:lang w:val="en-US" w:eastAsia="en-US" w:bidi="ar-SA"/>
        </w:rPr>
        <w:t>2：乡村振兴专项审计差旅费，指标值：&lt;=10.69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万</w:t>
      </w:r>
    </w:p>
    <w:p w14:paraId="76C74754">
      <w:pPr>
        <w:framePr w:w="9172" w:wrap="around" w:vAnchor="margin" w:hAnchor="text" w:x="1800" w:y="663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元”，实际完成值：10.69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万元，指标完成率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100%。</w:t>
      </w:r>
    </w:p>
    <w:p w14:paraId="2E1CE95C">
      <w:pPr>
        <w:framePr w:w="9172" w:wrap="around" w:vAnchor="margin" w:hAnchor="text" w:x="1800" w:y="663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指标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3：乡村振兴专项审计车辆维护费，指标值：&lt;=0.29</w:t>
      </w:r>
    </w:p>
    <w:p w14:paraId="0D48B698">
      <w:pPr>
        <w:framePr w:w="9172" w:wrap="around" w:vAnchor="margin" w:hAnchor="text" w:x="1800" w:y="663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万元”，实际完成值：0.29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万元，指标完成率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100%。</w:t>
      </w:r>
    </w:p>
    <w:p w14:paraId="08E21231">
      <w:pPr>
        <w:framePr w:w="3127" w:wrap="around" w:vAnchor="margin" w:hAnchor="text" w:x="2441" w:y="117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QPKVIP+KaiTi_GB2312" w:hAnsi="QPKVIP+KaiTi_GB2312" w:cs="QPKVIP+KaiTi_GB2312" w:eastAsiaTheme="minorEastAsia"/>
          <w:color w:val="000000"/>
          <w:spacing w:val="1"/>
          <w:sz w:val="32"/>
          <w:szCs w:val="22"/>
          <w:lang w:val="en-US" w:eastAsia="en-US" w:bidi="ar-SA"/>
        </w:rPr>
        <w:t>（四）项目效益情况</w:t>
      </w:r>
    </w:p>
    <w:p w14:paraId="339E0AC6">
      <w:pPr>
        <w:framePr w:w="8880" w:wrap="around" w:vAnchor="margin" w:hAnchor="text" w:x="1800" w:y="123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pacing w:val="10"/>
          <w:sz w:val="32"/>
          <w:szCs w:val="22"/>
          <w:lang w:val="en-US" w:eastAsia="en-US" w:bidi="ar-SA"/>
        </w:rPr>
        <w:t>项目效益类指标包括项目实施效益和满意度两方面的内</w:t>
      </w:r>
    </w:p>
    <w:p w14:paraId="00FCAB89">
      <w:pPr>
        <w:framePr w:w="8880" w:wrap="around" w:vAnchor="margin" w:hAnchor="text" w:x="1800" w:y="123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容，由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个三级指标构成，权重分为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分，实际得分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20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pacing w:val="2"/>
          <w:sz w:val="32"/>
          <w:szCs w:val="22"/>
          <w:lang w:val="en-US" w:eastAsia="en-US" w:bidi="ar-SA"/>
        </w:rPr>
        <w:t>分，</w:t>
      </w:r>
    </w:p>
    <w:p w14:paraId="4AE9FBDD">
      <w:pPr>
        <w:framePr w:w="8880" w:wrap="around" w:vAnchor="margin" w:hAnchor="text" w:x="1800" w:y="123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得分率为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100%。具体效益指标及满意度指标完成情况如下：</w:t>
      </w:r>
    </w:p>
    <w:p w14:paraId="3DEAD6E8">
      <w:pPr>
        <w:framePr w:w="8880" w:wrap="around" w:vAnchor="margin" w:hAnchor="text" w:x="1800" w:y="12357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1.实施效益</w:t>
      </w:r>
    </w:p>
    <w:p w14:paraId="263A91FF">
      <w:pPr>
        <w:framePr w:w="2798" w:wrap="around" w:vAnchor="margin" w:hAnchor="text" w:x="2441" w:y="1459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PMAJI+FangSong_GB2312" w:hAnsi="GPMAJI+FangSong_GB2312" w:cs="GPMAJI+FangSong_GB2312" w:eastAsiaTheme="minorEastAsia"/>
          <w:color w:val="000000"/>
          <w:sz w:val="32"/>
          <w:szCs w:val="22"/>
          <w:lang w:val="en-US" w:eastAsia="en-US" w:bidi="ar-SA"/>
        </w:rPr>
        <w:t>①社会效益指标：</w:t>
      </w:r>
    </w:p>
    <w:p w14:paraId="36C4DD46"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18</w:t>
      </w:r>
    </w:p>
    <w:p w14:paraId="506BB94F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6D2D8AF1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7EAFD9F6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0" w:name="br1_19"/>
      <w:bookmarkEnd w:id="20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347B5FA1">
      <w:pPr>
        <w:framePr w:w="8786" w:wrap="around" w:vAnchor="margin" w:hAnchor="text" w:x="1800" w:y="159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指标：促进被审计单位根据审计建议制定整改措施，指标</w:t>
      </w:r>
    </w:p>
    <w:p w14:paraId="59D5FDBB">
      <w:pPr>
        <w:framePr w:w="8786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值：“&gt;=2</w:t>
      </w:r>
      <w:r>
        <w:rPr>
          <w:rFonts w:hAnsiTheme="minorHAns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项”，实际完成值：2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项，指标完成率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100%。</w:t>
      </w:r>
    </w:p>
    <w:p w14:paraId="700785AF">
      <w:pPr>
        <w:framePr w:w="8786" w:wrap="around" w:vAnchor="margin" w:hAnchor="text" w:x="1800" w:y="159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2.满意度</w:t>
      </w:r>
    </w:p>
    <w:p w14:paraId="47AFF54E">
      <w:pPr>
        <w:framePr w:w="8853" w:wrap="around" w:vAnchor="margin" w:hAnchor="text" w:x="1800" w:y="327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3"/>
          <w:sz w:val="32"/>
          <w:szCs w:val="22"/>
          <w:lang w:val="en-US" w:eastAsia="en-US" w:bidi="ar-SA"/>
        </w:rPr>
        <w:t>指标：被审计单位对审计工作的满意度，指标值：90%，</w:t>
      </w:r>
    </w:p>
    <w:p w14:paraId="103E02CB">
      <w:pPr>
        <w:framePr w:w="8853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实际完成值：100%，指标完成率：111%，偏差原因：保守估计</w:t>
      </w:r>
    </w:p>
    <w:p w14:paraId="5517F920">
      <w:pPr>
        <w:framePr w:w="8853" w:wrap="around" w:vAnchor="margin" w:hAnchor="text" w:x="1800" w:y="327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被审计单位对审计结果满意情况。</w:t>
      </w:r>
    </w:p>
    <w:p w14:paraId="2C1AC961">
      <w:pPr>
        <w:framePr w:w="8853" w:wrap="around" w:vAnchor="margin" w:hAnchor="text" w:x="1800" w:y="495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ABORR+KaiTi_GB2312" w:hAnsi="GABORR+KaiTi_GB2312" w:cs="GABORR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（五）预算执行进度与绩效指标总体完成率偏差</w:t>
      </w:r>
    </w:p>
    <w:p w14:paraId="4C967DC7">
      <w:pPr>
        <w:framePr w:w="8853" w:wrap="around" w:vAnchor="margin" w:hAnchor="text" w:x="1800" w:y="495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pacing w:val="14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pacing w:val="15"/>
          <w:sz w:val="32"/>
          <w:szCs w:val="22"/>
          <w:lang w:val="en-US" w:eastAsia="en-US" w:bidi="ar-SA"/>
        </w:rPr>
        <w:t>年度乡村振兴专项审计经费项目年初预算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pacing w:val="14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万</w:t>
      </w:r>
    </w:p>
    <w:p w14:paraId="656096D4">
      <w:pPr>
        <w:framePr w:w="8853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3"/>
          <w:sz w:val="32"/>
          <w:szCs w:val="22"/>
          <w:lang w:val="en-US" w:eastAsia="en-US" w:bidi="ar-SA"/>
        </w:rPr>
        <w:t>元，全年预算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11.5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pacing w:val="3"/>
          <w:sz w:val="32"/>
          <w:szCs w:val="22"/>
          <w:lang w:val="en-US" w:eastAsia="en-US" w:bidi="ar-SA"/>
        </w:rPr>
        <w:t>万元，实际支出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10.99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pacing w:val="3"/>
          <w:sz w:val="32"/>
          <w:szCs w:val="22"/>
          <w:lang w:val="en-US" w:eastAsia="en-US" w:bidi="ar-SA"/>
        </w:rPr>
        <w:t>万元，预算执行率</w:t>
      </w:r>
    </w:p>
    <w:p w14:paraId="44429E56">
      <w:pPr>
        <w:framePr w:w="8853" w:wrap="around" w:vAnchor="margin" w:hAnchor="text" w:x="1800" w:y="495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为</w:t>
      </w:r>
      <w:r>
        <w:rPr>
          <w:rFonts w:hAnsiTheme="minorHAns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pacing w:val="2"/>
          <w:sz w:val="32"/>
          <w:szCs w:val="22"/>
          <w:lang w:val="en-US" w:eastAsia="en-US" w:bidi="ar-SA"/>
        </w:rPr>
        <w:t>95.57%，项目绩效指标总体完成率为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pacing w:val="2"/>
          <w:sz w:val="32"/>
          <w:szCs w:val="22"/>
          <w:lang w:val="en-US" w:eastAsia="en-US" w:bidi="ar-SA"/>
        </w:rPr>
        <w:t>89.44%，总体偏差率</w:t>
      </w:r>
    </w:p>
    <w:p w14:paraId="7D356539">
      <w:pPr>
        <w:framePr w:w="8853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为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10.56%，偏差原因：截止</w:t>
      </w:r>
      <w:r>
        <w:rPr>
          <w:rFonts w:hAnsiTheme="minorHAns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2024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12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月</w:t>
      </w:r>
      <w:r>
        <w:rPr>
          <w:rFonts w:hAnsiTheme="minorHAns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31</w:t>
      </w:r>
      <w:r>
        <w:rPr>
          <w:rFonts w:hAnsiTheme="minorHAns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pacing w:val="-1"/>
          <w:sz w:val="32"/>
          <w:szCs w:val="22"/>
          <w:lang w:val="en-US" w:eastAsia="en-US" w:bidi="ar-SA"/>
        </w:rPr>
        <w:t>日，已完成该项</w:t>
      </w:r>
    </w:p>
    <w:p w14:paraId="560822C0">
      <w:pPr>
        <w:framePr w:w="8853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目现场审计工作，资金主要用于审计期间人员差旅费、车辆维</w:t>
      </w:r>
    </w:p>
    <w:p w14:paraId="6EC04D05">
      <w:pPr>
        <w:framePr w:w="8853" w:wrap="around" w:vAnchor="margin" w:hAnchor="text" w:x="1800" w:y="495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修维护费，部分项目经费还未支付，改进措施：该项目办公经</w:t>
      </w:r>
    </w:p>
    <w:p w14:paraId="175FF2AD">
      <w:pPr>
        <w:framePr w:w="8853" w:wrap="around" w:vAnchor="margin" w:hAnchor="text" w:x="1800" w:y="495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费将用于</w:t>
      </w:r>
      <w:r>
        <w:rPr>
          <w:rFonts w:hAnsiTheme="minorHAns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Theme="minorHAnsi" w:eastAsiaTheme="minorEastAsia" w:cstheme="minorBidi"/>
          <w:color w:val="000000"/>
          <w:sz w:val="32"/>
          <w:szCs w:val="22"/>
          <w:lang w:val="en-US" w:eastAsia="en-US" w:bidi="ar-SA"/>
        </w:rPr>
        <w:t>2025</w:t>
      </w:r>
      <w:r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年相关项目中。</w:t>
      </w:r>
    </w:p>
    <w:p w14:paraId="3ECC3F2D">
      <w:pPr>
        <w:framePr w:w="6638" w:wrap="around" w:vAnchor="margin" w:hAnchor="text" w:x="2441" w:y="943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五、主要经验及做法、存在的问题及原因分析</w:t>
      </w:r>
    </w:p>
    <w:p w14:paraId="77BBDD14">
      <w:pPr>
        <w:framePr w:w="3430" w:wrap="around" w:vAnchor="margin" w:hAnchor="text" w:x="2424" w:y="99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楷体" w:hAnsi="楷体" w:cs="楷体" w:eastAsiaTheme="minorEastAsia"/>
          <w:color w:val="000000"/>
          <w:spacing w:val="-7"/>
          <w:sz w:val="32"/>
          <w:szCs w:val="22"/>
          <w:lang w:val="en-US" w:eastAsia="en-US" w:bidi="ar-SA"/>
        </w:rPr>
        <w:t>（一）主要经验及做法</w:t>
      </w:r>
    </w:p>
    <w:p w14:paraId="106BB975">
      <w:pPr>
        <w:framePr w:w="8880" w:wrap="around" w:vAnchor="margin" w:hAnchor="text" w:x="1800" w:y="1055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为确保项目顺利进行，提前做好项目规划，将所列计划再</w:t>
      </w:r>
    </w:p>
    <w:p w14:paraId="46BCEDD7"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三审核。在项目实施过程中做好定期监督检查，严格按照项目</w:t>
      </w:r>
    </w:p>
    <w:p w14:paraId="5E12A611">
      <w:pPr>
        <w:framePr w:w="8880" w:wrap="around" w:vAnchor="margin" w:hAnchor="text" w:x="1800" w:y="1055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管理规范进行，在项目资金使用过程中，严格落实把关，按照</w:t>
      </w:r>
    </w:p>
    <w:p w14:paraId="3FE31F0B"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项目资金使用范围做好审核工作，让项目资金落于实处。在项</w:t>
      </w:r>
    </w:p>
    <w:p w14:paraId="475F4E73"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目完成后，做好受益群众民意调查及项目防范工作。</w:t>
      </w:r>
    </w:p>
    <w:p w14:paraId="3DD41D8D">
      <w:pPr>
        <w:framePr w:w="8880" w:wrap="around" w:vAnchor="margin" w:hAnchor="text" w:x="1800" w:y="10557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严格坚持先做事、后验收、再拨付的原则，杜绝了资金被</w:t>
      </w:r>
    </w:p>
    <w:p w14:paraId="1F645AED"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挤占和挪用现象的发生，跟踪检查到位。财政、纪检、监察等</w:t>
      </w:r>
    </w:p>
    <w:p w14:paraId="18F30716">
      <w:pPr>
        <w:framePr w:w="8880" w:wrap="around" w:vAnchor="margin" w:hAnchor="text" w:x="1800" w:y="1055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FPPGQH+FangSong_GB2312" w:hAnsi="FPPGQH+FangSong_GB2312" w:cs="FPPGQH+FangSong_GB2312" w:eastAsiaTheme="minorEastAsia"/>
          <w:color w:val="000000"/>
          <w:sz w:val="32"/>
          <w:szCs w:val="22"/>
          <w:lang w:val="en-US" w:eastAsia="en-US" w:bidi="ar-SA"/>
        </w:rPr>
        <w:t>职能部门全面参与专项资金事前、事中和事后全过程的监管。</w:t>
      </w:r>
    </w:p>
    <w:p w14:paraId="4F930B13"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19</w:t>
      </w:r>
    </w:p>
    <w:p w14:paraId="07904FD2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7FC545B0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29A8B012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1" w:name="br1_20"/>
      <w:bookmarkEnd w:id="21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544A1DD0">
      <w:pPr>
        <w:framePr w:w="9172" w:wrap="around" w:vAnchor="margin" w:hAnchor="text" w:x="1800" w:y="159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9"/>
          <w:sz w:val="32"/>
          <w:szCs w:val="22"/>
          <w:lang w:val="en-US" w:eastAsia="en-US" w:bidi="ar-SA"/>
        </w:rPr>
        <w:t>在监督环节上，实行关口前移，从事后监督管理转向事前审核，</w:t>
      </w:r>
    </w:p>
    <w:p w14:paraId="1DC4ACAA">
      <w:pPr>
        <w:framePr w:w="9172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事中监督和事后检查稽核相结合的监督制度上来，形成多环节</w:t>
      </w:r>
    </w:p>
    <w:p w14:paraId="7554756B">
      <w:pPr>
        <w:framePr w:w="9172" w:wrap="around" w:vAnchor="margin" w:hAnchor="text" w:x="1800" w:y="159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z w:val="32"/>
          <w:szCs w:val="22"/>
          <w:lang w:val="en-US" w:eastAsia="en-US" w:bidi="ar-SA"/>
        </w:rPr>
        <w:t>全过程的监督管理格局，尽量早发现问题，早解决问题。</w:t>
      </w:r>
    </w:p>
    <w:p w14:paraId="4194B2D4">
      <w:pPr>
        <w:framePr w:w="9172" w:wrap="around" w:vAnchor="margin" w:hAnchor="text" w:x="1800" w:y="1598"/>
        <w:widowControl w:val="0"/>
        <w:autoSpaceDE w:val="0"/>
        <w:autoSpaceDN w:val="0"/>
        <w:spacing w:before="243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GUFUNF+KaiTi_GB2312" w:hAnsi="GUFUNF+KaiTi_GB2312" w:cs="GUFUNF+KaiTi_GB2312" w:eastAsiaTheme="minorEastAsia"/>
          <w:color w:val="000000"/>
          <w:spacing w:val="1"/>
          <w:sz w:val="32"/>
          <w:szCs w:val="22"/>
          <w:lang w:val="en-US" w:eastAsia="en-US" w:bidi="ar-SA"/>
        </w:rPr>
        <w:t>（二）存在的问题及原因分析</w:t>
      </w:r>
    </w:p>
    <w:p w14:paraId="63F8E979">
      <w:pPr>
        <w:framePr w:w="8880" w:wrap="around" w:vAnchor="margin" w:hAnchor="text" w:x="1800" w:y="3837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相关绩效管理方面专业知识的系统性学习有待加强。各项</w:t>
      </w:r>
    </w:p>
    <w:p w14:paraId="5E8FD48B">
      <w:pPr>
        <w:framePr w:w="8880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z w:val="32"/>
          <w:szCs w:val="22"/>
          <w:lang w:val="en-US" w:eastAsia="en-US" w:bidi="ar-SA"/>
        </w:rPr>
        <w:t>指标的设置要进一步优化、完善，主要在细化、量化上改进。</w:t>
      </w:r>
    </w:p>
    <w:p w14:paraId="1D3FF3C1">
      <w:pPr>
        <w:framePr w:w="8880" w:wrap="around" w:vAnchor="margin" w:hAnchor="text" w:x="1800" w:y="3837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9"/>
          <w:sz w:val="32"/>
          <w:szCs w:val="22"/>
          <w:lang w:val="en-US" w:eastAsia="en-US" w:bidi="ar-SA"/>
        </w:rPr>
        <w:t>在绩效自评过程中，由干部分人员缺乏相关绩效管理专业知</w:t>
      </w:r>
    </w:p>
    <w:p w14:paraId="6B1F8686">
      <w:pPr>
        <w:framePr w:w="8880" w:wrap="around" w:vAnchor="margin" w:hAnchor="text" w:x="1800" w:y="3837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z w:val="32"/>
          <w:szCs w:val="22"/>
          <w:lang w:val="en-US" w:eastAsia="en-US" w:bidi="ar-SA"/>
        </w:rPr>
        <w:t>识，自评价工作还存在自我审定的局限性，影响评价质量。</w:t>
      </w:r>
    </w:p>
    <w:p w14:paraId="7907BB15">
      <w:pPr>
        <w:framePr w:w="8880" w:wrap="around" w:vAnchor="margin" w:hAnchor="text" w:x="1800" w:y="3837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六、有关建议</w:t>
      </w:r>
    </w:p>
    <w:p w14:paraId="5CEFF5CB">
      <w:pPr>
        <w:framePr w:w="8853" w:wrap="around" w:vAnchor="margin" w:hAnchor="text" w:x="1800" w:y="663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1.多进行有关绩效管理工作方面的培训。积极组织第三方</w:t>
      </w:r>
    </w:p>
    <w:p w14:paraId="1B7A31BA">
      <w:pPr>
        <w:framePr w:w="8853" w:wrap="around" w:vAnchor="margin" w:hAnchor="text" w:x="1800" w:y="663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开展绩效管理工作培训，进一步夯实业务基础，提高我单位绩</w:t>
      </w:r>
    </w:p>
    <w:p w14:paraId="48B695DB">
      <w:pPr>
        <w:framePr w:w="8853" w:wrap="around" w:vAnchor="margin" w:hAnchor="text" w:x="1800" w:y="663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z w:val="32"/>
          <w:szCs w:val="22"/>
          <w:lang w:val="en-US" w:eastAsia="en-US" w:bidi="ar-SA"/>
        </w:rPr>
        <w:t>效人员水平。</w:t>
      </w:r>
    </w:p>
    <w:p w14:paraId="042F0D17">
      <w:pPr>
        <w:framePr w:w="8853" w:wrap="around" w:vAnchor="margin" w:hAnchor="text" w:x="1800" w:y="8318"/>
        <w:widowControl w:val="0"/>
        <w:autoSpaceDE w:val="0"/>
        <w:autoSpaceDN w:val="0"/>
        <w:spacing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2.进一步规范项目建设的程序。项目前期做好可行性研究</w:t>
      </w:r>
    </w:p>
    <w:p w14:paraId="10A8B0B7">
      <w:pPr>
        <w:framePr w:w="8853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报告，更加细化实施方案，严格执行资金管理办法和财政资金</w:t>
      </w:r>
    </w:p>
    <w:p w14:paraId="2EECB358">
      <w:pPr>
        <w:framePr w:w="8853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管理制度，严格按照项目实施方案、招投标管理办法等稳步推</w:t>
      </w:r>
    </w:p>
    <w:p w14:paraId="1E001113">
      <w:pPr>
        <w:framePr w:w="8853" w:wrap="around" w:vAnchor="margin" w:hAnchor="text" w:x="1800" w:y="831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z w:val="32"/>
          <w:szCs w:val="22"/>
          <w:lang w:val="en-US" w:eastAsia="en-US" w:bidi="ar-SA"/>
        </w:rPr>
        <w:t>进工作，各部门单位根据自己项目的特点进行总结。</w:t>
      </w:r>
    </w:p>
    <w:p w14:paraId="11FE77CA">
      <w:pPr>
        <w:framePr w:w="8853" w:wrap="around" w:vAnchor="margin" w:hAnchor="text" w:x="1800" w:y="8318"/>
        <w:widowControl w:val="0"/>
        <w:autoSpaceDE w:val="0"/>
        <w:autoSpaceDN w:val="0"/>
        <w:spacing w:before="240" w:line="319" w:lineRule="exact"/>
        <w:ind w:left="641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3.进一步完善项目评价过程中有关数据和资料的收集、整</w:t>
      </w:r>
    </w:p>
    <w:p w14:paraId="4D1B607D">
      <w:pPr>
        <w:framePr w:w="8853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3"/>
          <w:sz w:val="32"/>
          <w:szCs w:val="22"/>
          <w:lang w:val="en-US" w:eastAsia="en-US" w:bidi="ar-SA"/>
        </w:rPr>
        <w:t>理、审核及分析。项目启动时同步做好档案的归纳与整理，及</w:t>
      </w:r>
    </w:p>
    <w:p w14:paraId="5FD93B89">
      <w:pPr>
        <w:framePr w:w="8853" w:wrap="around" w:vAnchor="margin" w:hAnchor="text" w:x="1800" w:y="8318"/>
        <w:widowControl w:val="0"/>
        <w:autoSpaceDE w:val="0"/>
        <w:autoSpaceDN w:val="0"/>
        <w:spacing w:before="243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pacing w:val="-4"/>
          <w:sz w:val="32"/>
          <w:szCs w:val="22"/>
          <w:lang w:val="en-US" w:eastAsia="en-US" w:bidi="ar-SA"/>
        </w:rPr>
        <w:t>时整理、收集、汇总，健全档案资料。项目后续管理有待进一</w:t>
      </w:r>
    </w:p>
    <w:p w14:paraId="6D9E1811">
      <w:pPr>
        <w:framePr w:w="8853" w:wrap="around" w:vAnchor="margin" w:hAnchor="text" w:x="1800" w:y="8318"/>
        <w:widowControl w:val="0"/>
        <w:autoSpaceDE w:val="0"/>
        <w:autoSpaceDN w:val="0"/>
        <w:spacing w:before="240"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z w:val="32"/>
          <w:szCs w:val="22"/>
          <w:lang w:val="en-US" w:eastAsia="en-US" w:bidi="ar-SA"/>
        </w:rPr>
        <w:t>步加强和跟踪。</w:t>
      </w:r>
    </w:p>
    <w:p w14:paraId="3A20525C">
      <w:pPr>
        <w:framePr w:w="3758" w:wrap="around" w:vAnchor="margin" w:hAnchor="text" w:x="2441" w:y="12796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七、其他需要说明的问题</w:t>
      </w:r>
    </w:p>
    <w:p w14:paraId="60C626A1">
      <w:pPr>
        <w:framePr w:w="4399" w:wrap="around" w:vAnchor="margin" w:hAnchor="text" w:x="2441" w:y="1335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IRIMWQ+FangSong_GB2312" w:hAnsi="IRIMWQ+FangSong_GB2312" w:cs="IRIMWQ+FangSong_GB2312" w:eastAsiaTheme="minorEastAsia"/>
          <w:color w:val="000000"/>
          <w:sz w:val="32"/>
          <w:szCs w:val="22"/>
          <w:lang w:val="en-US" w:eastAsia="en-US" w:bidi="ar-SA"/>
        </w:rPr>
        <w:t>本项目无其他需说明的问题。</w:t>
      </w:r>
    </w:p>
    <w:p w14:paraId="3E4E3E69"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20</w:t>
      </w:r>
    </w:p>
    <w:p w14:paraId="233F4C54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121F8BDA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1E462ABB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2" w:name="br1_21"/>
      <w:bookmarkEnd w:id="22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4137EAD5">
      <w:pPr>
        <w:framePr w:w="422" w:wrap="around" w:vAnchor="margin" w:hAnchor="text" w:x="5983" w:y="15408"/>
        <w:widowControl w:val="0"/>
        <w:autoSpaceDE w:val="0"/>
        <w:autoSpaceDN w:val="0"/>
        <w:spacing w:line="188" w:lineRule="exact"/>
        <w:rPr>
          <w:rFonts w:hAnsiTheme="minorHAnsi" w:eastAsiaTheme="minorEastAsia" w:cstheme="minorBidi"/>
          <w:color w:val="000000"/>
          <w:sz w:val="18"/>
          <w:szCs w:val="22"/>
          <w:lang w:val="en-US" w:eastAsia="en-US" w:bidi="ar-SA"/>
        </w:rPr>
      </w:pPr>
      <w:r>
        <w:rPr>
          <w:rFonts w:ascii="Calibri" w:hAnsiTheme="minorHAnsi" w:eastAsiaTheme="minorEastAsia" w:cstheme="minorBidi"/>
          <w:color w:val="000000"/>
          <w:sz w:val="18"/>
          <w:szCs w:val="22"/>
          <w:lang w:val="en-US" w:eastAsia="en-US" w:bidi="ar-SA"/>
        </w:rPr>
        <w:t>21</w:t>
      </w:r>
    </w:p>
    <w:p w14:paraId="7FA2B0A4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</w:p>
    <w:p w14:paraId="04F08A86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23" w:name="br1_22"/>
      <w:bookmarkEnd w:id="23"/>
    </w:p>
    <w:sectPr>
      <w:pgSz w:w="16820" w:h="11900" w:orient="landscape"/>
      <w:pgMar w:top="0" w:right="0" w:bottom="0" w:left="0" w:header="720" w:footer="720" w:gutter="0"/>
      <w:pgNumType w:start="1"/>
      <w:cols w:space="720" w:num="1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JRLRNU+FZXBSJW--GB1-0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Vrind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IFGICI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HDNPPF+TimesNewRomanPS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THJOKO+KaiTi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OOSGLQ+TimesNewRomanPS-Bold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TIPMHD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PUSCDE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LUUPBM+TimesNewRomanPS-Bold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RQSAMC+KaiTi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ARIAIH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WNMAPJ+KaiTi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ENVHHE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QBTEHM+TimesNewRomanPS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TIUQHR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JHODNT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PDAFFW+TimesNewRomanPS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WGQLGF+KaiTi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AALPKJ+TimesNewRomanPS-Bold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AFHRIE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SLVSUH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DQJKVE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ONNIAK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OFLFRA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JOPHKG+KaiTi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OKUTBB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PCGGRP+KaiTi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PAHGVQ+TimesNewRomanPS-Bold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ANFRIS+TimesNewRomanPS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WKBSJL+TimesNewRomanPS-Bold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CVTEFH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COOLPI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EOFWAD+TimesNewRomanPS-Bold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PBDBHS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GGLMJW+TimesNewRomanPS-Bold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KOJWAM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KAPTMF+TimesNewRomanPS-Bold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QPLBLK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OSGSUB+KaiTi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GPMAJI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QPKVIP+KaiTi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FPPGQH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GABORR+KaiTi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IRIMWQ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GUFUNF+KaiTi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JEDNJW+TimesNewRomanPS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BCVAJC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GPQNCC+TimesNewRomanPS-Bold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AOKJMR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DEJQIG+TimesNewRomanPS-Bold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GFUTDT+TimesNewRomanPS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DFBUCQ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APUFPC+TimesNewRomanPS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DCHPCQ+TimesNewRomanPS-Bold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HOSLLD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KJSFCA+TimesNewRomanPS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FOMGDF+TimesNewRomanPS-Bold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GOQLWT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QIANPP+TimesNewRomanPS-Bold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MPOAWL+TimesNewRomanPS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WBKOKQ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AWEGSO+TimesNewRomanPS-Bold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TQFWRU+FangSong_GB2312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19145D4E"/>
    <w:rsid w:val="27E209A0"/>
    <w:rsid w:val="28FE392C"/>
    <w:rsid w:val="34452D0C"/>
    <w:rsid w:val="421260A5"/>
    <w:rsid w:val="45EF13EA"/>
    <w:rsid w:val="4883194C"/>
    <w:rsid w:val="50F26DD8"/>
    <w:rsid w:val="5378564E"/>
    <w:rsid w:val="64450467"/>
    <w:rsid w:val="66C832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23</Pages>
  <Words>10223</Words>
  <Characters>10654</Characters>
  <Lines>1</Lines>
  <Paragraphs>1</Paragraphs>
  <TotalTime>9</TotalTime>
  <ScaleCrop>false</ScaleCrop>
  <LinksUpToDate>false</LinksUpToDate>
  <CharactersWithSpaces>10898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2025-09-19T10:14:00Z</dcterms:created>
  <dc:creator>Administrator</dc:creator>
  <cp:lastModifiedBy>忆</cp:lastModifiedBy>
  <dcterms:modified xsi:type="dcterms:W3CDTF">2025-11-07T05:47:14Z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AB3862874DD54446A40E6DC0A7224C29</vt:lpwstr>
  </property>
  <property fmtid="{D5CDD505-2E9C-101B-9397-08002B2CF9AE}" pid="4" name="KSOTemplateDocerSaveRecord">
    <vt:lpwstr>eyJoZGlkIjoiZWE5M2E4OTRkNmEwYTUyNjM2Mzg3NThiMTA5NmIzZWUiLCJ1c2VySWQiOiI0OTMxMTE3MjUifQ==</vt:lpwstr>
  </property>
</Properties>
</file>