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FD13C">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DBF5DF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3D42A9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7E767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CAF9D7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A4AFC0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裕民县城管监察大队2024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39C943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7864F4B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26E94D4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2D10201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37C380D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50F29A9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6A8735A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DB8B8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2B0AE8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665E85C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AB00A5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3B11DC2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41A7EDD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4A7C5E4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27CBDC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F2BE6D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65DD033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0E63458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6E8CB3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3AAE01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35B90FC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2D0CA14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31EBBCC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D3CBEA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25EBDDF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58B4602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7D18BA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4373970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321089D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23707A0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90559C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2FAA4E2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56803B1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287FA73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4703791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5546FC8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6DFF578">
      <w:r>
        <w:br w:type="page"/>
      </w:r>
    </w:p>
    <w:p w14:paraId="5F6E4012">
      <w:pPr>
        <w:spacing w:line="640" w:lineRule="exact"/>
        <w:jc w:val="center"/>
        <w:outlineLvl w:val="1"/>
      </w:pPr>
      <w:r>
        <w:rPr>
          <w:rFonts w:ascii="黑体" w:hAnsi="黑体" w:eastAsia="黑体"/>
          <w:sz w:val="32"/>
        </w:rPr>
        <w:t>第一部分 单位概况</w:t>
      </w:r>
    </w:p>
    <w:p w14:paraId="63E00F69">
      <w:pPr>
        <w:spacing w:line="640" w:lineRule="exact"/>
        <w:ind w:firstLine="640"/>
        <w:jc w:val="both"/>
        <w:outlineLvl w:val="2"/>
      </w:pPr>
      <w:r>
        <w:rPr>
          <w:rFonts w:ascii="黑体" w:hAnsi="黑体" w:eastAsia="黑体"/>
          <w:sz w:val="32"/>
        </w:rPr>
        <w:t>一、主要职能</w:t>
      </w:r>
    </w:p>
    <w:p w14:paraId="33B18601">
      <w:pPr>
        <w:spacing w:line="580" w:lineRule="exact"/>
        <w:ind w:firstLine="640"/>
        <w:jc w:val="both"/>
        <w:rPr>
          <w:w w:val="98"/>
          <w:sz w:val="32"/>
        </w:rPr>
      </w:pPr>
      <w:r>
        <w:rPr>
          <w:rFonts w:ascii="仿宋_GB2312" w:hAnsi="仿宋_GB2312" w:eastAsia="仿宋_GB2312"/>
          <w:w w:val="98"/>
          <w:sz w:val="32"/>
        </w:rPr>
        <w:t>(1)依据《中华人民共和国城市规划法》，实施城市规划监督。</w:t>
      </w:r>
    </w:p>
    <w:p w14:paraId="1B199599">
      <w:pPr>
        <w:spacing w:line="580" w:lineRule="exact"/>
        <w:ind w:firstLine="640"/>
        <w:jc w:val="both"/>
        <w:rPr>
          <w:w w:val="95"/>
          <w:sz w:val="32"/>
        </w:rPr>
      </w:pPr>
      <w:r>
        <w:rPr>
          <w:rFonts w:ascii="仿宋_GB2312" w:hAnsi="仿宋_GB2312" w:eastAsia="仿宋_GB2312"/>
          <w:w w:val="95"/>
          <w:sz w:val="32"/>
        </w:rPr>
        <w:t>(2)依据《城市道路管理条例》，实施城市市改工程设施的监督。</w:t>
      </w:r>
    </w:p>
    <w:p w14:paraId="4CAD7547">
      <w:pPr>
        <w:spacing w:line="580" w:lineRule="exact"/>
        <w:ind w:firstLine="640"/>
        <w:jc w:val="both"/>
      </w:pPr>
      <w:r>
        <w:rPr>
          <w:rFonts w:ascii="仿宋_GB2312" w:hAnsi="仿宋_GB2312" w:eastAsia="仿宋_GB2312"/>
          <w:sz w:val="32"/>
        </w:rPr>
        <w:t>(3)依据《城市供水条例》，实施城市公用设施的监督。</w:t>
      </w:r>
    </w:p>
    <w:p w14:paraId="50C7ED53">
      <w:pPr>
        <w:spacing w:line="580" w:lineRule="exact"/>
        <w:ind w:firstLine="640"/>
        <w:jc w:val="both"/>
      </w:pPr>
      <w:r>
        <w:rPr>
          <w:rFonts w:ascii="仿宋_GB2312" w:hAnsi="仿宋_GB2312" w:eastAsia="仿宋_GB2312"/>
          <w:sz w:val="32"/>
        </w:rPr>
        <w:t>(4)依据《城市市容</w:t>
      </w:r>
      <w:r>
        <w:rPr>
          <w:rFonts w:hint="eastAsia" w:ascii="仿宋_GB2312" w:hAnsi="仿宋_GB2312" w:eastAsia="仿宋_GB2312"/>
          <w:sz w:val="32"/>
          <w:lang w:eastAsia="zh-CN"/>
        </w:rPr>
        <w:t>和</w:t>
      </w:r>
      <w:r>
        <w:rPr>
          <w:rFonts w:ascii="仿宋_GB2312" w:hAnsi="仿宋_GB2312" w:eastAsia="仿宋_GB2312"/>
          <w:sz w:val="32"/>
        </w:rPr>
        <w:t>环境卫生管理条例》，实施城市市容环境的监督。</w:t>
      </w:r>
    </w:p>
    <w:p w14:paraId="369C1783">
      <w:pPr>
        <w:spacing w:line="580" w:lineRule="exact"/>
        <w:ind w:firstLine="640"/>
        <w:jc w:val="both"/>
      </w:pPr>
      <w:r>
        <w:rPr>
          <w:rFonts w:ascii="仿宋_GB2312" w:hAnsi="仿宋_GB2312" w:eastAsia="仿宋_GB2312"/>
          <w:sz w:val="32"/>
        </w:rPr>
        <w:t>(5)依据《城市绿化条例》，实施城市园林绿化的监督。</w:t>
      </w:r>
    </w:p>
    <w:p w14:paraId="5CDB2BD3">
      <w:pPr>
        <w:spacing w:line="640" w:lineRule="exact"/>
        <w:ind w:firstLine="640"/>
        <w:jc w:val="both"/>
        <w:outlineLvl w:val="2"/>
      </w:pPr>
      <w:r>
        <w:rPr>
          <w:rFonts w:ascii="黑体" w:hAnsi="黑体" w:eastAsia="黑体"/>
          <w:sz w:val="32"/>
        </w:rPr>
        <w:t>二、机构设置及人员情况</w:t>
      </w:r>
    </w:p>
    <w:p w14:paraId="0AB7950A">
      <w:pPr>
        <w:spacing w:line="580" w:lineRule="exact"/>
        <w:ind w:firstLine="640"/>
        <w:jc w:val="both"/>
      </w:pPr>
      <w:r>
        <w:rPr>
          <w:rFonts w:ascii="仿宋_GB2312" w:hAnsi="仿宋_GB2312" w:eastAsia="仿宋_GB2312"/>
          <w:sz w:val="32"/>
        </w:rPr>
        <w:t>裕民县城管监察大队2024年度，实有人数21人，其中：在职人员15人，减少1人；离休人员0人，增加0人；退休人员6人,增加2人。</w:t>
      </w:r>
    </w:p>
    <w:p w14:paraId="51084D10">
      <w:pPr>
        <w:spacing w:line="580" w:lineRule="exact"/>
        <w:ind w:firstLine="640"/>
        <w:jc w:val="both"/>
      </w:pPr>
      <w:r>
        <w:rPr>
          <w:rFonts w:ascii="仿宋_GB2312" w:hAnsi="仿宋_GB2312" w:eastAsia="仿宋_GB2312"/>
          <w:sz w:val="32"/>
        </w:rPr>
        <w:t>裕民县城管监察大队无下属预算单位，下设2个科室，分别是：办公室、档案室。</w:t>
      </w:r>
    </w:p>
    <w:p w14:paraId="740749EE">
      <w:r>
        <w:br w:type="page"/>
      </w:r>
    </w:p>
    <w:p w14:paraId="55221AD4">
      <w:pPr>
        <w:spacing w:line="240" w:lineRule="auto"/>
        <w:jc w:val="center"/>
        <w:outlineLvl w:val="1"/>
      </w:pPr>
      <w:r>
        <w:rPr>
          <w:rFonts w:ascii="黑体" w:hAnsi="黑体" w:eastAsia="黑体"/>
          <w:sz w:val="32"/>
        </w:rPr>
        <w:t>第二部分 部门决算情况说明</w:t>
      </w:r>
    </w:p>
    <w:p w14:paraId="2C9CC298">
      <w:pPr>
        <w:spacing w:line="640" w:lineRule="exact"/>
        <w:ind w:firstLine="640"/>
        <w:jc w:val="both"/>
        <w:outlineLvl w:val="2"/>
      </w:pPr>
      <w:r>
        <w:rPr>
          <w:rFonts w:ascii="黑体" w:hAnsi="黑体" w:eastAsia="黑体"/>
          <w:sz w:val="32"/>
        </w:rPr>
        <w:t>一、收入支出决算总体情况说明</w:t>
      </w:r>
    </w:p>
    <w:p w14:paraId="78D5C56E">
      <w:pPr>
        <w:spacing w:line="580" w:lineRule="exact"/>
        <w:ind w:firstLine="640"/>
        <w:jc w:val="both"/>
      </w:pPr>
      <w:r>
        <w:rPr>
          <w:rFonts w:ascii="仿宋_GB2312" w:hAnsi="仿宋_GB2312" w:eastAsia="仿宋_GB2312"/>
          <w:b/>
          <w:sz w:val="32"/>
        </w:rPr>
        <w:t>2024年度收入总计295.37万元，</w:t>
      </w:r>
      <w:r>
        <w:rPr>
          <w:rFonts w:ascii="仿宋_GB2312" w:hAnsi="仿宋_GB2312" w:eastAsia="仿宋_GB2312"/>
          <w:b w:val="0"/>
          <w:sz w:val="32"/>
        </w:rPr>
        <w:t>其中：本年收入合计295.37万元，使用非财政拨款结余（含专用结余）0.00万元，年初结转和结余0.00万元。</w:t>
      </w:r>
    </w:p>
    <w:p w14:paraId="2287313D">
      <w:pPr>
        <w:spacing w:line="580" w:lineRule="exact"/>
        <w:ind w:firstLine="640"/>
        <w:jc w:val="both"/>
      </w:pPr>
      <w:r>
        <w:rPr>
          <w:rFonts w:ascii="仿宋_GB2312" w:hAnsi="仿宋_GB2312" w:eastAsia="仿宋_GB2312"/>
          <w:b/>
          <w:sz w:val="32"/>
        </w:rPr>
        <w:t>2024年度支出总计295.37万元，</w:t>
      </w:r>
      <w:r>
        <w:rPr>
          <w:rFonts w:ascii="仿宋_GB2312" w:hAnsi="仿宋_GB2312" w:eastAsia="仿宋_GB2312"/>
          <w:b w:val="0"/>
          <w:sz w:val="32"/>
        </w:rPr>
        <w:t>其中：本年支出合计295.37万元，结余分配0.00万元，年末结转和结余0.00万元。</w:t>
      </w:r>
    </w:p>
    <w:p w14:paraId="20E025ED">
      <w:pPr>
        <w:spacing w:line="580" w:lineRule="exact"/>
        <w:ind w:firstLine="640"/>
        <w:jc w:val="both"/>
      </w:pPr>
      <w:r>
        <w:rPr>
          <w:rFonts w:ascii="仿宋_GB2312" w:hAnsi="仿宋_GB2312" w:eastAsia="仿宋_GB2312"/>
          <w:b w:val="0"/>
          <w:sz w:val="32"/>
        </w:rPr>
        <w:t>收入支出总体与上年相比，增加0.26万元，增长0.09%，主要原因是：</w:t>
      </w:r>
      <w:r>
        <w:rPr>
          <w:rFonts w:hint="eastAsia" w:ascii="仿宋_GB2312" w:hAnsi="仿宋_GB2312" w:eastAsia="仿宋_GB2312"/>
          <w:b w:val="0"/>
          <w:sz w:val="32"/>
          <w:lang w:val="en-US" w:eastAsia="zh-CN"/>
        </w:rPr>
        <w:t>本年在职</w:t>
      </w:r>
      <w:r>
        <w:rPr>
          <w:rFonts w:ascii="仿宋_GB2312" w:hAnsi="仿宋_GB2312" w:eastAsia="仿宋_GB2312"/>
          <w:b w:val="0"/>
          <w:sz w:val="32"/>
        </w:rPr>
        <w:t>人员工资调增，人员经费增加。</w:t>
      </w:r>
    </w:p>
    <w:p w14:paraId="1CAE11F9">
      <w:pPr>
        <w:spacing w:line="640" w:lineRule="exact"/>
        <w:ind w:firstLine="640"/>
        <w:jc w:val="both"/>
        <w:outlineLvl w:val="2"/>
      </w:pPr>
      <w:r>
        <w:rPr>
          <w:rFonts w:ascii="黑体" w:hAnsi="黑体" w:eastAsia="黑体"/>
          <w:sz w:val="32"/>
        </w:rPr>
        <w:t>二、收入决算情况说明</w:t>
      </w:r>
    </w:p>
    <w:p w14:paraId="3F3AB670">
      <w:pPr>
        <w:spacing w:line="580" w:lineRule="exact"/>
        <w:ind w:firstLine="640"/>
        <w:jc w:val="both"/>
      </w:pPr>
      <w:r>
        <w:rPr>
          <w:rFonts w:ascii="仿宋_GB2312" w:hAnsi="仿宋_GB2312" w:eastAsia="仿宋_GB2312"/>
          <w:b/>
          <w:sz w:val="32"/>
        </w:rPr>
        <w:t>本年收入295.37万元，</w:t>
      </w:r>
      <w:r>
        <w:rPr>
          <w:rFonts w:ascii="仿宋_GB2312" w:hAnsi="仿宋_GB2312" w:eastAsia="仿宋_GB2312"/>
          <w:b w:val="0"/>
          <w:sz w:val="32"/>
        </w:rPr>
        <w:t>其中：财政拨款收入295.37万元，占100.00%；上级补助收入0.00万元，占0.00%；事业收入0.00万元，占0.00%；经营收入0.00万元，占0.00%；附属单位上缴收入0.00万元，占0.00%；其他收入0.00万元，占0.00%。</w:t>
      </w:r>
    </w:p>
    <w:p w14:paraId="0D9FD57F">
      <w:pPr>
        <w:spacing w:line="640" w:lineRule="exact"/>
        <w:ind w:firstLine="640"/>
        <w:jc w:val="both"/>
        <w:outlineLvl w:val="2"/>
      </w:pPr>
      <w:r>
        <w:rPr>
          <w:rFonts w:ascii="黑体" w:hAnsi="黑体" w:eastAsia="黑体"/>
          <w:sz w:val="32"/>
        </w:rPr>
        <w:t>三、支出决算情况说明</w:t>
      </w:r>
    </w:p>
    <w:p w14:paraId="7B301D39">
      <w:pPr>
        <w:spacing w:line="580" w:lineRule="exact"/>
        <w:ind w:firstLine="640"/>
        <w:jc w:val="both"/>
      </w:pPr>
      <w:r>
        <w:rPr>
          <w:rFonts w:ascii="仿宋_GB2312" w:hAnsi="仿宋_GB2312" w:eastAsia="仿宋_GB2312"/>
          <w:b/>
          <w:sz w:val="32"/>
        </w:rPr>
        <w:t>本年支出295.37万元，</w:t>
      </w:r>
      <w:r>
        <w:rPr>
          <w:rFonts w:ascii="仿宋_GB2312" w:hAnsi="仿宋_GB2312" w:eastAsia="仿宋_GB2312"/>
          <w:b w:val="0"/>
          <w:sz w:val="32"/>
        </w:rPr>
        <w:t>其中：基本支出295.37万元，占100.00%；项目支出0.00万元，占0.00%；上缴上级支出0.00万元，占0.00%；经营支出0.00万元，占0.00%；对附属单位补助支出0.00万元，占0.00%。</w:t>
      </w:r>
    </w:p>
    <w:p w14:paraId="3B1EE7AB">
      <w:pPr>
        <w:spacing w:line="640" w:lineRule="exact"/>
        <w:ind w:firstLine="640"/>
        <w:jc w:val="both"/>
        <w:outlineLvl w:val="2"/>
      </w:pPr>
      <w:r>
        <w:rPr>
          <w:rFonts w:ascii="黑体" w:hAnsi="黑体" w:eastAsia="黑体"/>
          <w:sz w:val="32"/>
        </w:rPr>
        <w:t>四、财政拨款收入支出决算总体情况说明</w:t>
      </w:r>
    </w:p>
    <w:p w14:paraId="3585872B">
      <w:pPr>
        <w:spacing w:line="580" w:lineRule="exact"/>
        <w:ind w:firstLine="640"/>
        <w:jc w:val="both"/>
      </w:pPr>
      <w:r>
        <w:rPr>
          <w:rFonts w:ascii="仿宋_GB2312" w:hAnsi="仿宋_GB2312" w:eastAsia="仿宋_GB2312"/>
          <w:b/>
          <w:sz w:val="32"/>
        </w:rPr>
        <w:t>2024年度财政拨款收入总计295.37万元，</w:t>
      </w:r>
      <w:r>
        <w:rPr>
          <w:rFonts w:ascii="仿宋_GB2312" w:hAnsi="仿宋_GB2312" w:eastAsia="仿宋_GB2312"/>
          <w:b w:val="0"/>
          <w:sz w:val="32"/>
        </w:rPr>
        <w:t>其中：年初财政拨款结转和结余0.00万元，本年财政拨款收入295.37万元。</w:t>
      </w:r>
      <w:r>
        <w:rPr>
          <w:rFonts w:ascii="仿宋_GB2312" w:hAnsi="仿宋_GB2312" w:eastAsia="仿宋_GB2312"/>
          <w:b/>
          <w:sz w:val="32"/>
        </w:rPr>
        <w:t>财政拨款支出总计295.37万元，</w:t>
      </w:r>
      <w:r>
        <w:rPr>
          <w:rFonts w:ascii="仿宋_GB2312" w:hAnsi="仿宋_GB2312" w:eastAsia="仿宋_GB2312"/>
          <w:b w:val="0"/>
          <w:sz w:val="32"/>
        </w:rPr>
        <w:t>其中：年末财政拨款结转和结余0.00万元，本年财政拨款支出295.37万元。</w:t>
      </w:r>
    </w:p>
    <w:p w14:paraId="5B100DB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增加0.29万元，增长0.10%，主要原因是：</w:t>
      </w:r>
      <w:r>
        <w:rPr>
          <w:rFonts w:hint="eastAsia" w:ascii="仿宋_GB2312" w:hAnsi="仿宋_GB2312" w:eastAsia="仿宋_GB2312"/>
          <w:b w:val="0"/>
          <w:sz w:val="32"/>
          <w:lang w:val="en-US" w:eastAsia="zh-CN"/>
        </w:rPr>
        <w:t>本年在职</w:t>
      </w:r>
      <w:r>
        <w:rPr>
          <w:rFonts w:ascii="仿宋_GB2312" w:hAnsi="仿宋_GB2312" w:eastAsia="仿宋_GB2312"/>
          <w:b w:val="0"/>
          <w:sz w:val="32"/>
        </w:rPr>
        <w:t>人员工资调增，人员经费增加。</w:t>
      </w:r>
      <w:r>
        <w:rPr>
          <w:rFonts w:ascii="仿宋_GB2312" w:hAnsi="仿宋_GB2312" w:eastAsia="仿宋_GB2312"/>
          <w:b/>
          <w:sz w:val="32"/>
        </w:rPr>
        <w:t>与年初预算相比，</w:t>
      </w:r>
      <w:r>
        <w:rPr>
          <w:rFonts w:ascii="仿宋_GB2312" w:hAnsi="仿宋_GB2312" w:eastAsia="仿宋_GB2312"/>
          <w:b w:val="0"/>
          <w:sz w:val="32"/>
        </w:rPr>
        <w:t>年初预算数303.30万元，决算数295.37万元，预决算差异率-2.61%，主要原因是：年中退休两人，调减人员经费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5F29D6E0">
      <w:pPr>
        <w:spacing w:line="640" w:lineRule="exact"/>
        <w:ind w:firstLine="640"/>
        <w:jc w:val="both"/>
        <w:outlineLvl w:val="2"/>
      </w:pPr>
      <w:r>
        <w:rPr>
          <w:rFonts w:ascii="黑体" w:hAnsi="黑体" w:eastAsia="黑体"/>
          <w:sz w:val="32"/>
        </w:rPr>
        <w:t>五、一般公共预算财政拨款支出决算情况说明</w:t>
      </w:r>
    </w:p>
    <w:p w14:paraId="6C33ED0C">
      <w:pPr>
        <w:spacing w:line="640" w:lineRule="exact"/>
        <w:ind w:firstLine="640"/>
        <w:jc w:val="both"/>
        <w:outlineLvl w:val="3"/>
      </w:pPr>
      <w:r>
        <w:rPr>
          <w:rFonts w:ascii="楷体_GB2312" w:hAnsi="楷体_GB2312" w:eastAsia="楷体_GB2312"/>
          <w:b/>
          <w:sz w:val="32"/>
        </w:rPr>
        <w:t>（一）一般公共预算财政拨款支出决算总体情况</w:t>
      </w:r>
    </w:p>
    <w:p w14:paraId="46642671">
      <w:pPr>
        <w:spacing w:line="580" w:lineRule="exact"/>
        <w:ind w:firstLine="640"/>
        <w:jc w:val="both"/>
      </w:pPr>
      <w:r>
        <w:rPr>
          <w:rFonts w:ascii="仿宋_GB2312" w:hAnsi="仿宋_GB2312" w:eastAsia="仿宋_GB2312"/>
          <w:b/>
          <w:sz w:val="32"/>
        </w:rPr>
        <w:t>2024年度一般公共预算财政拨款支出295.37万元，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增加0.29万元，增长0.10%，主要原因是：</w:t>
      </w:r>
      <w:r>
        <w:rPr>
          <w:rFonts w:hint="eastAsia" w:ascii="仿宋_GB2312" w:hAnsi="仿宋_GB2312" w:eastAsia="仿宋_GB2312"/>
          <w:b w:val="0"/>
          <w:sz w:val="32"/>
          <w:lang w:val="en-US" w:eastAsia="zh-CN"/>
        </w:rPr>
        <w:t>本年在职</w:t>
      </w:r>
      <w:r>
        <w:rPr>
          <w:rFonts w:ascii="仿宋_GB2312" w:hAnsi="仿宋_GB2312" w:eastAsia="仿宋_GB2312"/>
          <w:b w:val="0"/>
          <w:sz w:val="32"/>
        </w:rPr>
        <w:t>人员工资调增，人员经费增加。</w:t>
      </w:r>
      <w:r>
        <w:rPr>
          <w:rFonts w:ascii="仿宋_GB2312" w:hAnsi="仿宋_GB2312" w:eastAsia="仿宋_GB2312"/>
          <w:b/>
          <w:sz w:val="32"/>
        </w:rPr>
        <w:t>与年初预算相比,</w:t>
      </w:r>
      <w:r>
        <w:rPr>
          <w:rFonts w:ascii="仿宋_GB2312" w:hAnsi="仿宋_GB2312" w:eastAsia="仿宋_GB2312"/>
          <w:b w:val="0"/>
          <w:sz w:val="32"/>
        </w:rPr>
        <w:t>年初预算数303.30万元，决算数295.37万元，预决算差异率-2.61%，主要原因是：年中退休两人，调减人员经费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6339CEDB">
      <w:pPr>
        <w:spacing w:line="640" w:lineRule="exact"/>
        <w:ind w:firstLine="640"/>
        <w:jc w:val="both"/>
        <w:outlineLvl w:val="3"/>
      </w:pPr>
      <w:r>
        <w:rPr>
          <w:rFonts w:ascii="楷体_GB2312" w:hAnsi="楷体_GB2312" w:eastAsia="楷体_GB2312"/>
          <w:b/>
          <w:sz w:val="32"/>
        </w:rPr>
        <w:t>（二）一般公共预算财政拨款支出决算结构情况</w:t>
      </w:r>
    </w:p>
    <w:p w14:paraId="12E9C1EE">
      <w:pPr>
        <w:spacing w:line="580" w:lineRule="exact"/>
        <w:ind w:firstLine="640"/>
        <w:jc w:val="both"/>
      </w:pPr>
      <w:r>
        <w:rPr>
          <w:rFonts w:ascii="仿宋_GB2312" w:hAnsi="仿宋_GB2312" w:eastAsia="仿宋_GB2312"/>
          <w:b w:val="0"/>
          <w:sz w:val="32"/>
        </w:rPr>
        <w:t>1.社会保障和就业支出(类)42.52万元,占14.40%。</w:t>
      </w:r>
    </w:p>
    <w:p w14:paraId="4E26ABA7">
      <w:pPr>
        <w:spacing w:line="580" w:lineRule="exact"/>
        <w:ind w:firstLine="640"/>
        <w:jc w:val="both"/>
      </w:pPr>
      <w:r>
        <w:rPr>
          <w:rFonts w:ascii="仿宋_GB2312" w:hAnsi="仿宋_GB2312" w:eastAsia="仿宋_GB2312"/>
          <w:b w:val="0"/>
          <w:sz w:val="32"/>
        </w:rPr>
        <w:t>2.卫生健康支出(类)14.42万元,占4.88%。</w:t>
      </w:r>
    </w:p>
    <w:p w14:paraId="1FC6F5DE">
      <w:pPr>
        <w:spacing w:line="580" w:lineRule="exact"/>
        <w:ind w:firstLine="640"/>
        <w:jc w:val="both"/>
      </w:pPr>
      <w:r>
        <w:rPr>
          <w:rFonts w:ascii="仿宋_GB2312" w:hAnsi="仿宋_GB2312" w:eastAsia="仿宋_GB2312"/>
          <w:b w:val="0"/>
          <w:sz w:val="32"/>
        </w:rPr>
        <w:t>3.城乡社区支出(类)219.13万元,占74.19%。</w:t>
      </w:r>
    </w:p>
    <w:p w14:paraId="6589A5AA">
      <w:pPr>
        <w:spacing w:line="580" w:lineRule="exact"/>
        <w:ind w:firstLine="640"/>
        <w:jc w:val="both"/>
      </w:pPr>
      <w:r>
        <w:rPr>
          <w:rFonts w:ascii="仿宋_GB2312" w:hAnsi="仿宋_GB2312" w:eastAsia="仿宋_GB2312"/>
          <w:b w:val="0"/>
          <w:sz w:val="32"/>
        </w:rPr>
        <w:t>4.住房保障支出(类)19.29万元,占6.53%。</w:t>
      </w:r>
    </w:p>
    <w:p w14:paraId="5D32C01E">
      <w:pPr>
        <w:spacing w:line="640" w:lineRule="exact"/>
        <w:ind w:firstLine="640"/>
        <w:jc w:val="both"/>
        <w:outlineLvl w:val="3"/>
      </w:pPr>
      <w:r>
        <w:rPr>
          <w:rFonts w:ascii="楷体_GB2312" w:hAnsi="楷体_GB2312" w:eastAsia="楷体_GB2312"/>
          <w:b/>
          <w:sz w:val="32"/>
        </w:rPr>
        <w:t>（三）一般公共预算财政拨款支出决算具体情况</w:t>
      </w:r>
    </w:p>
    <w:p w14:paraId="632F2C03">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3.47万元，比上年决算减少19.41万元，下降84.83%,主要原因是：2023年有退休人员死亡一人，发放抚恤金，本年无此经费支出，导致经费减少。</w:t>
      </w:r>
    </w:p>
    <w:p w14:paraId="077D0B1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2.社会保障和就业支出(类)行政事业单位养老支出(款)机关事业单位基本养老保险缴费支出(项):支出决算数为24.18万元，比上年决算增加1.63万元，增长7.23%,主要原因是：</w:t>
      </w:r>
      <w:r>
        <w:rPr>
          <w:rFonts w:hint="eastAsia" w:ascii="仿宋_GB2312" w:hAnsi="仿宋_GB2312" w:eastAsia="仿宋_GB2312"/>
          <w:b w:val="0"/>
          <w:sz w:val="32"/>
          <w:lang w:val="en-US" w:eastAsia="zh-CN"/>
        </w:rPr>
        <w:t>本年在职人员工资调增，养老基数上涨</w:t>
      </w:r>
      <w:r>
        <w:rPr>
          <w:rFonts w:ascii="仿宋_GB2312" w:hAnsi="仿宋_GB2312" w:eastAsia="仿宋_GB2312"/>
          <w:b w:val="0"/>
          <w:sz w:val="32"/>
        </w:rPr>
        <w:t>，机关事业单位养老保险缴费基数增加。</w:t>
      </w:r>
    </w:p>
    <w:p w14:paraId="3237C7D9">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3.社会保障和就业支出(类)行政事业单位养老支出(款)机关事业单位职业年金缴费支出(项):支出决算数为14.87万元，比上年决算增加8.06万元，增长118.36%,主要原因是：本年新增退休人员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，职业年金缴费支出增加。</w:t>
      </w:r>
    </w:p>
    <w:p w14:paraId="433E4860">
      <w:pPr>
        <w:spacing w:line="580" w:lineRule="exact"/>
        <w:ind w:firstLine="640"/>
        <w:jc w:val="both"/>
      </w:pPr>
      <w:r>
        <w:rPr>
          <w:rFonts w:ascii="仿宋_GB2312" w:hAnsi="仿宋_GB2312" w:eastAsia="仿宋_GB2312"/>
          <w:b w:val="0"/>
          <w:sz w:val="32"/>
        </w:rPr>
        <w:t>4.卫生健康支出(类)行政事业单位医疗(款)行政单位医疗(项):支出决算数为10.79万元，比上年决算增加0.76万元，增长7.58%,主要原因是：</w:t>
      </w:r>
      <w:r>
        <w:rPr>
          <w:rFonts w:hint="eastAsia" w:ascii="仿宋_GB2312" w:hAnsi="仿宋_GB2312" w:eastAsia="仿宋_GB2312"/>
          <w:b w:val="0"/>
          <w:sz w:val="32"/>
          <w:lang w:val="en-US" w:eastAsia="zh-CN"/>
        </w:rPr>
        <w:t>本年在职人员工资调增，医疗基数上涨</w:t>
      </w:r>
      <w:r>
        <w:rPr>
          <w:rFonts w:ascii="仿宋_GB2312" w:hAnsi="仿宋_GB2312" w:eastAsia="仿宋_GB2312"/>
          <w:b w:val="0"/>
          <w:sz w:val="32"/>
        </w:rPr>
        <w:t>，行政单位医疗保险缴费增加。</w:t>
      </w:r>
    </w:p>
    <w:p w14:paraId="6713AF7A">
      <w:pPr>
        <w:spacing w:line="580" w:lineRule="exact"/>
        <w:ind w:firstLine="640"/>
        <w:jc w:val="both"/>
      </w:pPr>
      <w:r>
        <w:rPr>
          <w:rFonts w:ascii="仿宋_GB2312" w:hAnsi="仿宋_GB2312" w:eastAsia="仿宋_GB2312"/>
          <w:b w:val="0"/>
          <w:sz w:val="32"/>
        </w:rPr>
        <w:t>5.卫生健康支出(类)行政事业单位医疗(款)公务员医疗补助(项):支出决算数为3.64万元，比上年决算增加0.20万元，增长5.81%,主要原因是：</w:t>
      </w:r>
      <w:r>
        <w:rPr>
          <w:rFonts w:hint="eastAsia" w:ascii="仿宋_GB2312" w:hAnsi="仿宋_GB2312" w:eastAsia="仿宋_GB2312"/>
          <w:b w:val="0"/>
          <w:sz w:val="32"/>
          <w:lang w:val="en-US" w:eastAsia="zh-CN"/>
        </w:rPr>
        <w:t>本年在职人员工资调增，医疗基数上涨</w:t>
      </w:r>
      <w:r>
        <w:rPr>
          <w:rFonts w:ascii="仿宋_GB2312" w:hAnsi="仿宋_GB2312" w:eastAsia="仿宋_GB2312"/>
          <w:b w:val="0"/>
          <w:sz w:val="32"/>
        </w:rPr>
        <w:t>，公务员医疗保险缴费增加。</w:t>
      </w:r>
    </w:p>
    <w:p w14:paraId="1E5CD194">
      <w:pPr>
        <w:spacing w:line="580" w:lineRule="exact"/>
        <w:ind w:firstLine="640"/>
        <w:jc w:val="both"/>
      </w:pPr>
      <w:r>
        <w:rPr>
          <w:rFonts w:ascii="仿宋_GB2312" w:hAnsi="仿宋_GB2312" w:eastAsia="仿宋_GB2312"/>
          <w:b w:val="0"/>
          <w:sz w:val="32"/>
        </w:rPr>
        <w:t>6.城乡社区支出(类)城乡社区管理事务(款)城管执法(项):支出决算数为219.13万元，比上年决算增加7.16万元，增长3.38%,主要原因是：</w:t>
      </w:r>
      <w:r>
        <w:rPr>
          <w:rFonts w:hint="eastAsia" w:ascii="仿宋_GB2312" w:hAnsi="仿宋_GB2312" w:eastAsia="仿宋_GB2312"/>
          <w:b w:val="0"/>
          <w:sz w:val="32"/>
          <w:lang w:val="en-US" w:eastAsia="zh-CN"/>
        </w:rPr>
        <w:t>本年在职人员工资调增，</w:t>
      </w:r>
      <w:r>
        <w:rPr>
          <w:rFonts w:ascii="仿宋_GB2312" w:hAnsi="仿宋_GB2312" w:eastAsia="仿宋_GB2312"/>
          <w:b w:val="0"/>
          <w:sz w:val="32"/>
        </w:rPr>
        <w:t>人员经费增加。</w:t>
      </w:r>
    </w:p>
    <w:p w14:paraId="667FA7D5">
      <w:pPr>
        <w:spacing w:line="580" w:lineRule="exact"/>
        <w:ind w:firstLine="640"/>
        <w:jc w:val="both"/>
      </w:pPr>
      <w:r>
        <w:rPr>
          <w:rFonts w:ascii="仿宋_GB2312" w:hAnsi="仿宋_GB2312" w:eastAsia="仿宋_GB2312"/>
          <w:b w:val="0"/>
          <w:sz w:val="32"/>
        </w:rPr>
        <w:t>7.住房保障支出(类)住房改革支出(款)住房公积金(项):支出决算数为19.29万元，比上年决算增加1.90万元，增长10.93%,主要原因是：</w:t>
      </w:r>
      <w:r>
        <w:rPr>
          <w:rFonts w:hint="eastAsia" w:ascii="仿宋_GB2312" w:hAnsi="仿宋_GB2312" w:eastAsia="仿宋_GB2312"/>
          <w:b w:val="0"/>
          <w:sz w:val="32"/>
          <w:lang w:val="en-US" w:eastAsia="zh-CN"/>
        </w:rPr>
        <w:t>本年在职人员工资调增，公积金基数上涨</w:t>
      </w:r>
      <w:r>
        <w:rPr>
          <w:rFonts w:ascii="仿宋_GB2312" w:hAnsi="仿宋_GB2312" w:eastAsia="仿宋_GB2312"/>
          <w:b w:val="0"/>
          <w:sz w:val="32"/>
        </w:rPr>
        <w:t>，住房公积金缴费增加。</w:t>
      </w:r>
    </w:p>
    <w:p w14:paraId="459EBAE7">
      <w:pPr>
        <w:spacing w:line="640" w:lineRule="exact"/>
        <w:ind w:firstLine="640"/>
        <w:jc w:val="both"/>
        <w:outlineLvl w:val="2"/>
      </w:pPr>
      <w:r>
        <w:rPr>
          <w:rFonts w:ascii="黑体" w:hAnsi="黑体" w:eastAsia="黑体"/>
          <w:sz w:val="32"/>
        </w:rPr>
        <w:t>六、一般公共预算财政拨款基本支出决算情况说明</w:t>
      </w:r>
    </w:p>
    <w:p w14:paraId="1C0FE25D">
      <w:pPr>
        <w:spacing w:line="580" w:lineRule="exact"/>
        <w:ind w:firstLine="640"/>
        <w:jc w:val="both"/>
      </w:pPr>
      <w:r>
        <w:rPr>
          <w:rFonts w:ascii="仿宋_GB2312" w:hAnsi="仿宋_GB2312" w:eastAsia="仿宋_GB2312"/>
          <w:b w:val="0"/>
          <w:sz w:val="32"/>
        </w:rPr>
        <w:t>2024年度一般公共预算财政拨款基本支出295.37万元，其中：</w:t>
      </w:r>
      <w:r>
        <w:rPr>
          <w:rFonts w:ascii="仿宋_GB2312" w:hAnsi="仿宋_GB2312" w:eastAsia="仿宋_GB2312"/>
          <w:b/>
          <w:sz w:val="32"/>
        </w:rPr>
        <w:t>人员经费284.94万元，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包括：基本工资、津贴补贴、奖金、机关事业单位基本养老保险缴费、职业年金缴费、职工基本医疗保险缴费、公务员医疗补助缴费、其他社会保障缴费、住房公积金、其他工资福利支出、退休费、医疗费补助。</w:t>
      </w:r>
    </w:p>
    <w:p w14:paraId="59B2E720">
      <w:pPr>
        <w:spacing w:line="580" w:lineRule="exact"/>
        <w:ind w:firstLine="640"/>
        <w:jc w:val="both"/>
      </w:pPr>
      <w:r>
        <w:rPr>
          <w:rFonts w:ascii="仿宋_GB2312" w:hAnsi="仿宋_GB2312" w:eastAsia="仿宋_GB2312"/>
          <w:b/>
          <w:sz w:val="32"/>
        </w:rPr>
        <w:t>公用经费10.43万元，</w:t>
      </w:r>
      <w:r>
        <w:rPr>
          <w:rFonts w:ascii="仿宋_GB2312" w:hAnsi="仿宋_GB2312" w:eastAsia="仿宋_GB2312"/>
          <w:b w:val="0"/>
          <w:sz w:val="32"/>
        </w:rPr>
        <w:t>包括：办公费、邮电费、取暖费、差旅费、工会经费、其他交通费用、其他商品和服务支出。</w:t>
      </w:r>
    </w:p>
    <w:p w14:paraId="1895C6F3">
      <w:pPr>
        <w:spacing w:line="640" w:lineRule="exact"/>
        <w:ind w:firstLine="640"/>
        <w:jc w:val="both"/>
        <w:outlineLvl w:val="2"/>
      </w:pPr>
      <w:r>
        <w:rPr>
          <w:rFonts w:ascii="黑体" w:hAnsi="黑体" w:eastAsia="黑体"/>
          <w:sz w:val="32"/>
        </w:rPr>
        <w:t>七、政府性基金预算财政拨款收入支出决算情况说明</w:t>
      </w:r>
    </w:p>
    <w:p w14:paraId="5200D2C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19B667C">
      <w:pPr>
        <w:spacing w:line="640" w:lineRule="exact"/>
        <w:ind w:firstLine="640"/>
        <w:jc w:val="both"/>
        <w:outlineLvl w:val="2"/>
      </w:pPr>
      <w:r>
        <w:rPr>
          <w:rFonts w:ascii="黑体" w:hAnsi="黑体" w:eastAsia="黑体"/>
          <w:sz w:val="32"/>
        </w:rPr>
        <w:t>八、国有资本经营预算财政拨款收入支出决算情况说明</w:t>
      </w:r>
    </w:p>
    <w:p w14:paraId="7F88AE6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0015D74">
      <w:pPr>
        <w:spacing w:line="640" w:lineRule="exact"/>
        <w:ind w:firstLine="640"/>
        <w:jc w:val="both"/>
        <w:outlineLvl w:val="2"/>
      </w:pPr>
      <w:r>
        <w:rPr>
          <w:rFonts w:ascii="黑体" w:hAnsi="黑体" w:eastAsia="黑体"/>
          <w:sz w:val="32"/>
        </w:rPr>
        <w:t>九、财政拨款“三公”经费支出决算情况说明</w:t>
      </w:r>
    </w:p>
    <w:p w14:paraId="34B02AA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215B436">
      <w:pPr>
        <w:spacing w:line="580" w:lineRule="exact"/>
        <w:ind w:firstLine="640"/>
        <w:jc w:val="both"/>
      </w:pPr>
      <w:r>
        <w:rPr>
          <w:rFonts w:ascii="仿宋_GB2312" w:hAnsi="仿宋_GB2312" w:eastAsia="仿宋_GB2312"/>
          <w:b/>
          <w:sz w:val="32"/>
        </w:rPr>
        <w:t>具体情况如下：</w:t>
      </w:r>
    </w:p>
    <w:p w14:paraId="348EB64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EDF6C7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一般业务用车，预算未安排公务用车运行维护费。</w:t>
      </w:r>
    </w:p>
    <w:p w14:paraId="278A74C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2FFA09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67D36BB">
      <w:pPr>
        <w:spacing w:line="640" w:lineRule="exact"/>
        <w:ind w:firstLine="640"/>
        <w:jc w:val="both"/>
        <w:outlineLvl w:val="2"/>
      </w:pPr>
      <w:r>
        <w:rPr>
          <w:rFonts w:ascii="黑体" w:hAnsi="黑体" w:eastAsia="黑体"/>
          <w:sz w:val="32"/>
        </w:rPr>
        <w:t>十、其他重要事项的情况说明</w:t>
      </w:r>
    </w:p>
    <w:p w14:paraId="00799413">
      <w:pPr>
        <w:spacing w:line="640" w:lineRule="exact"/>
        <w:ind w:firstLine="640"/>
        <w:jc w:val="both"/>
        <w:outlineLvl w:val="3"/>
      </w:pPr>
      <w:r>
        <w:rPr>
          <w:rFonts w:ascii="楷体_GB2312" w:hAnsi="楷体_GB2312" w:eastAsia="楷体_GB2312"/>
          <w:b/>
          <w:sz w:val="32"/>
        </w:rPr>
        <w:t>（一）机关运行经费及公用经费支出情况</w:t>
      </w:r>
    </w:p>
    <w:p w14:paraId="2C03B6DA">
      <w:pPr>
        <w:spacing w:line="580" w:lineRule="exact"/>
        <w:ind w:firstLine="640"/>
        <w:jc w:val="both"/>
      </w:pPr>
      <w:r>
        <w:rPr>
          <w:rFonts w:ascii="仿宋_GB2312" w:hAnsi="仿宋_GB2312" w:eastAsia="仿宋_GB2312"/>
          <w:b w:val="0"/>
          <w:sz w:val="32"/>
        </w:rPr>
        <w:t>2024年度裕民县城管监察大队（行政单位和参照公务员法管理事业单位）机关运行经费支出10.43万元，比上年增加2.87万元，增长37.96%，主要原因是：本年增加其他交通费，其他商品和服务支出，</w:t>
      </w:r>
      <w:r>
        <w:rPr>
          <w:rFonts w:hint="eastAsia" w:ascii="仿宋_GB2312" w:hAnsi="仿宋_GB2312" w:eastAsia="仿宋_GB2312"/>
          <w:b w:val="0"/>
          <w:sz w:val="32"/>
          <w:lang w:val="en-US" w:eastAsia="zh-CN"/>
        </w:rPr>
        <w:t>机关运行</w:t>
      </w:r>
      <w:r>
        <w:rPr>
          <w:rFonts w:ascii="仿宋_GB2312" w:hAnsi="仿宋_GB2312" w:eastAsia="仿宋_GB2312"/>
          <w:b w:val="0"/>
          <w:sz w:val="32"/>
        </w:rPr>
        <w:t>经费</w:t>
      </w:r>
      <w:r>
        <w:rPr>
          <w:rFonts w:hint="eastAsia" w:ascii="仿宋_GB2312" w:hAnsi="仿宋_GB2312" w:eastAsia="仿宋_GB2312"/>
          <w:b w:val="0"/>
          <w:sz w:val="32"/>
          <w:lang w:val="en-US" w:eastAsia="zh-CN"/>
        </w:rPr>
        <w:t>支出</w:t>
      </w:r>
      <w:bookmarkStart w:id="0" w:name="_GoBack"/>
      <w:bookmarkEnd w:id="0"/>
      <w:r>
        <w:rPr>
          <w:rFonts w:ascii="仿宋_GB2312" w:hAnsi="仿宋_GB2312" w:eastAsia="仿宋_GB2312"/>
          <w:b w:val="0"/>
          <w:sz w:val="32"/>
        </w:rPr>
        <w:t>增加。</w:t>
      </w:r>
    </w:p>
    <w:p w14:paraId="002BB891">
      <w:pPr>
        <w:spacing w:line="640" w:lineRule="exact"/>
        <w:ind w:firstLine="640"/>
        <w:jc w:val="both"/>
        <w:outlineLvl w:val="3"/>
      </w:pPr>
      <w:r>
        <w:rPr>
          <w:rFonts w:ascii="楷体_GB2312" w:hAnsi="楷体_GB2312" w:eastAsia="楷体_GB2312"/>
          <w:b/>
          <w:sz w:val="32"/>
        </w:rPr>
        <w:t>（二）政府采购情况</w:t>
      </w:r>
    </w:p>
    <w:p w14:paraId="1CE5A9BA">
      <w:pPr>
        <w:spacing w:line="580" w:lineRule="exact"/>
        <w:ind w:firstLine="640"/>
        <w:jc w:val="both"/>
      </w:pPr>
      <w:r>
        <w:rPr>
          <w:rFonts w:ascii="仿宋_GB2312" w:hAnsi="仿宋_GB2312" w:eastAsia="仿宋_GB2312"/>
          <w:b w:val="0"/>
          <w:sz w:val="32"/>
        </w:rPr>
        <w:t>2024年度政府采购支出总额0.14万元，其中：政府采购货物支出0.00万元、政府采购工程支出0.00万元、政府采购服务支出0.14万元。</w:t>
      </w:r>
    </w:p>
    <w:p w14:paraId="0290B6A4">
      <w:pPr>
        <w:spacing w:line="580" w:lineRule="exact"/>
        <w:ind w:firstLine="640"/>
        <w:jc w:val="both"/>
      </w:pPr>
      <w:r>
        <w:rPr>
          <w:rFonts w:ascii="仿宋_GB2312" w:hAnsi="仿宋_GB2312" w:eastAsia="仿宋_GB2312"/>
          <w:b w:val="0"/>
          <w:sz w:val="32"/>
        </w:rPr>
        <w:t>授予中小企业合同金额0.14万元，占政府采购支出总额的100.00%，其中：授予小微企业合同金额0.14万元，占政府采购支出总额的100.00%。</w:t>
      </w:r>
    </w:p>
    <w:p w14:paraId="5114CDEF">
      <w:pPr>
        <w:spacing w:line="640" w:lineRule="exact"/>
        <w:ind w:firstLine="640"/>
        <w:jc w:val="both"/>
        <w:outlineLvl w:val="3"/>
      </w:pPr>
      <w:r>
        <w:rPr>
          <w:rFonts w:ascii="楷体_GB2312" w:hAnsi="楷体_GB2312" w:eastAsia="楷体_GB2312"/>
          <w:b/>
          <w:sz w:val="32"/>
        </w:rPr>
        <w:t>（三）国有资产占用情况说明</w:t>
      </w:r>
    </w:p>
    <w:p w14:paraId="39F11830">
      <w:pPr>
        <w:spacing w:line="580" w:lineRule="exact"/>
        <w:ind w:firstLine="640"/>
        <w:jc w:val="both"/>
      </w:pPr>
      <w:r>
        <w:rPr>
          <w:rFonts w:ascii="仿宋_GB2312" w:hAnsi="仿宋_GB2312" w:eastAsia="仿宋_GB2312"/>
          <w:b w:val="0"/>
          <w:sz w:val="32"/>
        </w:rPr>
        <w:t>截至2024年12月31日，房屋0.00平方米，价值0.00万元。车辆2辆，价值20.00万元，其中：副部（省）级及以上领导用车0辆、主要负责人用车0辆、机要通信用车0辆、应急保障用车0辆、执法执勤用车2辆、特种专业技术用车0辆、离退休干部服务用车0辆、其他用车0辆，其他用车主要是：本单位无其他用车。单价100万元（含）以上设备（不含车辆）0台（套）。</w:t>
      </w:r>
    </w:p>
    <w:p w14:paraId="68A77C3E">
      <w:pPr>
        <w:spacing w:line="640" w:lineRule="exact"/>
        <w:ind w:firstLine="640"/>
        <w:jc w:val="both"/>
        <w:outlineLvl w:val="2"/>
      </w:pPr>
      <w:r>
        <w:rPr>
          <w:rFonts w:ascii="黑体" w:hAnsi="黑体" w:eastAsia="黑体"/>
          <w:sz w:val="32"/>
        </w:rPr>
        <w:t>十一、预算绩效的情况说明</w:t>
      </w:r>
    </w:p>
    <w:p w14:paraId="5AD8027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295.37万元，实际执行总额295.37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14:paraId="2F703C09">
      <w:r>
        <w:br w:type="page"/>
      </w:r>
    </w:p>
    <w:tbl>
      <w:tblPr>
        <w:tblStyle w:val="9"/>
        <w:tblW w:w="8840" w:type="dxa"/>
        <w:tblInd w:w="0" w:type="dxa"/>
        <w:tblLayout w:type="fixed"/>
        <w:tblCellMar>
          <w:top w:w="0" w:type="dxa"/>
          <w:left w:w="108" w:type="dxa"/>
          <w:bottom w:w="0" w:type="dxa"/>
          <w:right w:w="108" w:type="dxa"/>
        </w:tblCellMar>
      </w:tblPr>
      <w:tblGrid>
        <w:gridCol w:w="1105"/>
        <w:gridCol w:w="958"/>
        <w:gridCol w:w="1252"/>
        <w:gridCol w:w="1105"/>
        <w:gridCol w:w="1105"/>
        <w:gridCol w:w="1105"/>
        <w:gridCol w:w="1105"/>
        <w:gridCol w:w="1105"/>
      </w:tblGrid>
      <w:tr w14:paraId="3093F97C">
        <w:tblPrEx>
          <w:tblCellMar>
            <w:top w:w="0" w:type="dxa"/>
            <w:left w:w="108" w:type="dxa"/>
            <w:bottom w:w="0" w:type="dxa"/>
            <w:right w:w="108" w:type="dxa"/>
          </w:tblCellMar>
        </w:tblPrEx>
        <w:tc>
          <w:tcPr>
            <w:tcW w:w="8840" w:type="dxa"/>
            <w:gridSpan w:val="8"/>
            <w:vAlign w:val="center"/>
          </w:tcPr>
          <w:p w14:paraId="32267BB3">
            <w:pPr>
              <w:jc w:val="center"/>
            </w:pPr>
            <w:r>
              <w:rPr>
                <w:rFonts w:ascii="宋体" w:hAnsi="宋体" w:eastAsia="宋体"/>
                <w:sz w:val="24"/>
              </w:rPr>
              <w:t>单位整体支出绩效自评表</w:t>
            </w:r>
          </w:p>
        </w:tc>
      </w:tr>
      <w:tr w14:paraId="6B3C505F">
        <w:tblPrEx>
          <w:tblCellMar>
            <w:top w:w="0" w:type="dxa"/>
            <w:left w:w="108" w:type="dxa"/>
            <w:bottom w:w="0" w:type="dxa"/>
            <w:right w:w="108" w:type="dxa"/>
          </w:tblCellMar>
        </w:tblPrEx>
        <w:tc>
          <w:tcPr>
            <w:tcW w:w="8840" w:type="dxa"/>
            <w:gridSpan w:val="8"/>
            <w:vAlign w:val="center"/>
          </w:tcPr>
          <w:p w14:paraId="42724228">
            <w:pPr>
              <w:jc w:val="center"/>
            </w:pPr>
            <w:r>
              <w:rPr>
                <w:rFonts w:ascii="宋体" w:hAnsi="宋体" w:eastAsia="宋体"/>
                <w:sz w:val="24"/>
              </w:rPr>
              <w:t>（2024年度）</w:t>
            </w:r>
          </w:p>
        </w:tc>
      </w:tr>
      <w:tr w14:paraId="4A80946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FDD0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1453AF">
            <w:pPr>
              <w:jc w:val="center"/>
            </w:pPr>
            <w:r>
              <w:rPr>
                <w:rFonts w:ascii="宋体" w:hAnsi="宋体" w:eastAsia="宋体"/>
                <w:sz w:val="16"/>
              </w:rPr>
              <w:t>裕民县城管监察大队</w:t>
            </w:r>
          </w:p>
        </w:tc>
      </w:tr>
      <w:tr w14:paraId="0CE02F4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280AB">
            <w:pPr>
              <w:jc w:val="center"/>
            </w:pPr>
            <w:r>
              <w:rPr>
                <w:rFonts w:ascii="宋体" w:hAnsi="宋体" w:eastAsia="宋体"/>
                <w:sz w:val="16"/>
              </w:rPr>
              <w:t>部门资金（万元）</w:t>
            </w:r>
          </w:p>
        </w:tc>
        <w:tc>
          <w:tcPr>
            <w:tcW w:w="958" w:type="dxa"/>
            <w:tcBorders>
              <w:top w:val="single" w:color="auto" w:sz="10" w:space="0"/>
              <w:left w:val="single" w:color="auto" w:sz="10" w:space="0"/>
              <w:bottom w:val="single" w:color="auto" w:sz="10" w:space="0"/>
              <w:right w:val="single" w:color="auto" w:sz="10" w:space="0"/>
              <w:insideV w:val="single" w:sz="10" w:space="0"/>
            </w:tcBorders>
            <w:vAlign w:val="center"/>
          </w:tcPr>
          <w:p w14:paraId="0D93CA0A">
            <w:pPr>
              <w:jc w:val="center"/>
            </w:pPr>
            <w:r>
              <w:rPr>
                <w:rFonts w:ascii="宋体" w:hAnsi="宋体" w:eastAsia="宋体"/>
                <w:sz w:val="16"/>
              </w:rPr>
              <w:t>资金来源</w:t>
            </w:r>
          </w:p>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2997BA9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01901">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75D09">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A79F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9AD7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51FB7">
            <w:pPr>
              <w:jc w:val="center"/>
            </w:pPr>
            <w:r>
              <w:rPr>
                <w:rFonts w:ascii="宋体" w:hAnsi="宋体" w:eastAsia="宋体"/>
                <w:sz w:val="16"/>
              </w:rPr>
              <w:t>得分</w:t>
            </w:r>
          </w:p>
        </w:tc>
      </w:tr>
      <w:tr w14:paraId="41D192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9D70C1"/>
        </w:tc>
        <w:tc>
          <w:tcPr>
            <w:tcW w:w="958" w:type="dxa"/>
            <w:tcBorders>
              <w:top w:val="single" w:color="auto" w:sz="10" w:space="0"/>
              <w:left w:val="single" w:color="auto" w:sz="10" w:space="0"/>
              <w:bottom w:val="single" w:color="auto" w:sz="10" w:space="0"/>
              <w:right w:val="single" w:color="auto" w:sz="10" w:space="0"/>
              <w:insideV w:val="single" w:sz="10" w:space="0"/>
            </w:tcBorders>
            <w:vAlign w:val="center"/>
          </w:tcPr>
          <w:p w14:paraId="7365AE6A">
            <w:pPr>
              <w:jc w:val="center"/>
            </w:pPr>
            <w:r>
              <w:rPr>
                <w:rFonts w:ascii="宋体" w:hAnsi="宋体" w:eastAsia="宋体"/>
                <w:sz w:val="16"/>
              </w:rPr>
              <w:t>年度总资金</w:t>
            </w:r>
          </w:p>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4282E675">
            <w:pPr>
              <w:jc w:val="center"/>
            </w:pPr>
            <w:r>
              <w:rPr>
                <w:rFonts w:ascii="宋体" w:hAnsi="宋体" w:eastAsia="宋体"/>
                <w:sz w:val="16"/>
              </w:rPr>
              <w:t>303.30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398AD">
            <w:pPr>
              <w:jc w:val="center"/>
            </w:pPr>
            <w:r>
              <w:rPr>
                <w:rFonts w:ascii="宋体" w:hAnsi="宋体" w:eastAsia="宋体"/>
                <w:sz w:val="16"/>
              </w:rPr>
              <w:t>295.37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F9EA9">
            <w:pPr>
              <w:jc w:val="center"/>
            </w:pPr>
            <w:r>
              <w:rPr>
                <w:rFonts w:ascii="宋体" w:hAnsi="宋体" w:eastAsia="宋体"/>
                <w:sz w:val="16"/>
              </w:rPr>
              <w:t>295.37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2704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6416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2716C">
            <w:pPr>
              <w:jc w:val="center"/>
            </w:pPr>
            <w:r>
              <w:rPr>
                <w:rFonts w:ascii="宋体" w:hAnsi="宋体" w:eastAsia="宋体"/>
                <w:sz w:val="16"/>
              </w:rPr>
              <w:t>10</w:t>
            </w:r>
          </w:p>
        </w:tc>
      </w:tr>
      <w:tr w14:paraId="56576E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C84607"/>
        </w:tc>
        <w:tc>
          <w:tcPr>
            <w:tcW w:w="958" w:type="dxa"/>
            <w:tcBorders>
              <w:top w:val="single" w:color="auto" w:sz="10" w:space="0"/>
              <w:left w:val="single" w:color="auto" w:sz="10" w:space="0"/>
              <w:bottom w:val="single" w:color="auto" w:sz="10" w:space="0"/>
              <w:right w:val="single" w:color="auto" w:sz="10" w:space="0"/>
              <w:insideV w:val="single" w:sz="10" w:space="0"/>
            </w:tcBorders>
            <w:vAlign w:val="center"/>
          </w:tcPr>
          <w:p w14:paraId="1F1805AE">
            <w:pPr>
              <w:jc w:val="center"/>
            </w:pPr>
            <w:r>
              <w:rPr>
                <w:rFonts w:ascii="宋体" w:hAnsi="宋体" w:eastAsia="宋体"/>
                <w:sz w:val="16"/>
              </w:rPr>
              <w:t>其中:上级安排资金：（万元）</w:t>
            </w:r>
          </w:p>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02E950F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5ED2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BE3E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39C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FBE61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381BA">
            <w:pPr>
              <w:jc w:val="center"/>
            </w:pPr>
            <w:r>
              <w:rPr>
                <w:rFonts w:ascii="宋体" w:hAnsi="宋体" w:eastAsia="宋体"/>
                <w:sz w:val="16"/>
              </w:rPr>
              <w:t>-</w:t>
            </w:r>
          </w:p>
        </w:tc>
      </w:tr>
      <w:tr w14:paraId="009897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A2BDB2"/>
        </w:tc>
        <w:tc>
          <w:tcPr>
            <w:tcW w:w="958" w:type="dxa"/>
            <w:tcBorders>
              <w:top w:val="single" w:color="auto" w:sz="10" w:space="0"/>
              <w:left w:val="single" w:color="auto" w:sz="10" w:space="0"/>
              <w:bottom w:val="single" w:color="auto" w:sz="10" w:space="0"/>
              <w:right w:val="single" w:color="auto" w:sz="10" w:space="0"/>
              <w:insideV w:val="single" w:sz="10" w:space="0"/>
            </w:tcBorders>
            <w:vAlign w:val="center"/>
          </w:tcPr>
          <w:p w14:paraId="413B008C">
            <w:pPr>
              <w:jc w:val="center"/>
            </w:pPr>
            <w:r>
              <w:rPr>
                <w:rFonts w:ascii="宋体" w:hAnsi="宋体" w:eastAsia="宋体"/>
                <w:sz w:val="16"/>
              </w:rPr>
              <w:t>本级安排资金：（万元）</w:t>
            </w:r>
          </w:p>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2F946C62">
            <w:pPr>
              <w:jc w:val="center"/>
            </w:pPr>
            <w:r>
              <w:rPr>
                <w:rFonts w:ascii="宋体" w:hAnsi="宋体" w:eastAsia="宋体"/>
                <w:sz w:val="16"/>
              </w:rPr>
              <w:t>303.30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F6453">
            <w:pPr>
              <w:jc w:val="center"/>
            </w:pPr>
            <w:r>
              <w:rPr>
                <w:rFonts w:ascii="宋体" w:hAnsi="宋体" w:eastAsia="宋体"/>
                <w:sz w:val="16"/>
              </w:rPr>
              <w:t>295.37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6FC2C">
            <w:pPr>
              <w:jc w:val="center"/>
            </w:pPr>
            <w:r>
              <w:rPr>
                <w:rFonts w:ascii="宋体" w:hAnsi="宋体" w:eastAsia="宋体"/>
                <w:sz w:val="16"/>
              </w:rPr>
              <w:t>295.37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63CD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F02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EACB6">
            <w:pPr>
              <w:jc w:val="center"/>
            </w:pPr>
            <w:r>
              <w:rPr>
                <w:rFonts w:ascii="宋体" w:hAnsi="宋体" w:eastAsia="宋体"/>
                <w:sz w:val="16"/>
              </w:rPr>
              <w:t>-</w:t>
            </w:r>
          </w:p>
        </w:tc>
      </w:tr>
      <w:tr w14:paraId="1D7D83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D4BD2B"/>
        </w:tc>
        <w:tc>
          <w:tcPr>
            <w:tcW w:w="958" w:type="dxa"/>
            <w:tcBorders>
              <w:top w:val="single" w:color="auto" w:sz="10" w:space="0"/>
              <w:left w:val="single" w:color="auto" w:sz="10" w:space="0"/>
              <w:bottom w:val="single" w:color="auto" w:sz="10" w:space="0"/>
              <w:right w:val="single" w:color="auto" w:sz="10" w:space="0"/>
              <w:insideV w:val="single" w:sz="10" w:space="0"/>
            </w:tcBorders>
            <w:vAlign w:val="center"/>
          </w:tcPr>
          <w:p w14:paraId="26BBB948">
            <w:pPr>
              <w:jc w:val="center"/>
            </w:pPr>
            <w:r>
              <w:rPr>
                <w:rFonts w:ascii="宋体" w:hAnsi="宋体" w:eastAsia="宋体"/>
                <w:sz w:val="16"/>
              </w:rPr>
              <w:t>其他资金</w:t>
            </w:r>
          </w:p>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0691C70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A1F4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ECE5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0A285E30">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57E6E5AC">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56AD0296">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4DA5D26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0A75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7780E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F64EC8">
            <w:pPr>
              <w:jc w:val="center"/>
            </w:pPr>
            <w:r>
              <w:rPr>
                <w:rFonts w:ascii="宋体" w:hAnsi="宋体" w:eastAsia="宋体"/>
                <w:sz w:val="16"/>
              </w:rPr>
              <w:t>实际完成情况</w:t>
            </w:r>
          </w:p>
        </w:tc>
      </w:tr>
      <w:tr w14:paraId="717005B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9BE5B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3FBDBF">
            <w:pPr>
              <w:jc w:val="both"/>
            </w:pPr>
            <w:r>
              <w:rPr>
                <w:rFonts w:ascii="宋体" w:hAnsi="宋体" w:eastAsia="宋体"/>
                <w:sz w:val="16"/>
              </w:rPr>
              <w:t>一是保障了单位16人的工资、社保、公积金及生活补助等支出的正常发放，促进裕民县城管监察大队工作的</w:t>
            </w:r>
            <w:r>
              <w:rPr>
                <w:rFonts w:hint="eastAsia" w:ascii="宋体" w:hAnsi="宋体"/>
                <w:sz w:val="16"/>
                <w:lang w:eastAsia="zh-CN"/>
              </w:rPr>
              <w:t>开展</w:t>
            </w:r>
            <w:r>
              <w:rPr>
                <w:rFonts w:ascii="宋体" w:hAnsi="宋体" w:eastAsia="宋体"/>
                <w:sz w:val="16"/>
              </w:rPr>
              <w:t>，提升塔城地区裕民县基层治理能力和为民服务能力；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二是公用经费正常支出，保障了105平方米办公用房的冬季供暖，提高了本单位运转效能。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三是实施城市内各项相关职责的监督</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DE2AFE">
            <w:pPr>
              <w:jc w:val="both"/>
            </w:pPr>
            <w:r>
              <w:rPr>
                <w:rFonts w:ascii="宋体" w:hAnsi="宋体" w:eastAsia="宋体"/>
                <w:sz w:val="16"/>
              </w:rPr>
              <w:t>2024年度裕民县城管监察大队全年履职尽责，</w:t>
            </w:r>
            <w:r>
              <w:rPr>
                <w:rFonts w:hint="eastAsia" w:ascii="宋体" w:hAnsi="宋体"/>
                <w:sz w:val="16"/>
                <w:lang w:eastAsia="zh-CN"/>
              </w:rPr>
              <w:t>严格贯彻</w:t>
            </w:r>
            <w:r>
              <w:rPr>
                <w:rFonts w:ascii="宋体" w:hAnsi="宋体" w:eastAsia="宋体"/>
                <w:sz w:val="16"/>
              </w:rPr>
              <w:t>实施《城市市容和环境生管理条例》，完成设立新牌匾数量 27个、整治占道数量300起、备案餐饮店数量53家、清除乱贴小广告数量1000张、清除办证号码数量300条、清除招租广告数量200余条。加强城市管理工作，完善城市管理长效机制，把整治市容市貌、规范城区经营秩序，强化城区道路管理作为提升城市形象工作。保障本单位所有在职人员工资足额按时发放到位，单位车辆、通讯等正常运转基本开支得到保障。</w:t>
            </w:r>
          </w:p>
        </w:tc>
      </w:tr>
      <w:tr w14:paraId="6E56E8D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A9F2F">
            <w:pPr>
              <w:jc w:val="center"/>
            </w:pPr>
            <w:r>
              <w:rPr>
                <w:rFonts w:ascii="宋体" w:hAnsi="宋体" w:eastAsia="宋体"/>
                <w:sz w:val="16"/>
              </w:rPr>
              <w:t>一级指标</w:t>
            </w:r>
          </w:p>
        </w:tc>
        <w:tc>
          <w:tcPr>
            <w:tcW w:w="958" w:type="dxa"/>
            <w:tcBorders>
              <w:top w:val="single" w:color="auto" w:sz="10" w:space="0"/>
              <w:left w:val="single" w:color="auto" w:sz="10" w:space="0"/>
              <w:bottom w:val="single" w:color="auto" w:sz="10" w:space="0"/>
              <w:right w:val="single" w:color="auto" w:sz="10" w:space="0"/>
              <w:insideV w:val="single" w:sz="10" w:space="0"/>
            </w:tcBorders>
            <w:vAlign w:val="center"/>
          </w:tcPr>
          <w:p w14:paraId="3B69DE6E">
            <w:pPr>
              <w:jc w:val="center"/>
            </w:pPr>
            <w:r>
              <w:rPr>
                <w:rFonts w:ascii="宋体" w:hAnsi="宋体" w:eastAsia="宋体"/>
                <w:sz w:val="16"/>
              </w:rPr>
              <w:t>二级指标</w:t>
            </w:r>
          </w:p>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2E972BA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21ADC">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BF15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E342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7CBD0">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CF3AE">
            <w:pPr>
              <w:jc w:val="center"/>
            </w:pPr>
            <w:r>
              <w:rPr>
                <w:rFonts w:ascii="宋体" w:hAnsi="宋体" w:eastAsia="宋体"/>
                <w:sz w:val="16"/>
              </w:rPr>
              <w:t>得分</w:t>
            </w:r>
          </w:p>
        </w:tc>
      </w:tr>
      <w:tr w14:paraId="5006912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F710C">
            <w:pPr>
              <w:jc w:val="center"/>
            </w:pPr>
            <w:r>
              <w:rPr>
                <w:rFonts w:ascii="宋体" w:hAnsi="宋体" w:eastAsia="宋体"/>
                <w:sz w:val="16"/>
              </w:rPr>
              <w:t>履职效能</w:t>
            </w:r>
          </w:p>
        </w:tc>
        <w:tc>
          <w:tcPr>
            <w:tcW w:w="95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C56BA">
            <w:pPr>
              <w:jc w:val="center"/>
            </w:pPr>
            <w:r>
              <w:rPr>
                <w:rFonts w:ascii="宋体" w:hAnsi="宋体" w:eastAsia="宋体"/>
                <w:sz w:val="16"/>
              </w:rPr>
              <w:t>数量指标</w:t>
            </w:r>
          </w:p>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6F35EF40">
            <w:pPr>
              <w:jc w:val="center"/>
            </w:pPr>
            <w:r>
              <w:rPr>
                <w:rFonts w:ascii="宋体" w:hAnsi="宋体" w:eastAsia="宋体"/>
                <w:sz w:val="16"/>
              </w:rPr>
              <w:t>审批门头牌匾数量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389C4">
            <w:pPr>
              <w:jc w:val="center"/>
            </w:pPr>
            <w:r>
              <w:rPr>
                <w:rFonts w:ascii="宋体" w:hAnsi="宋体" w:eastAsia="宋体"/>
                <w:sz w:val="16"/>
              </w:rPr>
              <w:t>72起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15401">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A575A">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9AD3D">
            <w:pPr>
              <w:jc w:val="center"/>
            </w:pPr>
            <w:r>
              <w:rPr>
                <w:rFonts w:ascii="宋体" w:hAnsi="宋体" w:eastAsia="宋体"/>
                <w:sz w:val="16"/>
              </w:rPr>
              <w:t>72起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8E01C">
            <w:pPr>
              <w:jc w:val="center"/>
            </w:pPr>
            <w:r>
              <w:rPr>
                <w:rFonts w:ascii="宋体" w:hAnsi="宋体" w:eastAsia="宋体"/>
                <w:sz w:val="16"/>
              </w:rPr>
              <w:t>12</w:t>
            </w:r>
          </w:p>
        </w:tc>
      </w:tr>
      <w:tr w14:paraId="700D4A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F5F45E"/>
        </w:tc>
        <w:tc>
          <w:tcPr>
            <w:tcW w:w="958" w:type="dxa"/>
            <w:vMerge w:val="continue"/>
            <w:tcBorders>
              <w:top w:val="single" w:color="auto" w:sz="10" w:space="0"/>
              <w:left w:val="single" w:color="auto" w:sz="10" w:space="0"/>
              <w:bottom w:val="single" w:color="auto" w:sz="10" w:space="0"/>
              <w:right w:val="single" w:color="auto" w:sz="10" w:space="0"/>
              <w:insideV w:val="single" w:sz="10" w:space="0"/>
            </w:tcBorders>
          </w:tcPr>
          <w:p w14:paraId="149648E8"/>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7B90C960">
            <w:pPr>
              <w:jc w:val="center"/>
            </w:pPr>
            <w:r>
              <w:rPr>
                <w:rFonts w:ascii="宋体" w:hAnsi="宋体" w:eastAsia="宋体"/>
                <w:sz w:val="16"/>
              </w:rPr>
              <w:t>开出车辆通行证数量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1B0EF">
            <w:pPr>
              <w:jc w:val="center"/>
            </w:pPr>
            <w:r>
              <w:rPr>
                <w:rFonts w:ascii="宋体" w:hAnsi="宋体" w:eastAsia="宋体"/>
                <w:sz w:val="16"/>
              </w:rPr>
              <w:t>36辆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2F951">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B19C7">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A45C0">
            <w:pPr>
              <w:jc w:val="center"/>
            </w:pPr>
            <w:r>
              <w:rPr>
                <w:rFonts w:ascii="宋体" w:hAnsi="宋体" w:eastAsia="宋体"/>
                <w:sz w:val="16"/>
              </w:rPr>
              <w:t>36辆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F444F">
            <w:pPr>
              <w:jc w:val="center"/>
            </w:pPr>
            <w:r>
              <w:rPr>
                <w:rFonts w:ascii="宋体" w:hAnsi="宋体" w:eastAsia="宋体"/>
                <w:sz w:val="16"/>
              </w:rPr>
              <w:t>6</w:t>
            </w:r>
          </w:p>
        </w:tc>
      </w:tr>
      <w:tr w14:paraId="218362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1CEE34"/>
        </w:tc>
        <w:tc>
          <w:tcPr>
            <w:tcW w:w="958" w:type="dxa"/>
            <w:vMerge w:val="continue"/>
            <w:tcBorders>
              <w:top w:val="single" w:color="auto" w:sz="10" w:space="0"/>
              <w:left w:val="single" w:color="auto" w:sz="10" w:space="0"/>
              <w:bottom w:val="single" w:color="auto" w:sz="10" w:space="0"/>
              <w:right w:val="single" w:color="auto" w:sz="10" w:space="0"/>
              <w:insideV w:val="single" w:sz="10" w:space="0"/>
            </w:tcBorders>
          </w:tcPr>
          <w:p w14:paraId="1ADC2B46"/>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72B37136">
            <w:pPr>
              <w:jc w:val="center"/>
            </w:pPr>
            <w:r>
              <w:rPr>
                <w:rFonts w:ascii="宋体" w:hAnsi="宋体" w:eastAsia="宋体"/>
                <w:sz w:val="16"/>
              </w:rPr>
              <w:t>备案餐饮店数量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8E90F">
            <w:pPr>
              <w:jc w:val="center"/>
            </w:pPr>
            <w:r>
              <w:rPr>
                <w:rFonts w:ascii="宋体" w:hAnsi="宋体" w:eastAsia="宋体"/>
                <w:sz w:val="16"/>
              </w:rPr>
              <w:t>60家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F3C7D">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245EB">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2384A">
            <w:pPr>
              <w:jc w:val="center"/>
            </w:pPr>
            <w:r>
              <w:rPr>
                <w:rFonts w:ascii="宋体" w:hAnsi="宋体" w:eastAsia="宋体"/>
                <w:sz w:val="16"/>
              </w:rPr>
              <w:t>60家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A4052">
            <w:pPr>
              <w:jc w:val="center"/>
            </w:pPr>
            <w:r>
              <w:rPr>
                <w:rFonts w:ascii="宋体" w:hAnsi="宋体" w:eastAsia="宋体"/>
                <w:sz w:val="16"/>
              </w:rPr>
              <w:t>6</w:t>
            </w:r>
          </w:p>
        </w:tc>
      </w:tr>
      <w:tr w14:paraId="05D26F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35A962"/>
        </w:tc>
        <w:tc>
          <w:tcPr>
            <w:tcW w:w="958" w:type="dxa"/>
            <w:vMerge w:val="continue"/>
            <w:tcBorders>
              <w:top w:val="single" w:color="auto" w:sz="10" w:space="0"/>
              <w:left w:val="single" w:color="auto" w:sz="10" w:space="0"/>
              <w:bottom w:val="single" w:color="auto" w:sz="10" w:space="0"/>
              <w:right w:val="single" w:color="auto" w:sz="10" w:space="0"/>
              <w:insideV w:val="single" w:sz="10" w:space="0"/>
            </w:tcBorders>
          </w:tcPr>
          <w:p w14:paraId="65828B08"/>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597BB872">
            <w:pPr>
              <w:jc w:val="center"/>
            </w:pPr>
            <w:r>
              <w:rPr>
                <w:rFonts w:ascii="宋体" w:hAnsi="宋体" w:eastAsia="宋体"/>
                <w:sz w:val="16"/>
              </w:rPr>
              <w:t>出动执法人次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BBF02">
            <w:pPr>
              <w:jc w:val="center"/>
            </w:pPr>
            <w:r>
              <w:rPr>
                <w:rFonts w:ascii="宋体" w:hAnsi="宋体" w:eastAsia="宋体"/>
                <w:sz w:val="16"/>
              </w:rPr>
              <w:t>200余次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96283">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4F6AC">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2CD11">
            <w:pPr>
              <w:jc w:val="center"/>
            </w:pPr>
            <w:r>
              <w:rPr>
                <w:rFonts w:ascii="宋体" w:hAnsi="宋体" w:eastAsia="宋体"/>
                <w:sz w:val="16"/>
              </w:rPr>
              <w:t>200余次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E31FA">
            <w:pPr>
              <w:jc w:val="center"/>
            </w:pPr>
            <w:r>
              <w:rPr>
                <w:rFonts w:ascii="宋体" w:hAnsi="宋体" w:eastAsia="宋体"/>
                <w:sz w:val="16"/>
              </w:rPr>
              <w:t>11</w:t>
            </w:r>
          </w:p>
        </w:tc>
      </w:tr>
      <w:tr w14:paraId="0DFC86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9FFEA9"/>
        </w:tc>
        <w:tc>
          <w:tcPr>
            <w:tcW w:w="958" w:type="dxa"/>
            <w:vMerge w:val="continue"/>
            <w:tcBorders>
              <w:top w:val="single" w:color="auto" w:sz="10" w:space="0"/>
              <w:left w:val="single" w:color="auto" w:sz="10" w:space="0"/>
              <w:bottom w:val="single" w:color="auto" w:sz="10" w:space="0"/>
              <w:right w:val="single" w:color="auto" w:sz="10" w:space="0"/>
              <w:insideV w:val="single" w:sz="10" w:space="0"/>
            </w:tcBorders>
          </w:tcPr>
          <w:p w14:paraId="417C3BBA"/>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20343C6A">
            <w:pPr>
              <w:jc w:val="center"/>
            </w:pPr>
            <w:r>
              <w:rPr>
                <w:rFonts w:ascii="宋体" w:hAnsi="宋体" w:eastAsia="宋体"/>
                <w:sz w:val="16"/>
              </w:rPr>
              <w:t>清理“僵尸车”数量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20563">
            <w:pPr>
              <w:jc w:val="center"/>
            </w:pPr>
            <w:r>
              <w:rPr>
                <w:rFonts w:ascii="宋体" w:hAnsi="宋体" w:eastAsia="宋体"/>
                <w:sz w:val="16"/>
              </w:rPr>
              <w:t>15辆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4DC97">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D2097">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F95E2">
            <w:pPr>
              <w:jc w:val="center"/>
            </w:pPr>
            <w:r>
              <w:rPr>
                <w:rFonts w:ascii="宋体" w:hAnsi="宋体" w:eastAsia="宋体"/>
                <w:sz w:val="16"/>
              </w:rPr>
              <w:t>15辆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97890">
            <w:pPr>
              <w:jc w:val="center"/>
            </w:pPr>
            <w:r>
              <w:rPr>
                <w:rFonts w:ascii="宋体" w:hAnsi="宋体" w:eastAsia="宋体"/>
                <w:sz w:val="16"/>
              </w:rPr>
              <w:t>11</w:t>
            </w:r>
          </w:p>
        </w:tc>
      </w:tr>
      <w:tr w14:paraId="37F084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513E32"/>
        </w:tc>
        <w:tc>
          <w:tcPr>
            <w:tcW w:w="958" w:type="dxa"/>
            <w:vMerge w:val="continue"/>
            <w:tcBorders>
              <w:top w:val="single" w:color="auto" w:sz="10" w:space="0"/>
              <w:left w:val="single" w:color="auto" w:sz="10" w:space="0"/>
              <w:bottom w:val="single" w:color="auto" w:sz="10" w:space="0"/>
              <w:right w:val="single" w:color="auto" w:sz="10" w:space="0"/>
              <w:insideV w:val="single" w:sz="10" w:space="0"/>
            </w:tcBorders>
          </w:tcPr>
          <w:p w14:paraId="04A2F12B"/>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2414A0D1">
            <w:pPr>
              <w:jc w:val="center"/>
            </w:pPr>
            <w:r>
              <w:rPr>
                <w:rFonts w:ascii="宋体" w:hAnsi="宋体" w:eastAsia="宋体"/>
                <w:sz w:val="16"/>
              </w:rPr>
              <w:t>排查路面光缆数量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BAB04">
            <w:pPr>
              <w:jc w:val="center"/>
            </w:pPr>
            <w:r>
              <w:rPr>
                <w:rFonts w:ascii="宋体" w:hAnsi="宋体" w:eastAsia="宋体"/>
                <w:sz w:val="16"/>
              </w:rPr>
              <w:t>163条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2639D">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B87F6">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6F5EF">
            <w:pPr>
              <w:jc w:val="center"/>
            </w:pPr>
            <w:r>
              <w:rPr>
                <w:rFonts w:ascii="宋体" w:hAnsi="宋体" w:eastAsia="宋体"/>
                <w:sz w:val="16"/>
              </w:rPr>
              <w:t>163条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3A63D">
            <w:pPr>
              <w:jc w:val="center"/>
            </w:pPr>
            <w:r>
              <w:rPr>
                <w:rFonts w:ascii="宋体" w:hAnsi="宋体" w:eastAsia="宋体"/>
                <w:sz w:val="16"/>
              </w:rPr>
              <w:t>11</w:t>
            </w:r>
          </w:p>
        </w:tc>
      </w:tr>
      <w:tr w14:paraId="117F97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5469C9"/>
        </w:tc>
        <w:tc>
          <w:tcPr>
            <w:tcW w:w="958" w:type="dxa"/>
            <w:vMerge w:val="continue"/>
            <w:tcBorders>
              <w:top w:val="single" w:color="auto" w:sz="10" w:space="0"/>
              <w:left w:val="single" w:color="auto" w:sz="10" w:space="0"/>
              <w:bottom w:val="single" w:color="auto" w:sz="10" w:space="0"/>
              <w:right w:val="single" w:color="auto" w:sz="10" w:space="0"/>
              <w:insideV w:val="single" w:sz="10" w:space="0"/>
            </w:tcBorders>
          </w:tcPr>
          <w:p w14:paraId="096DD43D"/>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2FC9E4F0">
            <w:pPr>
              <w:jc w:val="center"/>
            </w:pPr>
            <w:r>
              <w:rPr>
                <w:rFonts w:ascii="宋体" w:hAnsi="宋体" w:eastAsia="宋体"/>
                <w:sz w:val="16"/>
              </w:rPr>
              <w:t>设立小家菜摊点数量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09610">
            <w:pPr>
              <w:jc w:val="center"/>
            </w:pPr>
            <w:r>
              <w:rPr>
                <w:rFonts w:ascii="宋体" w:hAnsi="宋体" w:eastAsia="宋体"/>
                <w:sz w:val="16"/>
              </w:rPr>
              <w:t>22个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3B648">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1C3E5">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27BDF">
            <w:pPr>
              <w:jc w:val="center"/>
            </w:pPr>
            <w:r>
              <w:rPr>
                <w:rFonts w:ascii="宋体" w:hAnsi="宋体" w:eastAsia="宋体"/>
                <w:sz w:val="16"/>
              </w:rPr>
              <w:t>22个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CD172">
            <w:pPr>
              <w:jc w:val="center"/>
            </w:pPr>
            <w:r>
              <w:rPr>
                <w:rFonts w:ascii="宋体" w:hAnsi="宋体" w:eastAsia="宋体"/>
                <w:sz w:val="16"/>
              </w:rPr>
              <w:t>11</w:t>
            </w:r>
          </w:p>
        </w:tc>
      </w:tr>
      <w:tr w14:paraId="0A9005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FF67EE"/>
        </w:tc>
        <w:tc>
          <w:tcPr>
            <w:tcW w:w="958" w:type="dxa"/>
            <w:vMerge w:val="continue"/>
            <w:tcBorders>
              <w:top w:val="single" w:color="auto" w:sz="10" w:space="0"/>
              <w:left w:val="single" w:color="auto" w:sz="10" w:space="0"/>
              <w:bottom w:val="single" w:color="auto" w:sz="10" w:space="0"/>
              <w:right w:val="single" w:color="auto" w:sz="10" w:space="0"/>
              <w:insideV w:val="single" w:sz="10" w:space="0"/>
            </w:tcBorders>
          </w:tcPr>
          <w:p w14:paraId="79B336B2"/>
        </w:tc>
        <w:tc>
          <w:tcPr>
            <w:tcW w:w="1252" w:type="dxa"/>
            <w:tcBorders>
              <w:top w:val="single" w:color="auto" w:sz="10" w:space="0"/>
              <w:left w:val="single" w:color="auto" w:sz="10" w:space="0"/>
              <w:bottom w:val="single" w:color="auto" w:sz="10" w:space="0"/>
              <w:right w:val="single" w:color="auto" w:sz="10" w:space="0"/>
              <w:insideV w:val="single" w:sz="10" w:space="0"/>
            </w:tcBorders>
            <w:vAlign w:val="center"/>
          </w:tcPr>
          <w:p w14:paraId="03F1B965">
            <w:pPr>
              <w:jc w:val="center"/>
            </w:pPr>
            <w:r>
              <w:rPr>
                <w:rFonts w:ascii="宋体" w:hAnsi="宋体" w:eastAsia="宋体"/>
                <w:sz w:val="16"/>
              </w:rPr>
              <w:t>设立鸡苗摊点数量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C4577">
            <w:pPr>
              <w:jc w:val="center"/>
            </w:pPr>
            <w:r>
              <w:rPr>
                <w:rFonts w:ascii="宋体" w:hAnsi="宋体" w:eastAsia="宋体"/>
                <w:sz w:val="16"/>
              </w:rPr>
              <w: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31779">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F38E4">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6AA2C">
            <w:pPr>
              <w:jc w:val="center"/>
            </w:pPr>
            <w:r>
              <w:rPr>
                <w:rFonts w:ascii="宋体" w:hAnsi="宋体" w:eastAsia="宋体"/>
                <w:sz w:val="16"/>
              </w:rPr>
              <w: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53C09">
            <w:pPr>
              <w:jc w:val="center"/>
            </w:pPr>
            <w:r>
              <w:rPr>
                <w:rFonts w:ascii="宋体" w:hAnsi="宋体" w:eastAsia="宋体"/>
                <w:sz w:val="16"/>
              </w:rPr>
              <w:t>11</w:t>
            </w:r>
          </w:p>
        </w:tc>
      </w:tr>
    </w:tbl>
    <w:p w14:paraId="0D7235C2">
      <w:r>
        <w:br w:type="page"/>
      </w:r>
    </w:p>
    <w:p w14:paraId="1124A762">
      <w:pPr>
        <w:spacing w:line="640" w:lineRule="exact"/>
        <w:ind w:firstLine="640"/>
        <w:jc w:val="both"/>
        <w:outlineLvl w:val="2"/>
      </w:pPr>
      <w:r>
        <w:rPr>
          <w:rFonts w:ascii="黑体" w:hAnsi="黑体" w:eastAsia="黑体"/>
          <w:sz w:val="32"/>
        </w:rPr>
        <w:t>十二、其他需说明的事项</w:t>
      </w:r>
    </w:p>
    <w:p w14:paraId="015A7ED9">
      <w:pPr>
        <w:spacing w:line="580" w:lineRule="exact"/>
        <w:ind w:firstLine="640"/>
        <w:jc w:val="both"/>
      </w:pPr>
      <w:r>
        <w:rPr>
          <w:rFonts w:ascii="仿宋_GB2312" w:hAnsi="仿宋_GB2312" w:eastAsia="仿宋_GB2312"/>
          <w:b w:val="0"/>
          <w:sz w:val="32"/>
        </w:rPr>
        <w:t>本单位无其他需说明事项。</w:t>
      </w:r>
    </w:p>
    <w:p w14:paraId="5BB3FCD3">
      <w:r>
        <w:br w:type="page"/>
      </w:r>
    </w:p>
    <w:p w14:paraId="15ED2579">
      <w:pPr>
        <w:spacing w:line="240" w:lineRule="auto"/>
        <w:jc w:val="center"/>
        <w:outlineLvl w:val="1"/>
      </w:pPr>
      <w:r>
        <w:rPr>
          <w:rFonts w:ascii="黑体" w:hAnsi="黑体" w:eastAsia="黑体"/>
          <w:sz w:val="32"/>
        </w:rPr>
        <w:t>第三部分 专业名词解释</w:t>
      </w:r>
    </w:p>
    <w:p w14:paraId="48D2EE4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E73E70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4B7EF8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80AE7C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6F20DB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5D6744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9B0B1F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A1B42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7EF0A5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0B4242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094348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C381F7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B9A207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81C55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A04CAB0">
      <w:r>
        <w:br w:type="page"/>
      </w:r>
    </w:p>
    <w:p w14:paraId="0F60C438">
      <w:pPr>
        <w:spacing w:line="240" w:lineRule="auto"/>
        <w:jc w:val="center"/>
        <w:outlineLvl w:val="1"/>
      </w:pPr>
      <w:r>
        <w:rPr>
          <w:rFonts w:ascii="黑体" w:hAnsi="黑体" w:eastAsia="黑体"/>
          <w:sz w:val="32"/>
        </w:rPr>
        <w:t>第四部分 部门决算报表（见附表）</w:t>
      </w:r>
    </w:p>
    <w:p w14:paraId="3C9BCF53">
      <w:pPr>
        <w:spacing w:line="240" w:lineRule="auto"/>
        <w:ind w:firstLine="640"/>
        <w:jc w:val="both"/>
      </w:pPr>
      <w:r>
        <w:rPr>
          <w:rFonts w:ascii="仿宋_GB2312" w:hAnsi="仿宋_GB2312" w:eastAsia="仿宋_GB2312"/>
          <w:b w:val="0"/>
          <w:sz w:val="32"/>
        </w:rPr>
        <w:t>一、《收入支出决算总表》</w:t>
      </w:r>
    </w:p>
    <w:p w14:paraId="16032B9B">
      <w:pPr>
        <w:spacing w:line="240" w:lineRule="auto"/>
        <w:ind w:firstLine="640"/>
        <w:jc w:val="both"/>
      </w:pPr>
      <w:r>
        <w:rPr>
          <w:rFonts w:ascii="仿宋_GB2312" w:hAnsi="仿宋_GB2312" w:eastAsia="仿宋_GB2312"/>
          <w:b w:val="0"/>
          <w:sz w:val="32"/>
        </w:rPr>
        <w:t>二、《收入决算表》</w:t>
      </w:r>
    </w:p>
    <w:p w14:paraId="06B36407">
      <w:pPr>
        <w:spacing w:line="240" w:lineRule="auto"/>
        <w:ind w:firstLine="640"/>
        <w:jc w:val="both"/>
      </w:pPr>
      <w:r>
        <w:rPr>
          <w:rFonts w:ascii="仿宋_GB2312" w:hAnsi="仿宋_GB2312" w:eastAsia="仿宋_GB2312"/>
          <w:b w:val="0"/>
          <w:sz w:val="32"/>
        </w:rPr>
        <w:t>三、《支出决算表》</w:t>
      </w:r>
    </w:p>
    <w:p w14:paraId="3CFA16D4">
      <w:pPr>
        <w:spacing w:line="240" w:lineRule="auto"/>
        <w:ind w:firstLine="640"/>
        <w:jc w:val="both"/>
      </w:pPr>
      <w:r>
        <w:rPr>
          <w:rFonts w:ascii="仿宋_GB2312" w:hAnsi="仿宋_GB2312" w:eastAsia="仿宋_GB2312"/>
          <w:b w:val="0"/>
          <w:sz w:val="32"/>
        </w:rPr>
        <w:t>四、《财政拨款收入支出决算总表》</w:t>
      </w:r>
    </w:p>
    <w:p w14:paraId="61C405FF">
      <w:pPr>
        <w:spacing w:line="240" w:lineRule="auto"/>
        <w:ind w:firstLine="640"/>
        <w:jc w:val="both"/>
      </w:pPr>
      <w:r>
        <w:rPr>
          <w:rFonts w:ascii="仿宋_GB2312" w:hAnsi="仿宋_GB2312" w:eastAsia="仿宋_GB2312"/>
          <w:b w:val="0"/>
          <w:sz w:val="32"/>
        </w:rPr>
        <w:t>五、《一般公共预算财政拨款支出决算表》</w:t>
      </w:r>
    </w:p>
    <w:p w14:paraId="475351A4">
      <w:pPr>
        <w:spacing w:line="240" w:lineRule="auto"/>
        <w:ind w:firstLine="640"/>
        <w:jc w:val="both"/>
      </w:pPr>
      <w:r>
        <w:rPr>
          <w:rFonts w:ascii="仿宋_GB2312" w:hAnsi="仿宋_GB2312" w:eastAsia="仿宋_GB2312"/>
          <w:b w:val="0"/>
          <w:sz w:val="32"/>
        </w:rPr>
        <w:t>六、《一般公共预算财政拨款基本支出决算表》</w:t>
      </w:r>
    </w:p>
    <w:p w14:paraId="4ECF868A">
      <w:pPr>
        <w:spacing w:line="240" w:lineRule="auto"/>
        <w:ind w:firstLine="640"/>
        <w:jc w:val="both"/>
      </w:pPr>
      <w:r>
        <w:rPr>
          <w:rFonts w:ascii="仿宋_GB2312" w:hAnsi="仿宋_GB2312" w:eastAsia="仿宋_GB2312"/>
          <w:b w:val="0"/>
          <w:sz w:val="32"/>
        </w:rPr>
        <w:t>七、《政府性基金预算财政拨款收入支出决算表》</w:t>
      </w:r>
    </w:p>
    <w:p w14:paraId="35956655">
      <w:pPr>
        <w:spacing w:line="240" w:lineRule="auto"/>
        <w:ind w:firstLine="640"/>
        <w:jc w:val="both"/>
      </w:pPr>
      <w:r>
        <w:rPr>
          <w:rFonts w:ascii="仿宋_GB2312" w:hAnsi="仿宋_GB2312" w:eastAsia="仿宋_GB2312"/>
          <w:b w:val="0"/>
          <w:sz w:val="32"/>
        </w:rPr>
        <w:t>八、《国有资本经营预算财政拨款收入支出决算表》</w:t>
      </w:r>
    </w:p>
    <w:p w14:paraId="7638E76E">
      <w:pPr>
        <w:spacing w:line="240" w:lineRule="auto"/>
        <w:ind w:firstLine="640"/>
        <w:jc w:val="both"/>
      </w:pPr>
      <w:r>
        <w:rPr>
          <w:rFonts w:ascii="仿宋_GB2312" w:hAnsi="仿宋_GB2312" w:eastAsia="仿宋_GB2312"/>
          <w:b w:val="0"/>
          <w:sz w:val="32"/>
        </w:rPr>
        <w:t>九、《财政拨款“三公”经费支出决算表》</w:t>
      </w:r>
    </w:p>
    <w:p w14:paraId="3FA68835">
      <w:pPr>
        <w:spacing w:line="240" w:lineRule="auto"/>
        <w:ind w:firstLine="640"/>
        <w:jc w:val="both"/>
      </w:pPr>
    </w:p>
    <w:p w14:paraId="7ADF7659">
      <w:pPr>
        <w:spacing w:line="240" w:lineRule="auto"/>
        <w:ind w:firstLine="640"/>
        <w:jc w:val="both"/>
      </w:pPr>
    </w:p>
    <w:p w14:paraId="687190D2">
      <w:pPr>
        <w:spacing w:line="240" w:lineRule="auto"/>
        <w:ind w:firstLine="640"/>
        <w:jc w:val="both"/>
      </w:pPr>
    </w:p>
    <w:p w14:paraId="55EF3C78">
      <w:pPr>
        <w:spacing w:line="240" w:lineRule="auto"/>
        <w:ind w:firstLine="640"/>
        <w:jc w:val="both"/>
      </w:pPr>
    </w:p>
    <w:p w14:paraId="379C172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E1A1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FBE0D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1FBE0D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AB16508"/>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D52675"/>
    <w:rsid w:val="2C1965E9"/>
    <w:rsid w:val="2D1136DF"/>
    <w:rsid w:val="2DAE0E44"/>
    <w:rsid w:val="2FD27414"/>
    <w:rsid w:val="313F1D52"/>
    <w:rsid w:val="318029AB"/>
    <w:rsid w:val="31C63837"/>
    <w:rsid w:val="326F0A17"/>
    <w:rsid w:val="3277581B"/>
    <w:rsid w:val="38006E2C"/>
    <w:rsid w:val="3914510A"/>
    <w:rsid w:val="3B1220C9"/>
    <w:rsid w:val="3D5275AC"/>
    <w:rsid w:val="3D533734"/>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84693F"/>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31a87c-2e55-4e25-9bf0-e1cbc60ba456}">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5716</Words>
  <Characters>6507</Characters>
  <Lines>0</Lines>
  <Paragraphs>0</Paragraphs>
  <TotalTime>4</TotalTime>
  <ScaleCrop>false</ScaleCrop>
  <LinksUpToDate>false</LinksUpToDate>
  <CharactersWithSpaces>6518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2025-11-07T10:16:12Z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