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A93F5">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61E1D4B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170D7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542987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EFB0B3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61F7F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裕民县国有土地上房屋征收与补偿服务中心2024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3AAEF71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04F6CFA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74C3E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2D7B10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A3A79A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0C16A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2CB49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A56151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BCEEA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BBD10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6E0DC15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E12999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BF24F0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915427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D2599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204CC1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F9DF61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D18755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74B4BD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562F227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57AF6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F7F97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2EA373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9B5F39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78F2D1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10CC10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1BBDA5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5A6D39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E4B9A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B1B76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03B9D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5A1CC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B6AA0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3827F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04B69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5532C4">
      <w:r>
        <w:br w:type="page"/>
      </w:r>
    </w:p>
    <w:p w14:paraId="6B15E1CC">
      <w:pPr>
        <w:spacing w:line="640" w:lineRule="exact"/>
        <w:jc w:val="center"/>
        <w:outlineLvl w:val="1"/>
      </w:pPr>
      <w:r>
        <w:rPr>
          <w:rFonts w:ascii="黑体" w:hAnsi="黑体" w:eastAsia="黑体"/>
          <w:sz w:val="32"/>
        </w:rPr>
        <w:t>第一部分 单位概况</w:t>
      </w:r>
    </w:p>
    <w:p w14:paraId="6AF8EC61">
      <w:pPr>
        <w:spacing w:line="640" w:lineRule="exact"/>
        <w:ind w:firstLine="640"/>
        <w:jc w:val="both"/>
        <w:outlineLvl w:val="2"/>
      </w:pPr>
      <w:r>
        <w:rPr>
          <w:rFonts w:ascii="黑体" w:hAnsi="黑体" w:eastAsia="黑体"/>
          <w:sz w:val="32"/>
        </w:rPr>
        <w:t>一、主要职能</w:t>
      </w:r>
    </w:p>
    <w:p w14:paraId="035F4309">
      <w:pPr>
        <w:spacing w:line="580" w:lineRule="exact"/>
        <w:ind w:firstLine="640"/>
        <w:jc w:val="both"/>
        <w:rPr>
          <w:w w:val="96"/>
          <w:sz w:val="32"/>
        </w:rPr>
      </w:pPr>
      <w:r>
        <w:rPr>
          <w:rFonts w:hint="eastAsia" w:ascii="仿宋_GB2312" w:hAnsi="仿宋_GB2312" w:eastAsia="仿宋_GB2312"/>
          <w:w w:val="96"/>
          <w:sz w:val="32"/>
          <w:lang w:eastAsia="zh-CN"/>
        </w:rPr>
        <w:t>1.</w:t>
      </w:r>
      <w:r>
        <w:rPr>
          <w:rFonts w:ascii="仿宋_GB2312" w:hAnsi="仿宋_GB2312" w:eastAsia="仿宋_GB2312"/>
          <w:w w:val="96"/>
          <w:sz w:val="32"/>
        </w:rPr>
        <w:t>负责贯彻执行国家、自治区有关房屋征收与补偿的</w:t>
      </w:r>
      <w:r>
        <w:rPr>
          <w:rFonts w:hint="eastAsia" w:ascii="仿宋_GB2312" w:hAnsi="仿宋_GB2312" w:eastAsia="仿宋_GB2312"/>
          <w:w w:val="96"/>
          <w:sz w:val="32"/>
          <w:lang w:eastAsia="zh-CN"/>
        </w:rPr>
        <w:t>法律法规</w:t>
      </w:r>
      <w:r>
        <w:rPr>
          <w:rFonts w:ascii="仿宋_GB2312" w:hAnsi="仿宋_GB2312" w:eastAsia="仿宋_GB2312"/>
          <w:w w:val="96"/>
          <w:sz w:val="32"/>
        </w:rPr>
        <w:t>、规章与政策，并组织实施本行政区域内房屋征收与补偿工作。</w:t>
      </w:r>
    </w:p>
    <w:p w14:paraId="16E494A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负责因公共利益需要对房屋实施征收，并对其行为后果承担法律责任。</w:t>
      </w:r>
    </w:p>
    <w:p w14:paraId="7E39E70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负责受理违反《国有土地上房屋征收与补偿条例》规定的行为，并及时组织核查、处理。</w:t>
      </w:r>
    </w:p>
    <w:p w14:paraId="03B87B6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负责拟订征收补偿方案、房屋征收决定与补偿决定，报请县政府论证、公布或者作出决定。</w:t>
      </w:r>
    </w:p>
    <w:p w14:paraId="7491142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负责征收补偿安置资金的监管、核发、统计分析和汇总。</w:t>
      </w:r>
    </w:p>
    <w:p w14:paraId="096606E5">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负责对房屋征收范围内的权属、区位、用途、建筑面积等情况进行调查登记，并在房屋征收范围内向被征收人公布调查结果。</w:t>
      </w:r>
    </w:p>
    <w:p w14:paraId="3E011073">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负责组织被征收人协商确定房地产评估机构，配合评估机构对被征收房屋的测绘、评估工作及评估结果的审核工作。</w:t>
      </w:r>
    </w:p>
    <w:p w14:paraId="1EED579E">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负责房屋征收的补偿方案的草拟，报县政府审查、论证、并发布。</w:t>
      </w:r>
    </w:p>
    <w:p w14:paraId="0E8E87E0">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负责协助相关部门依法进行调查认定处理、协助政法部门进行房屋征收社会风险评估工作。</w:t>
      </w:r>
    </w:p>
    <w:p w14:paraId="5EE8A778">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负责书面通知有关部门暂停办理征收范围内房屋的新建、扩建、改建和改变房屋用途等相关手续。</w:t>
      </w:r>
    </w:p>
    <w:p w14:paraId="4F85013E">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负责与被征收人依照规定，就补偿方式、补偿金额、支付期限、产权调换、搬迁费、临时安置费、停产停业损失等事项，订立补偿协议。</w:t>
      </w:r>
    </w:p>
    <w:p w14:paraId="48734446">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负责协调安置地点、安置房户型、价格、楼层系数、征收范围</w:t>
      </w:r>
      <w:r>
        <w:rPr>
          <w:rFonts w:hint="eastAsia" w:ascii="仿宋_GB2312" w:hAnsi="仿宋_GB2312" w:eastAsia="仿宋_GB2312"/>
          <w:sz w:val="32"/>
          <w:lang w:eastAsia="zh-CN"/>
        </w:rPr>
        <w:t>普通</w:t>
      </w:r>
      <w:r>
        <w:rPr>
          <w:rFonts w:ascii="仿宋_GB2312" w:hAnsi="仿宋_GB2312" w:eastAsia="仿宋_GB2312"/>
          <w:sz w:val="32"/>
        </w:rPr>
        <w:t>商品房价格的数据调取工作。</w:t>
      </w:r>
    </w:p>
    <w:p w14:paraId="33492DC7">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负责与被征收人洽谈，在规定时间内签订房屋征收与补偿安置协议。</w:t>
      </w:r>
    </w:p>
    <w:p w14:paraId="65A18060">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负责与被征收人在征收补偿方案确定的签约期限内达不成补偿协议或者被征收房屋所有权人不明确，报县人民政府作出补偿决定。</w:t>
      </w:r>
    </w:p>
    <w:p w14:paraId="6CF47297">
      <w:pPr>
        <w:spacing w:line="580" w:lineRule="exact"/>
        <w:ind w:firstLine="640"/>
        <w:jc w:val="both"/>
      </w:pPr>
      <w:r>
        <w:rPr>
          <w:rFonts w:hint="eastAsia" w:ascii="仿宋_GB2312" w:hAnsi="仿宋_GB2312" w:eastAsia="仿宋_GB2312"/>
          <w:sz w:val="32"/>
          <w:lang w:eastAsia="zh-CN"/>
        </w:rPr>
        <w:t>15.</w:t>
      </w:r>
      <w:r>
        <w:rPr>
          <w:rFonts w:ascii="仿宋_GB2312" w:hAnsi="仿宋_GB2312" w:eastAsia="仿宋_GB2312"/>
          <w:sz w:val="32"/>
        </w:rPr>
        <w:t>负责房屋征收行政复议应诉工作；依法拟定征收补偿决定报县人民政府批准，并申请法院依法强制执行。</w:t>
      </w:r>
    </w:p>
    <w:p w14:paraId="3C74DBEB">
      <w:pPr>
        <w:spacing w:line="580" w:lineRule="exact"/>
        <w:ind w:firstLine="640"/>
        <w:jc w:val="both"/>
        <w:rPr>
          <w:w w:val="96"/>
          <w:sz w:val="32"/>
        </w:rPr>
      </w:pPr>
      <w:r>
        <w:rPr>
          <w:rFonts w:hint="eastAsia" w:ascii="仿宋_GB2312" w:hAnsi="仿宋_GB2312" w:eastAsia="仿宋_GB2312"/>
          <w:w w:val="96"/>
          <w:sz w:val="32"/>
          <w:lang w:eastAsia="zh-CN"/>
        </w:rPr>
        <w:t>16.</w:t>
      </w:r>
      <w:r>
        <w:rPr>
          <w:rFonts w:ascii="仿宋_GB2312" w:hAnsi="仿宋_GB2312" w:eastAsia="仿宋_GB2312"/>
          <w:w w:val="96"/>
          <w:sz w:val="32"/>
        </w:rPr>
        <w:t>负责对被征收户房屋的拆除工作及被征收户回迁安置工作。</w:t>
      </w:r>
    </w:p>
    <w:p w14:paraId="79563D3A">
      <w:pPr>
        <w:spacing w:line="580" w:lineRule="exact"/>
        <w:ind w:firstLine="640"/>
        <w:jc w:val="both"/>
      </w:pPr>
      <w:r>
        <w:rPr>
          <w:rFonts w:hint="eastAsia" w:ascii="仿宋_GB2312" w:hAnsi="仿宋_GB2312" w:eastAsia="仿宋_GB2312"/>
          <w:sz w:val="32"/>
          <w:lang w:eastAsia="zh-CN"/>
        </w:rPr>
        <w:t>17.</w:t>
      </w:r>
      <w:r>
        <w:rPr>
          <w:rFonts w:ascii="仿宋_GB2312" w:hAnsi="仿宋_GB2312" w:eastAsia="仿宋_GB2312"/>
          <w:sz w:val="32"/>
        </w:rPr>
        <w:t>负责房屋征收从业人员的培训、监管工作。</w:t>
      </w:r>
    </w:p>
    <w:p w14:paraId="78A1A7A0">
      <w:pPr>
        <w:spacing w:line="580" w:lineRule="exact"/>
        <w:ind w:firstLine="640"/>
        <w:jc w:val="both"/>
      </w:pPr>
      <w:r>
        <w:rPr>
          <w:rFonts w:hint="eastAsia" w:ascii="仿宋_GB2312" w:hAnsi="仿宋_GB2312" w:eastAsia="仿宋_GB2312"/>
          <w:sz w:val="32"/>
          <w:lang w:eastAsia="zh-CN"/>
        </w:rPr>
        <w:t>18.</w:t>
      </w:r>
      <w:r>
        <w:rPr>
          <w:rFonts w:ascii="仿宋_GB2312" w:hAnsi="仿宋_GB2312" w:eastAsia="仿宋_GB2312"/>
          <w:sz w:val="32"/>
        </w:rPr>
        <w:t>负责房屋征收补偿安置矛盾纠纷的调解，以及房屋征收补偿过程中的信访与政策咨询工作。</w:t>
      </w:r>
    </w:p>
    <w:p w14:paraId="2E918676">
      <w:pPr>
        <w:spacing w:line="580" w:lineRule="exact"/>
        <w:ind w:firstLine="640"/>
        <w:jc w:val="both"/>
      </w:pPr>
      <w:r>
        <w:rPr>
          <w:rFonts w:hint="eastAsia" w:ascii="仿宋_GB2312" w:hAnsi="仿宋_GB2312" w:eastAsia="仿宋_GB2312"/>
          <w:sz w:val="32"/>
          <w:lang w:eastAsia="zh-CN"/>
        </w:rPr>
        <w:t>19.</w:t>
      </w:r>
      <w:r>
        <w:rPr>
          <w:rFonts w:ascii="仿宋_GB2312" w:hAnsi="仿宋_GB2312" w:eastAsia="仿宋_GB2312"/>
          <w:sz w:val="32"/>
        </w:rPr>
        <w:t>负责房屋征收与补偿结果的公示及房屋征收与补偿信息、统计、档案管理工作。</w:t>
      </w:r>
    </w:p>
    <w:p w14:paraId="68701EC5">
      <w:pPr>
        <w:spacing w:line="580" w:lineRule="exact"/>
        <w:ind w:firstLine="640"/>
        <w:jc w:val="both"/>
      </w:pPr>
      <w:r>
        <w:rPr>
          <w:rFonts w:hint="eastAsia" w:ascii="仿宋_GB2312" w:hAnsi="仿宋_GB2312" w:eastAsia="仿宋_GB2312"/>
          <w:sz w:val="32"/>
          <w:lang w:eastAsia="zh-CN"/>
        </w:rPr>
        <w:t>20.</w:t>
      </w:r>
      <w:r>
        <w:rPr>
          <w:rFonts w:ascii="仿宋_GB2312" w:hAnsi="仿宋_GB2312" w:eastAsia="仿宋_GB2312"/>
          <w:sz w:val="32"/>
        </w:rPr>
        <w:t>其他与房屋征收与补偿相关的工作职责。</w:t>
      </w:r>
    </w:p>
    <w:p w14:paraId="16D56AEA">
      <w:pPr>
        <w:spacing w:line="580" w:lineRule="exact"/>
        <w:ind w:firstLine="640"/>
        <w:jc w:val="both"/>
      </w:pPr>
      <w:r>
        <w:rPr>
          <w:rFonts w:hint="eastAsia" w:ascii="仿宋_GB2312" w:hAnsi="仿宋_GB2312" w:eastAsia="仿宋_GB2312"/>
          <w:sz w:val="32"/>
          <w:lang w:eastAsia="zh-CN"/>
        </w:rPr>
        <w:t>21.</w:t>
      </w:r>
      <w:r>
        <w:rPr>
          <w:rFonts w:ascii="仿宋_GB2312" w:hAnsi="仿宋_GB2312" w:eastAsia="仿宋_GB2312"/>
          <w:sz w:val="32"/>
        </w:rPr>
        <w:t>完成上级交办的其他工作。</w:t>
      </w:r>
    </w:p>
    <w:p w14:paraId="34DC2178">
      <w:pPr>
        <w:spacing w:line="640" w:lineRule="exact"/>
        <w:ind w:firstLine="640"/>
        <w:jc w:val="both"/>
        <w:outlineLvl w:val="2"/>
      </w:pPr>
      <w:r>
        <w:rPr>
          <w:rFonts w:ascii="黑体" w:hAnsi="黑体" w:eastAsia="黑体"/>
          <w:sz w:val="32"/>
        </w:rPr>
        <w:t>二、机构设置及人员情况</w:t>
      </w:r>
    </w:p>
    <w:p w14:paraId="695B3269">
      <w:pPr>
        <w:spacing w:line="580" w:lineRule="exact"/>
        <w:ind w:firstLine="640"/>
        <w:jc w:val="both"/>
      </w:pPr>
      <w:r>
        <w:rPr>
          <w:rFonts w:ascii="仿宋_GB2312" w:hAnsi="仿宋_GB2312" w:eastAsia="仿宋_GB2312"/>
          <w:sz w:val="32"/>
        </w:rPr>
        <w:t>裕民县国有土地上房屋征收与补偿服务中心2024年度，实有人数6人，其中：在职人员6人，增加1人；离休人员0人，增加0人；退休人员0人,增加0人。</w:t>
      </w:r>
    </w:p>
    <w:p w14:paraId="7453D136">
      <w:pPr>
        <w:spacing w:line="580" w:lineRule="exact"/>
        <w:ind w:firstLine="640"/>
        <w:jc w:val="both"/>
      </w:pPr>
      <w:r>
        <w:rPr>
          <w:rFonts w:ascii="仿宋_GB2312" w:hAnsi="仿宋_GB2312" w:eastAsia="仿宋_GB2312"/>
          <w:sz w:val="32"/>
        </w:rPr>
        <w:t>裕民县国有土地上房屋征收与补偿服务中心无下属预算单位</w:t>
      </w:r>
      <w:r>
        <w:rPr>
          <w:rFonts w:hint="eastAsia" w:ascii="仿宋_GB2312" w:hAnsi="仿宋_GB2312" w:eastAsia="仿宋_GB2312"/>
          <w:sz w:val="32"/>
        </w:rPr>
        <w:t>，下设3个科室，分别是：办公室、征补综合室、财务室</w:t>
      </w:r>
      <w:r>
        <w:rPr>
          <w:rFonts w:ascii="仿宋_GB2312" w:hAnsi="仿宋_GB2312" w:eastAsia="仿宋_GB2312"/>
          <w:sz w:val="32"/>
        </w:rPr>
        <w:t>。</w:t>
      </w:r>
    </w:p>
    <w:p w14:paraId="2003B043">
      <w:r>
        <w:br w:type="page"/>
      </w:r>
    </w:p>
    <w:p w14:paraId="7E0B4DBB">
      <w:pPr>
        <w:spacing w:line="240" w:lineRule="auto"/>
        <w:jc w:val="center"/>
        <w:outlineLvl w:val="1"/>
      </w:pPr>
      <w:r>
        <w:rPr>
          <w:rFonts w:ascii="黑体" w:hAnsi="黑体" w:eastAsia="黑体"/>
          <w:sz w:val="32"/>
        </w:rPr>
        <w:t>第二部分 部门决算情况说明</w:t>
      </w:r>
    </w:p>
    <w:p w14:paraId="23C78207">
      <w:pPr>
        <w:spacing w:line="640" w:lineRule="exact"/>
        <w:ind w:firstLine="640"/>
        <w:jc w:val="both"/>
        <w:outlineLvl w:val="2"/>
      </w:pPr>
      <w:r>
        <w:rPr>
          <w:rFonts w:ascii="黑体" w:hAnsi="黑体" w:eastAsia="黑体"/>
          <w:sz w:val="32"/>
        </w:rPr>
        <w:t>一、收入支出决算总体情况说明</w:t>
      </w:r>
    </w:p>
    <w:p w14:paraId="25D1189D">
      <w:pPr>
        <w:spacing w:line="580" w:lineRule="exact"/>
        <w:ind w:firstLine="640"/>
        <w:jc w:val="both"/>
      </w:pPr>
      <w:r>
        <w:rPr>
          <w:rFonts w:ascii="仿宋_GB2312" w:hAnsi="仿宋_GB2312" w:eastAsia="仿宋_GB2312"/>
          <w:b/>
          <w:sz w:val="32"/>
        </w:rPr>
        <w:t>2024年度收入总计98.55万元，</w:t>
      </w:r>
      <w:r>
        <w:rPr>
          <w:rFonts w:ascii="仿宋_GB2312" w:hAnsi="仿宋_GB2312" w:eastAsia="仿宋_GB2312"/>
          <w:b w:val="0"/>
          <w:sz w:val="32"/>
        </w:rPr>
        <w:t>其中：本年收入合计98.55万元，使用非财政拨款结余（含专用结余）0.00万元，年初结转和结余0.00万元。</w:t>
      </w:r>
    </w:p>
    <w:p w14:paraId="09533FE0">
      <w:pPr>
        <w:spacing w:line="580" w:lineRule="exact"/>
        <w:ind w:firstLine="640"/>
        <w:jc w:val="both"/>
      </w:pPr>
      <w:r>
        <w:rPr>
          <w:rFonts w:ascii="仿宋_GB2312" w:hAnsi="仿宋_GB2312" w:eastAsia="仿宋_GB2312"/>
          <w:b/>
          <w:sz w:val="32"/>
        </w:rPr>
        <w:t>2024年度支出总计98.55万元，</w:t>
      </w:r>
      <w:r>
        <w:rPr>
          <w:rFonts w:ascii="仿宋_GB2312" w:hAnsi="仿宋_GB2312" w:eastAsia="仿宋_GB2312"/>
          <w:b w:val="0"/>
          <w:sz w:val="32"/>
        </w:rPr>
        <w:t>其中：本年支出合计98.55万元，结余分配0.00万元，年末结转和结余0.00万元。</w:t>
      </w:r>
    </w:p>
    <w:p w14:paraId="774D5614">
      <w:pPr>
        <w:spacing w:line="580" w:lineRule="exact"/>
        <w:ind w:firstLine="640"/>
        <w:jc w:val="both"/>
      </w:pPr>
      <w:r>
        <w:rPr>
          <w:rFonts w:ascii="仿宋_GB2312" w:hAnsi="仿宋_GB2312" w:eastAsia="仿宋_GB2312"/>
          <w:b w:val="0"/>
          <w:sz w:val="32"/>
        </w:rPr>
        <w:t>收入支出总体与上年相比，减少8.49万元，下降7.93%，主要原因是：2023年1</w:t>
      </w:r>
      <w:r>
        <w:rPr>
          <w:rFonts w:hint="eastAsia" w:ascii="仿宋_GB2312" w:hAnsi="仿宋_GB2312" w:eastAsia="仿宋_GB2312"/>
          <w:b w:val="0"/>
          <w:sz w:val="32"/>
          <w:lang w:eastAsia="zh-CN"/>
        </w:rPr>
        <w:t>—</w:t>
      </w:r>
      <w:r>
        <w:rPr>
          <w:rFonts w:ascii="仿宋_GB2312" w:hAnsi="仿宋_GB2312" w:eastAsia="仿宋_GB2312"/>
          <w:b w:val="0"/>
          <w:sz w:val="32"/>
        </w:rPr>
        <w:t>10月</w:t>
      </w:r>
      <w:r>
        <w:rPr>
          <w:rFonts w:hint="eastAsia" w:ascii="仿宋_GB2312" w:hAnsi="仿宋_GB2312" w:eastAsia="仿宋_GB2312"/>
          <w:b w:val="0"/>
          <w:sz w:val="32"/>
          <w:lang w:val="en-US" w:eastAsia="zh-CN"/>
        </w:rPr>
        <w:t>发放</w:t>
      </w:r>
      <w:r>
        <w:rPr>
          <w:rFonts w:ascii="仿宋_GB2312" w:hAnsi="仿宋_GB2312" w:eastAsia="仿宋_GB2312"/>
          <w:b w:val="0"/>
          <w:sz w:val="32"/>
        </w:rPr>
        <w:t>在职职工7人</w:t>
      </w:r>
      <w:r>
        <w:rPr>
          <w:rFonts w:hint="eastAsia" w:ascii="仿宋_GB2312" w:hAnsi="仿宋_GB2312" w:eastAsia="仿宋_GB2312"/>
          <w:b w:val="0"/>
          <w:sz w:val="32"/>
          <w:lang w:val="en-US" w:eastAsia="zh-CN"/>
        </w:rPr>
        <w:t>工资福利</w:t>
      </w:r>
      <w:r>
        <w:rPr>
          <w:rFonts w:ascii="仿宋_GB2312" w:hAnsi="仿宋_GB2312" w:eastAsia="仿宋_GB2312"/>
          <w:b w:val="0"/>
          <w:sz w:val="32"/>
        </w:rPr>
        <w:t>，</w:t>
      </w:r>
      <w:r>
        <w:rPr>
          <w:rFonts w:hint="eastAsia" w:ascii="仿宋_GB2312" w:hAnsi="仿宋_GB2312" w:eastAsia="仿宋_GB2312"/>
          <w:b w:val="0"/>
          <w:sz w:val="32"/>
          <w:lang w:eastAsia="zh-CN"/>
        </w:rPr>
        <w:t>年底</w:t>
      </w:r>
      <w:r>
        <w:rPr>
          <w:rFonts w:hint="eastAsia" w:ascii="仿宋_GB2312" w:hAnsi="仿宋_GB2312" w:eastAsia="仿宋_GB2312"/>
          <w:b w:val="0"/>
          <w:sz w:val="32"/>
          <w:lang w:val="en-US" w:eastAsia="zh-CN"/>
        </w:rPr>
        <w:t>人员</w:t>
      </w:r>
      <w:r>
        <w:rPr>
          <w:rFonts w:ascii="仿宋_GB2312" w:hAnsi="仿宋_GB2312" w:eastAsia="仿宋_GB2312"/>
          <w:b w:val="0"/>
          <w:sz w:val="32"/>
        </w:rPr>
        <w:t>调出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本年发放6人工资福利</w:t>
      </w:r>
      <w:r>
        <w:rPr>
          <w:rFonts w:ascii="仿宋_GB2312" w:hAnsi="仿宋_GB2312" w:eastAsia="仿宋_GB2312"/>
          <w:b w:val="0"/>
          <w:sz w:val="32"/>
        </w:rPr>
        <w:t>，</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p>
    <w:p w14:paraId="47C5D586">
      <w:pPr>
        <w:spacing w:line="640" w:lineRule="exact"/>
        <w:ind w:firstLine="640"/>
        <w:jc w:val="both"/>
        <w:outlineLvl w:val="2"/>
      </w:pPr>
      <w:r>
        <w:rPr>
          <w:rFonts w:ascii="黑体" w:hAnsi="黑体" w:eastAsia="黑体"/>
          <w:sz w:val="32"/>
        </w:rPr>
        <w:t>二、收入决算情况说明</w:t>
      </w:r>
    </w:p>
    <w:p w14:paraId="20932AE0">
      <w:pPr>
        <w:spacing w:line="580" w:lineRule="exact"/>
        <w:ind w:firstLine="640"/>
        <w:jc w:val="both"/>
      </w:pPr>
      <w:r>
        <w:rPr>
          <w:rFonts w:ascii="仿宋_GB2312" w:hAnsi="仿宋_GB2312" w:eastAsia="仿宋_GB2312"/>
          <w:b/>
          <w:sz w:val="32"/>
        </w:rPr>
        <w:t>本年收入98.55万元，</w:t>
      </w:r>
      <w:r>
        <w:rPr>
          <w:rFonts w:ascii="仿宋_GB2312" w:hAnsi="仿宋_GB2312" w:eastAsia="仿宋_GB2312"/>
          <w:b w:val="0"/>
          <w:sz w:val="32"/>
        </w:rPr>
        <w:t>其中：财政拨款收入98.55万元，占100.00%；上级补助收入0.00万元，占0.00%；事业收入0.00万元，占0.00%；经营收入0.00万元，占0.00%；附属单位上缴收入0.00万元，占0.00%；其他收入0.00万元，占0.00%。</w:t>
      </w:r>
    </w:p>
    <w:p w14:paraId="1B530ECA">
      <w:pPr>
        <w:spacing w:line="640" w:lineRule="exact"/>
        <w:ind w:firstLine="640"/>
        <w:jc w:val="both"/>
        <w:outlineLvl w:val="2"/>
      </w:pPr>
      <w:r>
        <w:rPr>
          <w:rFonts w:ascii="黑体" w:hAnsi="黑体" w:eastAsia="黑体"/>
          <w:sz w:val="32"/>
        </w:rPr>
        <w:t>三、支出决算情况说明</w:t>
      </w:r>
    </w:p>
    <w:p w14:paraId="18D200B9">
      <w:pPr>
        <w:spacing w:line="580" w:lineRule="exact"/>
        <w:ind w:firstLine="640"/>
        <w:jc w:val="both"/>
      </w:pPr>
      <w:r>
        <w:rPr>
          <w:rFonts w:ascii="仿宋_GB2312" w:hAnsi="仿宋_GB2312" w:eastAsia="仿宋_GB2312"/>
          <w:b/>
          <w:sz w:val="32"/>
        </w:rPr>
        <w:t>本年支出98.55万元，</w:t>
      </w:r>
      <w:r>
        <w:rPr>
          <w:rFonts w:ascii="仿宋_GB2312" w:hAnsi="仿宋_GB2312" w:eastAsia="仿宋_GB2312"/>
          <w:b w:val="0"/>
          <w:sz w:val="32"/>
        </w:rPr>
        <w:t>其中：基本支出98.45万元，占99.90%；项目支出0.10万元，占0.10%；上缴上级支出0.00万元，占0.00%；经营支出0.00万元，占0.00%；对附属单位补助支出0.00万元，占0.00%。</w:t>
      </w:r>
    </w:p>
    <w:p w14:paraId="2DE5DECA">
      <w:pPr>
        <w:spacing w:line="640" w:lineRule="exact"/>
        <w:ind w:firstLine="640"/>
        <w:jc w:val="both"/>
        <w:outlineLvl w:val="2"/>
      </w:pPr>
      <w:r>
        <w:rPr>
          <w:rFonts w:ascii="黑体" w:hAnsi="黑体" w:eastAsia="黑体"/>
          <w:sz w:val="32"/>
        </w:rPr>
        <w:t>四、财政拨款收入支出决算总体情况说明</w:t>
      </w:r>
    </w:p>
    <w:p w14:paraId="05446FE5">
      <w:pPr>
        <w:spacing w:line="580" w:lineRule="exact"/>
        <w:ind w:firstLine="640"/>
        <w:jc w:val="both"/>
      </w:pPr>
      <w:r>
        <w:rPr>
          <w:rFonts w:ascii="仿宋_GB2312" w:hAnsi="仿宋_GB2312" w:eastAsia="仿宋_GB2312"/>
          <w:b/>
          <w:sz w:val="32"/>
        </w:rPr>
        <w:t>2024年度财政拨款收入总计98.55万元，</w:t>
      </w:r>
      <w:r>
        <w:rPr>
          <w:rFonts w:ascii="仿宋_GB2312" w:hAnsi="仿宋_GB2312" w:eastAsia="仿宋_GB2312"/>
          <w:b w:val="0"/>
          <w:sz w:val="32"/>
        </w:rPr>
        <w:t>其中：年初财政拨款结转和结余0.00万元，本年财政拨款收入98.55万元。</w:t>
      </w:r>
      <w:r>
        <w:rPr>
          <w:rFonts w:ascii="仿宋_GB2312" w:hAnsi="仿宋_GB2312" w:eastAsia="仿宋_GB2312"/>
          <w:b/>
          <w:sz w:val="32"/>
        </w:rPr>
        <w:t>财政拨款支出总计98.55万元，</w:t>
      </w:r>
      <w:r>
        <w:rPr>
          <w:rFonts w:ascii="仿宋_GB2312" w:hAnsi="仿宋_GB2312" w:eastAsia="仿宋_GB2312"/>
          <w:b w:val="0"/>
          <w:sz w:val="32"/>
        </w:rPr>
        <w:t>其中：年末财政拨款结转和结余0.00万元，本年财政拨款支出98.55万元。</w:t>
      </w:r>
    </w:p>
    <w:p w14:paraId="111178B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减少8.49万元，下降7.93%，主要原因是：2023年1</w:t>
      </w:r>
      <w:r>
        <w:rPr>
          <w:rFonts w:hint="eastAsia" w:ascii="仿宋_GB2312" w:hAnsi="仿宋_GB2312" w:eastAsia="仿宋_GB2312"/>
          <w:b w:val="0"/>
          <w:sz w:val="32"/>
          <w:lang w:eastAsia="zh-CN"/>
        </w:rPr>
        <w:t>—</w:t>
      </w:r>
      <w:r>
        <w:rPr>
          <w:rFonts w:ascii="仿宋_GB2312" w:hAnsi="仿宋_GB2312" w:eastAsia="仿宋_GB2312"/>
          <w:b w:val="0"/>
          <w:sz w:val="32"/>
        </w:rPr>
        <w:t>10月</w:t>
      </w:r>
      <w:r>
        <w:rPr>
          <w:rFonts w:hint="eastAsia" w:ascii="仿宋_GB2312" w:hAnsi="仿宋_GB2312" w:eastAsia="仿宋_GB2312"/>
          <w:b w:val="0"/>
          <w:sz w:val="32"/>
          <w:lang w:val="en-US" w:eastAsia="zh-CN"/>
        </w:rPr>
        <w:t>发放</w:t>
      </w:r>
      <w:r>
        <w:rPr>
          <w:rFonts w:ascii="仿宋_GB2312" w:hAnsi="仿宋_GB2312" w:eastAsia="仿宋_GB2312"/>
          <w:b w:val="0"/>
          <w:sz w:val="32"/>
        </w:rPr>
        <w:t>在职职工7人</w:t>
      </w:r>
      <w:r>
        <w:rPr>
          <w:rFonts w:hint="eastAsia" w:ascii="仿宋_GB2312" w:hAnsi="仿宋_GB2312" w:eastAsia="仿宋_GB2312"/>
          <w:b w:val="0"/>
          <w:sz w:val="32"/>
          <w:lang w:val="en-US" w:eastAsia="zh-CN"/>
        </w:rPr>
        <w:t>工资福利</w:t>
      </w:r>
      <w:r>
        <w:rPr>
          <w:rFonts w:ascii="仿宋_GB2312" w:hAnsi="仿宋_GB2312" w:eastAsia="仿宋_GB2312"/>
          <w:b w:val="0"/>
          <w:sz w:val="32"/>
        </w:rPr>
        <w:t>，</w:t>
      </w:r>
      <w:r>
        <w:rPr>
          <w:rFonts w:hint="eastAsia" w:ascii="仿宋_GB2312" w:hAnsi="仿宋_GB2312" w:eastAsia="仿宋_GB2312"/>
          <w:b w:val="0"/>
          <w:sz w:val="32"/>
          <w:lang w:eastAsia="zh-CN"/>
        </w:rPr>
        <w:t>年底</w:t>
      </w:r>
      <w:r>
        <w:rPr>
          <w:rFonts w:hint="eastAsia" w:ascii="仿宋_GB2312" w:hAnsi="仿宋_GB2312" w:eastAsia="仿宋_GB2312"/>
          <w:b w:val="0"/>
          <w:sz w:val="32"/>
          <w:lang w:val="en-US" w:eastAsia="zh-CN"/>
        </w:rPr>
        <w:t>人员</w:t>
      </w:r>
      <w:r>
        <w:rPr>
          <w:rFonts w:ascii="仿宋_GB2312" w:hAnsi="仿宋_GB2312" w:eastAsia="仿宋_GB2312"/>
          <w:b w:val="0"/>
          <w:sz w:val="32"/>
        </w:rPr>
        <w:t>调出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本年发放6人工资福利</w:t>
      </w:r>
      <w:r>
        <w:rPr>
          <w:rFonts w:ascii="仿宋_GB2312" w:hAnsi="仿宋_GB2312" w:eastAsia="仿宋_GB2312"/>
          <w:b w:val="0"/>
          <w:sz w:val="32"/>
        </w:rPr>
        <w:t>，</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r>
        <w:rPr>
          <w:rFonts w:ascii="仿宋_GB2312" w:hAnsi="仿宋_GB2312" w:eastAsia="仿宋_GB2312"/>
          <w:b/>
          <w:sz w:val="32"/>
        </w:rPr>
        <w:t>与年初预算相比，</w:t>
      </w:r>
      <w:r>
        <w:rPr>
          <w:rFonts w:ascii="仿宋_GB2312" w:hAnsi="仿宋_GB2312" w:eastAsia="仿宋_GB2312"/>
          <w:b w:val="0"/>
          <w:sz w:val="32"/>
        </w:rPr>
        <w:t>年初预算数87.60万元，决算数98.55万元，预决算差异率12.50%，主要原因是：年中追加人员工资、社保、公积金基数调增部分资金，导致预决算存在差异。</w:t>
      </w:r>
    </w:p>
    <w:p w14:paraId="6B18E971">
      <w:pPr>
        <w:spacing w:line="640" w:lineRule="exact"/>
        <w:ind w:firstLine="640"/>
        <w:jc w:val="both"/>
        <w:outlineLvl w:val="2"/>
      </w:pPr>
      <w:r>
        <w:rPr>
          <w:rFonts w:ascii="黑体" w:hAnsi="黑体" w:eastAsia="黑体"/>
          <w:sz w:val="32"/>
        </w:rPr>
        <w:t>五、一般公共预算财政拨款支出决算情况说明</w:t>
      </w:r>
    </w:p>
    <w:p w14:paraId="4AE9F012">
      <w:pPr>
        <w:spacing w:line="640" w:lineRule="exact"/>
        <w:ind w:firstLine="640"/>
        <w:jc w:val="both"/>
        <w:outlineLvl w:val="3"/>
      </w:pPr>
      <w:r>
        <w:rPr>
          <w:rFonts w:ascii="楷体_GB2312" w:hAnsi="楷体_GB2312" w:eastAsia="楷体_GB2312"/>
          <w:b/>
          <w:sz w:val="32"/>
        </w:rPr>
        <w:t>（一）一般公共预算财政拨款支出决算总体情况</w:t>
      </w:r>
    </w:p>
    <w:p w14:paraId="30A5D014">
      <w:pPr>
        <w:spacing w:line="580" w:lineRule="exact"/>
        <w:ind w:firstLine="640"/>
        <w:jc w:val="both"/>
      </w:pPr>
      <w:r>
        <w:rPr>
          <w:rFonts w:ascii="仿宋_GB2312" w:hAnsi="仿宋_GB2312" w:eastAsia="仿宋_GB2312"/>
          <w:b/>
          <w:sz w:val="32"/>
        </w:rPr>
        <w:t>2024年度一般公共预算财政拨款支出98.55万元，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减少8.49万元，下降7.93%，主要原因是：2023年1</w:t>
      </w:r>
      <w:r>
        <w:rPr>
          <w:rFonts w:hint="eastAsia" w:ascii="仿宋_GB2312" w:hAnsi="仿宋_GB2312" w:eastAsia="仿宋_GB2312"/>
          <w:b w:val="0"/>
          <w:sz w:val="32"/>
          <w:lang w:eastAsia="zh-CN"/>
        </w:rPr>
        <w:t>—</w:t>
      </w:r>
      <w:r>
        <w:rPr>
          <w:rFonts w:ascii="仿宋_GB2312" w:hAnsi="仿宋_GB2312" w:eastAsia="仿宋_GB2312"/>
          <w:b w:val="0"/>
          <w:sz w:val="32"/>
        </w:rPr>
        <w:t>10月</w:t>
      </w:r>
      <w:r>
        <w:rPr>
          <w:rFonts w:hint="eastAsia" w:ascii="仿宋_GB2312" w:hAnsi="仿宋_GB2312" w:eastAsia="仿宋_GB2312"/>
          <w:b w:val="0"/>
          <w:sz w:val="32"/>
          <w:lang w:val="en-US" w:eastAsia="zh-CN"/>
        </w:rPr>
        <w:t>发放</w:t>
      </w:r>
      <w:r>
        <w:rPr>
          <w:rFonts w:ascii="仿宋_GB2312" w:hAnsi="仿宋_GB2312" w:eastAsia="仿宋_GB2312"/>
          <w:b w:val="0"/>
          <w:sz w:val="32"/>
        </w:rPr>
        <w:t>在职职工7人</w:t>
      </w:r>
      <w:r>
        <w:rPr>
          <w:rFonts w:hint="eastAsia" w:ascii="仿宋_GB2312" w:hAnsi="仿宋_GB2312" w:eastAsia="仿宋_GB2312"/>
          <w:b w:val="0"/>
          <w:sz w:val="32"/>
          <w:lang w:val="en-US" w:eastAsia="zh-CN"/>
        </w:rPr>
        <w:t>工资福利</w:t>
      </w:r>
      <w:r>
        <w:rPr>
          <w:rFonts w:ascii="仿宋_GB2312" w:hAnsi="仿宋_GB2312" w:eastAsia="仿宋_GB2312"/>
          <w:b w:val="0"/>
          <w:sz w:val="32"/>
        </w:rPr>
        <w:t>，</w:t>
      </w:r>
      <w:r>
        <w:rPr>
          <w:rFonts w:hint="eastAsia" w:ascii="仿宋_GB2312" w:hAnsi="仿宋_GB2312" w:eastAsia="仿宋_GB2312"/>
          <w:b w:val="0"/>
          <w:sz w:val="32"/>
          <w:lang w:eastAsia="zh-CN"/>
        </w:rPr>
        <w:t>年底</w:t>
      </w:r>
      <w:r>
        <w:rPr>
          <w:rFonts w:hint="eastAsia" w:ascii="仿宋_GB2312" w:hAnsi="仿宋_GB2312" w:eastAsia="仿宋_GB2312"/>
          <w:b w:val="0"/>
          <w:sz w:val="32"/>
          <w:lang w:val="en-US" w:eastAsia="zh-CN"/>
        </w:rPr>
        <w:t>人员</w:t>
      </w:r>
      <w:r>
        <w:rPr>
          <w:rFonts w:ascii="仿宋_GB2312" w:hAnsi="仿宋_GB2312" w:eastAsia="仿宋_GB2312"/>
          <w:b w:val="0"/>
          <w:sz w:val="32"/>
        </w:rPr>
        <w:t>调出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本年发放6人工资福利</w:t>
      </w:r>
      <w:r>
        <w:rPr>
          <w:rFonts w:ascii="仿宋_GB2312" w:hAnsi="仿宋_GB2312" w:eastAsia="仿宋_GB2312"/>
          <w:b w:val="0"/>
          <w:sz w:val="32"/>
        </w:rPr>
        <w:t>，</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r>
        <w:rPr>
          <w:rFonts w:ascii="仿宋_GB2312" w:hAnsi="仿宋_GB2312" w:eastAsia="仿宋_GB2312"/>
          <w:b/>
          <w:sz w:val="32"/>
        </w:rPr>
        <w:t>与年初预算相比,</w:t>
      </w:r>
      <w:r>
        <w:rPr>
          <w:rFonts w:ascii="仿宋_GB2312" w:hAnsi="仿宋_GB2312" w:eastAsia="仿宋_GB2312"/>
          <w:b w:val="0"/>
          <w:sz w:val="32"/>
        </w:rPr>
        <w:t>年初预算数87.60万元，决算数98.55万元，预决算差异率12.50%，主要原因是：年中追加人员工资、社保、公积金基数调增部分资金，导致预决算存在差异。</w:t>
      </w:r>
    </w:p>
    <w:p w14:paraId="07F6DF6D">
      <w:pPr>
        <w:spacing w:line="640" w:lineRule="exact"/>
        <w:ind w:firstLine="640"/>
        <w:jc w:val="both"/>
        <w:outlineLvl w:val="3"/>
      </w:pPr>
      <w:r>
        <w:rPr>
          <w:rFonts w:ascii="楷体_GB2312" w:hAnsi="楷体_GB2312" w:eastAsia="楷体_GB2312"/>
          <w:b/>
          <w:sz w:val="32"/>
        </w:rPr>
        <w:t>（二）一般公共预算财政拨款支出决算结构情况</w:t>
      </w:r>
    </w:p>
    <w:p w14:paraId="03E8E87D">
      <w:pPr>
        <w:spacing w:line="580" w:lineRule="exact"/>
        <w:ind w:firstLine="640"/>
        <w:jc w:val="both"/>
      </w:pPr>
      <w:r>
        <w:rPr>
          <w:rFonts w:ascii="仿宋_GB2312" w:hAnsi="仿宋_GB2312" w:eastAsia="仿宋_GB2312"/>
          <w:b w:val="0"/>
          <w:sz w:val="32"/>
        </w:rPr>
        <w:t>1.社会保障和就业支出(类)10.59万元,占10.75%。</w:t>
      </w:r>
    </w:p>
    <w:p w14:paraId="36E1D316">
      <w:pPr>
        <w:spacing w:line="580" w:lineRule="exact"/>
        <w:ind w:firstLine="640"/>
        <w:jc w:val="both"/>
      </w:pPr>
      <w:r>
        <w:rPr>
          <w:rFonts w:ascii="仿宋_GB2312" w:hAnsi="仿宋_GB2312" w:eastAsia="仿宋_GB2312"/>
          <w:b w:val="0"/>
          <w:sz w:val="32"/>
        </w:rPr>
        <w:t>2.卫生健康支出(类)4.38万元,占4.44%。</w:t>
      </w:r>
    </w:p>
    <w:p w14:paraId="7A0182D9">
      <w:pPr>
        <w:spacing w:line="580" w:lineRule="exact"/>
        <w:ind w:firstLine="640"/>
        <w:jc w:val="both"/>
      </w:pPr>
      <w:r>
        <w:rPr>
          <w:rFonts w:ascii="仿宋_GB2312" w:hAnsi="仿宋_GB2312" w:eastAsia="仿宋_GB2312"/>
          <w:b w:val="0"/>
          <w:sz w:val="32"/>
        </w:rPr>
        <w:t>3.城乡社区支出(类)75.22万元,占76.33%。</w:t>
      </w:r>
    </w:p>
    <w:p w14:paraId="0BDB394F">
      <w:pPr>
        <w:spacing w:line="580" w:lineRule="exact"/>
        <w:ind w:firstLine="640"/>
        <w:jc w:val="both"/>
      </w:pPr>
      <w:r>
        <w:rPr>
          <w:rFonts w:ascii="仿宋_GB2312" w:hAnsi="仿宋_GB2312" w:eastAsia="仿宋_GB2312"/>
          <w:b w:val="0"/>
          <w:sz w:val="32"/>
        </w:rPr>
        <w:t>4.住房保障支出(类)8.35万元,占8.47%。</w:t>
      </w:r>
    </w:p>
    <w:p w14:paraId="499F37F9">
      <w:pPr>
        <w:spacing w:line="640" w:lineRule="exact"/>
        <w:ind w:firstLine="640"/>
        <w:jc w:val="both"/>
        <w:outlineLvl w:val="3"/>
      </w:pPr>
      <w:r>
        <w:rPr>
          <w:rFonts w:ascii="楷体_GB2312" w:hAnsi="楷体_GB2312" w:eastAsia="楷体_GB2312"/>
          <w:b/>
          <w:sz w:val="32"/>
        </w:rPr>
        <w:t>（三）一般公共预算财政拨款支出决算具体情况</w:t>
      </w:r>
    </w:p>
    <w:p w14:paraId="2191DE3C">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10.59万元，比上年决算增加0.41万元，增长4.03%,主要原因是：本年在职人员工资基数调增，养老缴费基数上涨，相应支出增加。</w:t>
      </w:r>
    </w:p>
    <w:p w14:paraId="633E0937">
      <w:pPr>
        <w:spacing w:line="580" w:lineRule="exact"/>
        <w:ind w:firstLine="640"/>
        <w:jc w:val="both"/>
      </w:pPr>
      <w:r>
        <w:rPr>
          <w:rFonts w:ascii="仿宋_GB2312" w:hAnsi="仿宋_GB2312" w:eastAsia="仿宋_GB2312"/>
          <w:b w:val="0"/>
          <w:sz w:val="32"/>
        </w:rPr>
        <w:t>2.卫生健康支出(类)行政事业单位医疗(款)事业单位医疗(项):支出决算数为4.38万元，比上年决算减少0.11万元，下降2.45%,主要原因是：2023年1</w:t>
      </w:r>
      <w:r>
        <w:rPr>
          <w:rFonts w:hint="eastAsia" w:ascii="仿宋_GB2312" w:hAnsi="仿宋_GB2312" w:eastAsia="仿宋_GB2312"/>
          <w:b w:val="0"/>
          <w:sz w:val="32"/>
          <w:lang w:eastAsia="zh-CN"/>
        </w:rPr>
        <w:t>—</w:t>
      </w:r>
      <w:r>
        <w:rPr>
          <w:rFonts w:ascii="仿宋_GB2312" w:hAnsi="仿宋_GB2312" w:eastAsia="仿宋_GB2312"/>
          <w:b w:val="0"/>
          <w:sz w:val="32"/>
        </w:rPr>
        <w:t>10月</w:t>
      </w:r>
      <w:r>
        <w:rPr>
          <w:rFonts w:hint="eastAsia" w:ascii="仿宋_GB2312" w:hAnsi="仿宋_GB2312" w:eastAsia="仿宋_GB2312"/>
          <w:b w:val="0"/>
          <w:sz w:val="32"/>
          <w:lang w:val="en-US" w:eastAsia="zh-CN"/>
        </w:rPr>
        <w:t>保障</w:t>
      </w:r>
      <w:r>
        <w:rPr>
          <w:rFonts w:ascii="仿宋_GB2312" w:hAnsi="仿宋_GB2312" w:eastAsia="仿宋_GB2312"/>
          <w:b w:val="0"/>
          <w:sz w:val="32"/>
        </w:rPr>
        <w:t>在职职工7人</w:t>
      </w:r>
      <w:r>
        <w:rPr>
          <w:rFonts w:hint="eastAsia" w:ascii="仿宋_GB2312" w:hAnsi="仿宋_GB2312" w:eastAsia="仿宋_GB2312"/>
          <w:b w:val="0"/>
          <w:sz w:val="32"/>
          <w:lang w:val="en-US" w:eastAsia="zh-CN"/>
        </w:rPr>
        <w:t>医疗保险</w:t>
      </w:r>
      <w:r>
        <w:rPr>
          <w:rFonts w:ascii="仿宋_GB2312" w:hAnsi="仿宋_GB2312" w:eastAsia="仿宋_GB2312"/>
          <w:b w:val="0"/>
          <w:sz w:val="32"/>
        </w:rPr>
        <w:t>，</w:t>
      </w:r>
      <w:r>
        <w:rPr>
          <w:rFonts w:hint="eastAsia" w:ascii="仿宋_GB2312" w:hAnsi="仿宋_GB2312" w:eastAsia="仿宋_GB2312"/>
          <w:b w:val="0"/>
          <w:sz w:val="32"/>
          <w:lang w:eastAsia="zh-CN"/>
        </w:rPr>
        <w:t>年底</w:t>
      </w:r>
      <w:r>
        <w:rPr>
          <w:rFonts w:hint="eastAsia" w:ascii="仿宋_GB2312" w:hAnsi="仿宋_GB2312" w:eastAsia="仿宋_GB2312"/>
          <w:b w:val="0"/>
          <w:sz w:val="32"/>
          <w:lang w:val="en-US" w:eastAsia="zh-CN"/>
        </w:rPr>
        <w:t>人员</w:t>
      </w:r>
      <w:r>
        <w:rPr>
          <w:rFonts w:ascii="仿宋_GB2312" w:hAnsi="仿宋_GB2312" w:eastAsia="仿宋_GB2312"/>
          <w:b w:val="0"/>
          <w:sz w:val="32"/>
        </w:rPr>
        <w:t>调出，</w:t>
      </w:r>
      <w:r>
        <w:rPr>
          <w:rFonts w:hint="eastAsia" w:ascii="仿宋_GB2312" w:hAnsi="仿宋_GB2312" w:eastAsia="仿宋_GB2312"/>
          <w:b w:val="0"/>
          <w:sz w:val="32"/>
          <w:lang w:val="en-US" w:eastAsia="zh-CN"/>
        </w:rPr>
        <w:t>本年只保障6名职工医疗保险，</w:t>
      </w:r>
      <w:r>
        <w:rPr>
          <w:rFonts w:ascii="仿宋_GB2312" w:hAnsi="仿宋_GB2312" w:eastAsia="仿宋_GB2312"/>
          <w:b w:val="0"/>
          <w:sz w:val="32"/>
        </w:rPr>
        <w:t>导致事业单位医疗缴费减少。</w:t>
      </w:r>
    </w:p>
    <w:p w14:paraId="53A3E329">
      <w:pPr>
        <w:spacing w:line="580" w:lineRule="exact"/>
        <w:ind w:firstLine="640"/>
        <w:jc w:val="both"/>
        <w:rPr>
          <w:w w:val="96"/>
          <w:sz w:val="32"/>
        </w:rPr>
      </w:pPr>
      <w:r>
        <w:rPr>
          <w:rFonts w:ascii="仿宋_GB2312" w:hAnsi="仿宋_GB2312" w:eastAsia="仿宋_GB2312"/>
          <w:b w:val="0"/>
          <w:w w:val="96"/>
          <w:sz w:val="32"/>
        </w:rPr>
        <w:t>3.城乡社区支出(类)城乡社区规划与管理(款)城乡社区规划与管理(项):支出决算数为75.22万元，比上年决算减少9.34万元，下降11.05%,主要原因是：</w:t>
      </w:r>
      <w:r>
        <w:rPr>
          <w:rFonts w:ascii="仿宋_GB2312" w:hAnsi="仿宋_GB2312" w:eastAsia="仿宋_GB2312"/>
          <w:b w:val="0"/>
          <w:sz w:val="32"/>
        </w:rPr>
        <w:t>2023年1</w:t>
      </w:r>
      <w:r>
        <w:rPr>
          <w:rFonts w:hint="eastAsia" w:ascii="仿宋_GB2312" w:hAnsi="仿宋_GB2312" w:eastAsia="仿宋_GB2312"/>
          <w:b w:val="0"/>
          <w:sz w:val="32"/>
          <w:lang w:eastAsia="zh-CN"/>
        </w:rPr>
        <w:t>—</w:t>
      </w:r>
      <w:r>
        <w:rPr>
          <w:rFonts w:ascii="仿宋_GB2312" w:hAnsi="仿宋_GB2312" w:eastAsia="仿宋_GB2312"/>
          <w:b w:val="0"/>
          <w:sz w:val="32"/>
        </w:rPr>
        <w:t>10月</w:t>
      </w:r>
      <w:r>
        <w:rPr>
          <w:rFonts w:hint="eastAsia" w:ascii="仿宋_GB2312" w:hAnsi="仿宋_GB2312" w:eastAsia="仿宋_GB2312"/>
          <w:b w:val="0"/>
          <w:sz w:val="32"/>
          <w:lang w:val="en-US" w:eastAsia="zh-CN"/>
        </w:rPr>
        <w:t>发放</w:t>
      </w:r>
      <w:r>
        <w:rPr>
          <w:rFonts w:ascii="仿宋_GB2312" w:hAnsi="仿宋_GB2312" w:eastAsia="仿宋_GB2312"/>
          <w:b w:val="0"/>
          <w:sz w:val="32"/>
        </w:rPr>
        <w:t>在职职工7人</w:t>
      </w:r>
      <w:r>
        <w:rPr>
          <w:rFonts w:hint="eastAsia" w:ascii="仿宋_GB2312" w:hAnsi="仿宋_GB2312" w:eastAsia="仿宋_GB2312"/>
          <w:b w:val="0"/>
          <w:sz w:val="32"/>
          <w:lang w:val="en-US" w:eastAsia="zh-CN"/>
        </w:rPr>
        <w:t>工资福利</w:t>
      </w:r>
      <w:r>
        <w:rPr>
          <w:rFonts w:ascii="仿宋_GB2312" w:hAnsi="仿宋_GB2312" w:eastAsia="仿宋_GB2312"/>
          <w:b w:val="0"/>
          <w:sz w:val="32"/>
        </w:rPr>
        <w:t>，</w:t>
      </w:r>
      <w:r>
        <w:rPr>
          <w:rFonts w:hint="eastAsia" w:ascii="仿宋_GB2312" w:hAnsi="仿宋_GB2312" w:eastAsia="仿宋_GB2312"/>
          <w:b w:val="0"/>
          <w:sz w:val="32"/>
          <w:lang w:eastAsia="zh-CN"/>
        </w:rPr>
        <w:t>年底</w:t>
      </w:r>
      <w:r>
        <w:rPr>
          <w:rFonts w:hint="eastAsia" w:ascii="仿宋_GB2312" w:hAnsi="仿宋_GB2312" w:eastAsia="仿宋_GB2312"/>
          <w:b w:val="0"/>
          <w:sz w:val="32"/>
          <w:lang w:val="en-US" w:eastAsia="zh-CN"/>
        </w:rPr>
        <w:t>人员</w:t>
      </w:r>
      <w:r>
        <w:rPr>
          <w:rFonts w:ascii="仿宋_GB2312" w:hAnsi="仿宋_GB2312" w:eastAsia="仿宋_GB2312"/>
          <w:b w:val="0"/>
          <w:sz w:val="32"/>
        </w:rPr>
        <w:t>调出，</w:t>
      </w:r>
      <w:r>
        <w:rPr>
          <w:rFonts w:hint="eastAsia" w:ascii="仿宋_GB2312" w:hAnsi="仿宋_GB2312" w:eastAsia="仿宋_GB2312"/>
          <w:b w:val="0"/>
          <w:sz w:val="32"/>
          <w:lang w:val="en-US" w:eastAsia="zh-CN"/>
        </w:rPr>
        <w:t>本年只保障6名职工工资，</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r>
        <w:rPr>
          <w:rFonts w:ascii="仿宋_GB2312" w:hAnsi="仿宋_GB2312" w:eastAsia="仿宋_GB2312"/>
          <w:b w:val="0"/>
          <w:w w:val="96"/>
          <w:sz w:val="32"/>
        </w:rPr>
        <w:t>。</w:t>
      </w:r>
    </w:p>
    <w:p w14:paraId="19C2B4BD">
      <w:pPr>
        <w:spacing w:line="580" w:lineRule="exact"/>
        <w:ind w:firstLine="640"/>
        <w:jc w:val="both"/>
      </w:pPr>
      <w:r>
        <w:rPr>
          <w:rFonts w:ascii="仿宋_GB2312" w:hAnsi="仿宋_GB2312" w:eastAsia="仿宋_GB2312"/>
          <w:b w:val="0"/>
          <w:sz w:val="32"/>
        </w:rPr>
        <w:t>4.住房保障支出(类)住房改革支出(款)住房公积金(项):支出决算数为8.35万元，比上年决算增加0.54万元，增长6.91%,主要原因是：本年在职人员工资基数调增，公积金缴费基数上涨，相应支出增加。</w:t>
      </w:r>
    </w:p>
    <w:p w14:paraId="184FC546">
      <w:pPr>
        <w:spacing w:line="640" w:lineRule="exact"/>
        <w:ind w:firstLine="640"/>
        <w:jc w:val="both"/>
        <w:outlineLvl w:val="2"/>
      </w:pPr>
      <w:r>
        <w:rPr>
          <w:rFonts w:ascii="黑体" w:hAnsi="黑体" w:eastAsia="黑体"/>
          <w:sz w:val="32"/>
        </w:rPr>
        <w:t>六、一般公共预算财政拨款基本支出决算情况说明</w:t>
      </w:r>
    </w:p>
    <w:p w14:paraId="6940523E">
      <w:pPr>
        <w:spacing w:line="580" w:lineRule="exact"/>
        <w:ind w:firstLine="640"/>
        <w:jc w:val="both"/>
      </w:pPr>
      <w:r>
        <w:rPr>
          <w:rFonts w:ascii="仿宋_GB2312" w:hAnsi="仿宋_GB2312" w:eastAsia="仿宋_GB2312"/>
          <w:b w:val="0"/>
          <w:sz w:val="32"/>
        </w:rPr>
        <w:t>2024年度一般公共预算财政拨款基本支出98.45万元，其中：</w:t>
      </w:r>
      <w:r>
        <w:rPr>
          <w:rFonts w:ascii="仿宋_GB2312" w:hAnsi="仿宋_GB2312" w:eastAsia="仿宋_GB2312"/>
          <w:b/>
          <w:sz w:val="32"/>
        </w:rPr>
        <w:t>人员经费95.32万元，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471AA6B2">
      <w:pPr>
        <w:spacing w:line="580" w:lineRule="exact"/>
        <w:ind w:firstLine="640"/>
        <w:jc w:val="both"/>
      </w:pPr>
      <w:r>
        <w:rPr>
          <w:rFonts w:ascii="仿宋_GB2312" w:hAnsi="仿宋_GB2312" w:eastAsia="仿宋_GB2312"/>
          <w:b/>
          <w:sz w:val="32"/>
        </w:rPr>
        <w:t>公用经费3.13万元，</w:t>
      </w:r>
      <w:r>
        <w:rPr>
          <w:rFonts w:ascii="仿宋_GB2312" w:hAnsi="仿宋_GB2312" w:eastAsia="仿宋_GB2312"/>
          <w:b w:val="0"/>
          <w:sz w:val="32"/>
        </w:rPr>
        <w:t>包括：办公费、邮电费、取暖费、培训费、工会经费、公务用车运行维护费、其他商品和服务支出。</w:t>
      </w:r>
    </w:p>
    <w:p w14:paraId="6BADBD41">
      <w:pPr>
        <w:spacing w:line="640" w:lineRule="exact"/>
        <w:ind w:firstLine="640"/>
        <w:jc w:val="both"/>
        <w:outlineLvl w:val="2"/>
      </w:pPr>
      <w:r>
        <w:rPr>
          <w:rFonts w:ascii="黑体" w:hAnsi="黑体" w:eastAsia="黑体"/>
          <w:sz w:val="32"/>
        </w:rPr>
        <w:t>七、政府性基金预算财政拨款收入支出决算情况说明</w:t>
      </w:r>
    </w:p>
    <w:p w14:paraId="226C96E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121DB9">
      <w:pPr>
        <w:spacing w:line="640" w:lineRule="exact"/>
        <w:ind w:firstLine="640"/>
        <w:jc w:val="both"/>
        <w:outlineLvl w:val="2"/>
      </w:pPr>
      <w:r>
        <w:rPr>
          <w:rFonts w:ascii="黑体" w:hAnsi="黑体" w:eastAsia="黑体"/>
          <w:sz w:val="32"/>
        </w:rPr>
        <w:t>八、国有资本经营预算财政拨款收入支出决算情况说明</w:t>
      </w:r>
    </w:p>
    <w:p w14:paraId="6E6127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E2B54F">
      <w:pPr>
        <w:spacing w:line="640" w:lineRule="exact"/>
        <w:ind w:firstLine="640"/>
        <w:jc w:val="both"/>
        <w:outlineLvl w:val="2"/>
      </w:pPr>
      <w:r>
        <w:rPr>
          <w:rFonts w:ascii="黑体" w:hAnsi="黑体" w:eastAsia="黑体"/>
          <w:sz w:val="32"/>
        </w:rPr>
        <w:t>九、财政拨款“三公”经费支出决算情况说明</w:t>
      </w:r>
    </w:p>
    <w:p w14:paraId="7B7DFE8F">
      <w:pPr>
        <w:spacing w:line="580" w:lineRule="exact"/>
        <w:ind w:firstLine="640"/>
        <w:jc w:val="both"/>
      </w:pPr>
      <w:r>
        <w:rPr>
          <w:rFonts w:ascii="仿宋_GB2312" w:hAnsi="仿宋_GB2312" w:eastAsia="仿宋_GB2312"/>
          <w:b/>
          <w:sz w:val="32"/>
        </w:rPr>
        <w:t>2024年度财政拨款“三公”经费支出0.82万元，</w:t>
      </w:r>
      <w:r>
        <w:rPr>
          <w:rFonts w:ascii="仿宋_GB2312" w:hAnsi="仿宋_GB2312" w:eastAsia="仿宋_GB2312"/>
          <w:b w:val="0"/>
          <w:sz w:val="32"/>
        </w:rPr>
        <w:t>比上年增加0.27万元，增长49.09%，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0.82万元，占100.00%，比上年增加0.27万元，增长49.09%，主要原因是：本年因业务需求，用车次数增加，燃油费增加，导致公务用车运行维护费较上年增加。公务接待费支出0.00万元，占0.00%，比上年增加0.00万元，增长0.00%，主要原因是：2023年与2024年均未安排公务接待费支出。</w:t>
      </w:r>
    </w:p>
    <w:p w14:paraId="74B8225A">
      <w:pPr>
        <w:spacing w:line="580" w:lineRule="exact"/>
        <w:ind w:firstLine="640"/>
        <w:jc w:val="both"/>
      </w:pPr>
      <w:r>
        <w:rPr>
          <w:rFonts w:ascii="仿宋_GB2312" w:hAnsi="仿宋_GB2312" w:eastAsia="仿宋_GB2312"/>
          <w:b/>
          <w:sz w:val="32"/>
        </w:rPr>
        <w:t>具体情况如下：</w:t>
      </w:r>
    </w:p>
    <w:p w14:paraId="4808A06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9381DF3">
      <w:pPr>
        <w:spacing w:line="580" w:lineRule="exact"/>
        <w:ind w:firstLine="640"/>
        <w:jc w:val="both"/>
      </w:pPr>
      <w:r>
        <w:rPr>
          <w:rFonts w:ascii="仿宋_GB2312" w:hAnsi="仿宋_GB2312" w:eastAsia="仿宋_GB2312"/>
          <w:b w:val="0"/>
          <w:sz w:val="32"/>
        </w:rPr>
        <w:t>公务用车购置及运行维护费0.82万元，其中：公务用车购置费0.00万元，公务用车运行维护费0.82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14:paraId="1EB40C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CFF2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0.82万元，决算数0.82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0.82万元，决算数0.82万元，预决算差异率0.00%，主要原因是：严格按照预算执行，预决算无差异。公务接待费全年预算数0.00万元，决算数0.00万元，预决算差异率0.00%，主要原因是：本单位无公务接待费。</w:t>
      </w:r>
    </w:p>
    <w:p w14:paraId="7E7C54FF">
      <w:pPr>
        <w:spacing w:line="640" w:lineRule="exact"/>
        <w:ind w:firstLine="640"/>
        <w:jc w:val="both"/>
        <w:outlineLvl w:val="2"/>
      </w:pPr>
      <w:r>
        <w:rPr>
          <w:rFonts w:ascii="黑体" w:hAnsi="黑体" w:eastAsia="黑体"/>
          <w:sz w:val="32"/>
        </w:rPr>
        <w:t>十、其他重要事项的情况说明</w:t>
      </w:r>
    </w:p>
    <w:p w14:paraId="00E458EE">
      <w:pPr>
        <w:spacing w:line="640" w:lineRule="exact"/>
        <w:ind w:firstLine="640"/>
        <w:jc w:val="both"/>
        <w:outlineLvl w:val="3"/>
      </w:pPr>
      <w:r>
        <w:rPr>
          <w:rFonts w:ascii="楷体_GB2312" w:hAnsi="楷体_GB2312" w:eastAsia="楷体_GB2312"/>
          <w:b/>
          <w:sz w:val="32"/>
        </w:rPr>
        <w:t>（一）机关运行经费及公用经费支出情况</w:t>
      </w:r>
    </w:p>
    <w:p w14:paraId="572AED17">
      <w:pPr>
        <w:spacing w:line="580" w:lineRule="exact"/>
        <w:ind w:firstLine="640"/>
        <w:jc w:val="both"/>
      </w:pPr>
      <w:r>
        <w:rPr>
          <w:rFonts w:ascii="仿宋_GB2312" w:hAnsi="仿宋_GB2312" w:eastAsia="仿宋_GB2312"/>
          <w:b w:val="0"/>
          <w:sz w:val="32"/>
        </w:rPr>
        <w:t>2024年度裕民县国有土地上房屋征收与补偿服务中心（事业单位）公用经费支出3.13万元，比上年减少2.16万元，下降40.83%，主要原因是：严格控制公用经费，合理节约办公用品，减少不必要开支。</w:t>
      </w:r>
    </w:p>
    <w:p w14:paraId="06118BF0">
      <w:pPr>
        <w:spacing w:line="640" w:lineRule="exact"/>
        <w:ind w:firstLine="640"/>
        <w:jc w:val="both"/>
        <w:outlineLvl w:val="3"/>
      </w:pPr>
      <w:r>
        <w:rPr>
          <w:rFonts w:ascii="楷体_GB2312" w:hAnsi="楷体_GB2312" w:eastAsia="楷体_GB2312"/>
          <w:b/>
          <w:sz w:val="32"/>
        </w:rPr>
        <w:t>（二）政府采购情况</w:t>
      </w:r>
    </w:p>
    <w:p w14:paraId="1C5DB927">
      <w:pPr>
        <w:spacing w:line="580" w:lineRule="exact"/>
        <w:ind w:firstLine="640"/>
        <w:jc w:val="both"/>
      </w:pPr>
      <w:r>
        <w:rPr>
          <w:rFonts w:ascii="仿宋_GB2312" w:hAnsi="仿宋_GB2312" w:eastAsia="仿宋_GB2312"/>
          <w:b w:val="0"/>
          <w:sz w:val="32"/>
        </w:rPr>
        <w:t>2024年度政府采购支出总额0.88万元，其中：政府采购货物支出0.36万元、政府采购工程支出0.00万元、政府采购服务支出0.52万元。</w:t>
      </w:r>
    </w:p>
    <w:p w14:paraId="0384CDAC">
      <w:pPr>
        <w:spacing w:line="580" w:lineRule="exact"/>
        <w:ind w:firstLine="640"/>
        <w:jc w:val="both"/>
      </w:pPr>
      <w:r>
        <w:rPr>
          <w:rFonts w:ascii="仿宋_GB2312" w:hAnsi="仿宋_GB2312" w:eastAsia="仿宋_GB2312"/>
          <w:b w:val="0"/>
          <w:sz w:val="32"/>
        </w:rPr>
        <w:t>授予中小企业合同金额0.30万元，占政府采购支出总额的34.09%，其中：授予小微企业合同金额0.30万元，占政府采购支出总额的34.09%。</w:t>
      </w:r>
    </w:p>
    <w:p w14:paraId="59882EFF">
      <w:pPr>
        <w:spacing w:line="640" w:lineRule="exact"/>
        <w:ind w:firstLine="640"/>
        <w:jc w:val="both"/>
        <w:outlineLvl w:val="3"/>
      </w:pPr>
      <w:r>
        <w:rPr>
          <w:rFonts w:ascii="楷体_GB2312" w:hAnsi="楷体_GB2312" w:eastAsia="楷体_GB2312"/>
          <w:b/>
          <w:sz w:val="32"/>
        </w:rPr>
        <w:t>（三）国有资产占用情况说明</w:t>
      </w:r>
    </w:p>
    <w:p w14:paraId="229FDB5C">
      <w:pPr>
        <w:spacing w:line="580" w:lineRule="exact"/>
        <w:ind w:firstLine="640"/>
        <w:jc w:val="both"/>
      </w:pPr>
      <w:r>
        <w:rPr>
          <w:rFonts w:ascii="仿宋_GB2312" w:hAnsi="仿宋_GB2312" w:eastAsia="仿宋_GB2312"/>
          <w:b w:val="0"/>
          <w:sz w:val="32"/>
        </w:rPr>
        <w:t>截至2024年12月31日，房屋0.00平方米，价值0.00万元。车辆1辆，价值6.15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p>
    <w:p w14:paraId="03CE73BC">
      <w:pPr>
        <w:spacing w:line="640" w:lineRule="exact"/>
        <w:ind w:firstLine="640"/>
        <w:jc w:val="both"/>
        <w:outlineLvl w:val="2"/>
      </w:pPr>
      <w:r>
        <w:rPr>
          <w:rFonts w:ascii="黑体" w:hAnsi="黑体" w:eastAsia="黑体"/>
          <w:sz w:val="32"/>
        </w:rPr>
        <w:t>十一、预算绩效的情况说明</w:t>
      </w:r>
    </w:p>
    <w:p w14:paraId="0CC6536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98.55万元，实际执行总额98.55万元；预算绩效评价项目1个，全年预算数0.10万元，全年执行数0.10万元。预算绩效管理取得的成效：一是财政资金使用效益提升，通过设定清晰的绩效目</w:t>
      </w:r>
      <w:r>
        <w:rPr>
          <w:rFonts w:hint="eastAsia" w:ascii="仿宋_GB2312" w:hAnsi="仿宋_GB2312" w:eastAsia="仿宋_GB2312"/>
          <w:b w:val="0"/>
          <w:sz w:val="32"/>
          <w:lang w:eastAsia="zh-CN"/>
        </w:rPr>
        <w:t>标让</w:t>
      </w:r>
      <w:r>
        <w:rPr>
          <w:rFonts w:ascii="仿宋_GB2312" w:hAnsi="仿宋_GB2312" w:eastAsia="仿宋_GB2312"/>
          <w:b w:val="0"/>
          <w:sz w:val="32"/>
        </w:rPr>
        <w:t>资金使用更精准高效；二是履职责任更加明确具体，将绩效目标与岗位责任挂钩。发现的问题及原因：一是年初预算与年终决算有差距；二是绩效评价结果应用不足，人员专业能力不足，业务人员不懂财务逻辑，财务人员不了解业务实际。下一步改进措施：一是完善预算绩效管理制度，明确岗位职责，完善人员岗位责任制、财务管理制度以及绩效评价制度等内容，充分实现工作目标，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管理制度进行全面有效的健全和完善，充分有效发挥绩效评价制度的优势和作用。二是增强预算绩效管理的理念，多管齐下宣讲预算绩效管理相关政策，重视绩效预算管理工作，建立预算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的氛</w:t>
      </w:r>
      <w:r>
        <w:rPr>
          <w:rFonts w:hint="eastAsia" w:ascii="仿宋_GB2312" w:hAnsi="仿宋_GB2312" w:eastAsia="仿宋_GB2312"/>
          <w:b w:val="0"/>
          <w:sz w:val="32"/>
          <w:lang w:eastAsia="zh-CN"/>
        </w:rPr>
        <w:t>围和</w:t>
      </w:r>
      <w:r>
        <w:rPr>
          <w:rFonts w:ascii="仿宋_GB2312" w:hAnsi="仿宋_GB2312" w:eastAsia="仿宋_GB2312"/>
          <w:b w:val="0"/>
          <w:sz w:val="32"/>
        </w:rPr>
        <w:t>文化，领导要带头重视，相关科室协调参与，明确科室责任，增强工作人员和领导的绩效管理意识。具体附整体支出绩效自评表，项目支出绩效自评表和评价报告。</w:t>
      </w:r>
    </w:p>
    <w:p w14:paraId="3364A97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207E17C">
        <w:tblPrEx>
          <w:tblCellMar>
            <w:top w:w="0" w:type="dxa"/>
            <w:left w:w="108" w:type="dxa"/>
            <w:bottom w:w="0" w:type="dxa"/>
            <w:right w:w="108" w:type="dxa"/>
          </w:tblCellMar>
        </w:tblPrEx>
        <w:tc>
          <w:tcPr>
            <w:tcW w:w="8840" w:type="dxa"/>
            <w:gridSpan w:val="8"/>
            <w:vAlign w:val="center"/>
          </w:tcPr>
          <w:p w14:paraId="1FB61DF8">
            <w:pPr>
              <w:jc w:val="center"/>
            </w:pPr>
            <w:r>
              <w:rPr>
                <w:rFonts w:ascii="宋体" w:hAnsi="宋体" w:eastAsia="宋体"/>
                <w:sz w:val="24"/>
              </w:rPr>
              <w:t>单位整体支出绩效自评表</w:t>
            </w:r>
          </w:p>
        </w:tc>
      </w:tr>
      <w:tr w14:paraId="02BF0A32">
        <w:tblPrEx>
          <w:tblCellMar>
            <w:top w:w="0" w:type="dxa"/>
            <w:left w:w="108" w:type="dxa"/>
            <w:bottom w:w="0" w:type="dxa"/>
            <w:right w:w="108" w:type="dxa"/>
          </w:tblCellMar>
        </w:tblPrEx>
        <w:tc>
          <w:tcPr>
            <w:tcW w:w="8840" w:type="dxa"/>
            <w:gridSpan w:val="8"/>
            <w:vAlign w:val="center"/>
          </w:tcPr>
          <w:p w14:paraId="18D223C1">
            <w:pPr>
              <w:jc w:val="center"/>
            </w:pPr>
            <w:r>
              <w:rPr>
                <w:rFonts w:ascii="宋体" w:hAnsi="宋体" w:eastAsia="宋体"/>
                <w:sz w:val="24"/>
              </w:rPr>
              <w:t>（2024年度）</w:t>
            </w:r>
          </w:p>
        </w:tc>
      </w:tr>
      <w:tr w14:paraId="66502F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A637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20F4A">
            <w:pPr>
              <w:jc w:val="center"/>
            </w:pPr>
            <w:r>
              <w:rPr>
                <w:rFonts w:ascii="宋体" w:hAnsi="宋体" w:eastAsia="宋体"/>
                <w:sz w:val="16"/>
              </w:rPr>
              <w:t>裕民县国有土地上房屋征收与补偿服务中心</w:t>
            </w:r>
          </w:p>
        </w:tc>
      </w:tr>
      <w:tr w14:paraId="395F2B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D02D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61FF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2084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2E60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AE5C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B712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A710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450EF">
            <w:pPr>
              <w:jc w:val="center"/>
            </w:pPr>
            <w:r>
              <w:rPr>
                <w:rFonts w:ascii="宋体" w:hAnsi="宋体" w:eastAsia="宋体"/>
                <w:sz w:val="16"/>
              </w:rPr>
              <w:t>得分</w:t>
            </w:r>
          </w:p>
        </w:tc>
      </w:tr>
      <w:tr w14:paraId="57021D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F8DB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8661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08F5C">
            <w:pPr>
              <w:jc w:val="center"/>
            </w:pPr>
            <w:r>
              <w:rPr>
                <w:rFonts w:ascii="宋体" w:hAnsi="宋体" w:eastAsia="宋体"/>
                <w:sz w:val="16"/>
              </w:rPr>
              <w:t>87.60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91101">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3F69E">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1CF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040A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510A0">
            <w:pPr>
              <w:jc w:val="center"/>
            </w:pPr>
            <w:r>
              <w:rPr>
                <w:rFonts w:ascii="宋体" w:hAnsi="宋体" w:eastAsia="宋体"/>
                <w:sz w:val="16"/>
              </w:rPr>
              <w:t>10</w:t>
            </w:r>
          </w:p>
        </w:tc>
      </w:tr>
      <w:tr w14:paraId="19BF8A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44A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02D37">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4A7F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4A63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606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729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66E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C81A7">
            <w:pPr>
              <w:jc w:val="center"/>
            </w:pPr>
            <w:r>
              <w:rPr>
                <w:rFonts w:ascii="宋体" w:hAnsi="宋体" w:eastAsia="宋体"/>
                <w:sz w:val="16"/>
              </w:rPr>
              <w:t>-</w:t>
            </w:r>
          </w:p>
        </w:tc>
      </w:tr>
      <w:tr w14:paraId="51C2A8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21F4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2778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8EBFB">
            <w:pPr>
              <w:jc w:val="center"/>
            </w:pPr>
            <w:r>
              <w:rPr>
                <w:rFonts w:ascii="宋体" w:hAnsi="宋体" w:eastAsia="宋体"/>
                <w:sz w:val="16"/>
              </w:rPr>
              <w:t>87.60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63242">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485C5">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F54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FF5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E5E66">
            <w:pPr>
              <w:jc w:val="center"/>
            </w:pPr>
            <w:r>
              <w:rPr>
                <w:rFonts w:ascii="宋体" w:hAnsi="宋体" w:eastAsia="宋体"/>
                <w:sz w:val="16"/>
              </w:rPr>
              <w:t>-</w:t>
            </w:r>
          </w:p>
        </w:tc>
      </w:tr>
      <w:tr w14:paraId="4018CB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F658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A2D4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2C92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12C1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96A1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8E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888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D9A6A">
            <w:pPr>
              <w:jc w:val="center"/>
            </w:pPr>
            <w:r>
              <w:rPr>
                <w:rFonts w:ascii="宋体" w:hAnsi="宋体" w:eastAsia="宋体"/>
                <w:sz w:val="16"/>
              </w:rPr>
              <w:t>-</w:t>
            </w:r>
          </w:p>
        </w:tc>
      </w:tr>
      <w:tr w14:paraId="7FA9C74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01C2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78BF2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F168C3">
            <w:pPr>
              <w:jc w:val="center"/>
            </w:pPr>
            <w:r>
              <w:rPr>
                <w:rFonts w:ascii="宋体" w:hAnsi="宋体" w:eastAsia="宋体"/>
                <w:sz w:val="16"/>
              </w:rPr>
              <w:t>实际完成情况</w:t>
            </w:r>
          </w:p>
        </w:tc>
      </w:tr>
      <w:tr w14:paraId="2095EC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B220D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6DAD63">
            <w:pPr>
              <w:jc w:val="both"/>
            </w:pPr>
            <w:r>
              <w:rPr>
                <w:rFonts w:ascii="宋体" w:hAnsi="宋体" w:eastAsia="宋体"/>
                <w:sz w:val="16"/>
              </w:rPr>
              <w:t>按照裕民县城市建设</w:t>
            </w:r>
            <w:r>
              <w:rPr>
                <w:rFonts w:hint="eastAsia" w:ascii="宋体" w:hAnsi="宋体"/>
                <w:sz w:val="16"/>
                <w:lang w:eastAsia="zh-CN"/>
              </w:rPr>
              <w:t>总体</w:t>
            </w:r>
            <w:r>
              <w:rPr>
                <w:rFonts w:ascii="宋体" w:hAnsi="宋体" w:eastAsia="宋体"/>
                <w:sz w:val="16"/>
              </w:rPr>
              <w:t>规划，推进城区基础设施建设，推动我县城市化进程，完善城市总体规划和棚户区改造工作，认真做好征补工作。保障本单位所有在职人员工资足额按时发放到位，单位车辆、通讯等正常运转基本开支得到保障。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F3A6E5">
            <w:pPr>
              <w:jc w:val="both"/>
            </w:pPr>
            <w:r>
              <w:rPr>
                <w:rFonts w:ascii="宋体" w:hAnsi="宋体" w:eastAsia="宋体"/>
                <w:sz w:val="16"/>
              </w:rPr>
              <w:t>按照裕民县城市建设</w:t>
            </w:r>
            <w:r>
              <w:rPr>
                <w:rFonts w:hint="eastAsia" w:ascii="宋体" w:hAnsi="宋体"/>
                <w:sz w:val="16"/>
                <w:lang w:eastAsia="zh-CN"/>
              </w:rPr>
              <w:t>总体</w:t>
            </w:r>
            <w:r>
              <w:rPr>
                <w:rFonts w:ascii="宋体" w:hAnsi="宋体" w:eastAsia="宋体"/>
                <w:sz w:val="16"/>
              </w:rPr>
              <w:t>规划，推进城区基础设施建设，推动我县城市化进程，完善城市总体规划和老旧房屋置换工作，认真完成房屋置换工作计划。保障了本单位所有在职人员工资足额按时发放到位，单位车辆、通讯等正常运转基本开支得到保障。</w:t>
            </w:r>
          </w:p>
        </w:tc>
      </w:tr>
      <w:tr w14:paraId="7D12AD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D1D1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403D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DDB8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E712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02E8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F830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10CB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26F9E">
            <w:pPr>
              <w:jc w:val="center"/>
            </w:pPr>
            <w:r>
              <w:rPr>
                <w:rFonts w:ascii="宋体" w:hAnsi="宋体" w:eastAsia="宋体"/>
                <w:sz w:val="16"/>
              </w:rPr>
              <w:t>得分</w:t>
            </w:r>
          </w:p>
        </w:tc>
      </w:tr>
      <w:tr w14:paraId="6721BD9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9607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C358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DBBD0">
            <w:pPr>
              <w:jc w:val="center"/>
            </w:pPr>
            <w:r>
              <w:rPr>
                <w:rFonts w:ascii="宋体" w:hAnsi="宋体" w:eastAsia="宋体"/>
                <w:sz w:val="16"/>
              </w:rPr>
              <w:t>完成置换房屋户数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7FB2B">
            <w:pPr>
              <w:jc w:val="center"/>
            </w:pPr>
            <w:r>
              <w:rPr>
                <w:rFonts w:ascii="宋体" w:hAnsi="宋体" w:eastAsia="宋体"/>
                <w:sz w:val="16"/>
              </w:rPr>
              <w:t>&gt;=5户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59E2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8637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188FD">
            <w:pPr>
              <w:jc w:val="center"/>
            </w:pPr>
            <w:r>
              <w:rPr>
                <w:rFonts w:ascii="宋体" w:hAnsi="宋体" w:eastAsia="宋体"/>
                <w:sz w:val="16"/>
              </w:rPr>
              <w:t>9户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82EDB">
            <w:pPr>
              <w:jc w:val="center"/>
            </w:pPr>
            <w:r>
              <w:rPr>
                <w:rFonts w:ascii="宋体" w:hAnsi="宋体" w:eastAsia="宋体"/>
                <w:sz w:val="16"/>
              </w:rPr>
              <w:t>20</w:t>
            </w:r>
          </w:p>
        </w:tc>
      </w:tr>
      <w:tr w14:paraId="0B04B9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824B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A365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09245">
            <w:pPr>
              <w:jc w:val="center"/>
            </w:pPr>
            <w:r>
              <w:rPr>
                <w:rFonts w:ascii="宋体" w:hAnsi="宋体" w:eastAsia="宋体"/>
                <w:sz w:val="16"/>
              </w:rPr>
              <w:t>组织学习《国有土地上房屋征收与补偿条例》次数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B2D5E">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7D37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9348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F4C87">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79E6A">
            <w:pPr>
              <w:jc w:val="center"/>
            </w:pPr>
            <w:r>
              <w:rPr>
                <w:rFonts w:ascii="宋体" w:hAnsi="宋体" w:eastAsia="宋体"/>
                <w:sz w:val="16"/>
              </w:rPr>
              <w:t>15</w:t>
            </w:r>
          </w:p>
        </w:tc>
      </w:tr>
      <w:tr w14:paraId="4D4E98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1410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2FA7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DA537">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96063">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B247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5510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81416">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89658">
            <w:pPr>
              <w:jc w:val="center"/>
            </w:pPr>
            <w:r>
              <w:rPr>
                <w:rFonts w:ascii="宋体" w:hAnsi="宋体" w:eastAsia="宋体"/>
                <w:sz w:val="16"/>
              </w:rPr>
              <w:t>15</w:t>
            </w:r>
          </w:p>
        </w:tc>
      </w:tr>
      <w:tr w14:paraId="20BAA8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2FBE7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331D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58BE9">
            <w:pPr>
              <w:jc w:val="center"/>
            </w:pPr>
            <w:r>
              <w:rPr>
                <w:rFonts w:ascii="宋体" w:hAnsi="宋体" w:eastAsia="宋体"/>
                <w:sz w:val="16"/>
              </w:rPr>
              <w:t>房屋征补政策知晓率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1857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963FB">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A35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F317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8E1AF">
            <w:pPr>
              <w:jc w:val="center"/>
            </w:pPr>
            <w:r>
              <w:rPr>
                <w:rFonts w:ascii="宋体" w:hAnsi="宋体" w:eastAsia="宋体"/>
                <w:sz w:val="16"/>
              </w:rPr>
              <w:t>10</w:t>
            </w:r>
          </w:p>
        </w:tc>
      </w:tr>
      <w:tr w14:paraId="5F4E4F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3A44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F387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4C611">
            <w:pPr>
              <w:jc w:val="center"/>
            </w:pPr>
            <w:r>
              <w:rPr>
                <w:rFonts w:ascii="宋体" w:hAnsi="宋体" w:eastAsia="宋体"/>
                <w:sz w:val="16"/>
              </w:rPr>
              <w:t>征收补偿达标率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E62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8F72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ABFC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A7C2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1B98A">
            <w:pPr>
              <w:jc w:val="center"/>
            </w:pPr>
            <w:r>
              <w:rPr>
                <w:rFonts w:ascii="宋体" w:hAnsi="宋体" w:eastAsia="宋体"/>
                <w:sz w:val="16"/>
              </w:rPr>
              <w:t>15</w:t>
            </w:r>
          </w:p>
        </w:tc>
      </w:tr>
      <w:tr w14:paraId="6D4ED9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EDB9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F21C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370F4">
            <w:pPr>
              <w:jc w:val="center"/>
            </w:pPr>
            <w:r>
              <w:rPr>
                <w:rFonts w:ascii="宋体" w:hAnsi="宋体" w:eastAsia="宋体"/>
                <w:sz w:val="16"/>
              </w:rPr>
              <w:t>征收补偿政策宣传涉及来访群众率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C95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9B8C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042D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331C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ECFCD">
            <w:pPr>
              <w:jc w:val="center"/>
            </w:pPr>
            <w:r>
              <w:rPr>
                <w:rFonts w:ascii="宋体" w:hAnsi="宋体" w:eastAsia="宋体"/>
                <w:sz w:val="16"/>
              </w:rPr>
              <w:t>15</w:t>
            </w:r>
          </w:p>
        </w:tc>
      </w:tr>
    </w:tbl>
    <w:p w14:paraId="5947EB58">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6"/>
        <w:gridCol w:w="616"/>
        <w:gridCol w:w="621"/>
        <w:gridCol w:w="616"/>
        <w:gridCol w:w="616"/>
        <w:gridCol w:w="696"/>
        <w:gridCol w:w="626"/>
        <w:gridCol w:w="696"/>
        <w:gridCol w:w="631"/>
      </w:tblGrid>
      <w:tr w14:paraId="420B4870">
        <w:tblPrEx>
          <w:tblCellMar>
            <w:top w:w="0" w:type="dxa"/>
            <w:left w:w="108" w:type="dxa"/>
            <w:bottom w:w="0" w:type="dxa"/>
            <w:right w:w="108" w:type="dxa"/>
          </w:tblCellMar>
        </w:tblPrEx>
        <w:tc>
          <w:tcPr>
            <w:tcW w:w="8848" w:type="dxa"/>
            <w:gridSpan w:val="14"/>
            <w:vAlign w:val="center"/>
          </w:tcPr>
          <w:p w14:paraId="28E3441C">
            <w:pPr>
              <w:jc w:val="center"/>
            </w:pPr>
            <w:r>
              <w:rPr>
                <w:rFonts w:ascii="宋体" w:hAnsi="宋体" w:eastAsia="宋体"/>
                <w:sz w:val="24"/>
              </w:rPr>
              <w:t>项目支出绩效自评表</w:t>
            </w:r>
          </w:p>
        </w:tc>
      </w:tr>
      <w:tr w14:paraId="3E13B0F9">
        <w:tblPrEx>
          <w:tblCellMar>
            <w:top w:w="0" w:type="dxa"/>
            <w:left w:w="108" w:type="dxa"/>
            <w:bottom w:w="0" w:type="dxa"/>
            <w:right w:w="108" w:type="dxa"/>
          </w:tblCellMar>
        </w:tblPrEx>
        <w:tc>
          <w:tcPr>
            <w:tcW w:w="8848" w:type="dxa"/>
            <w:gridSpan w:val="14"/>
            <w:vAlign w:val="center"/>
          </w:tcPr>
          <w:p w14:paraId="0FC05794">
            <w:pPr>
              <w:jc w:val="center"/>
            </w:pPr>
            <w:r>
              <w:rPr>
                <w:rFonts w:ascii="宋体" w:hAnsi="宋体" w:eastAsia="宋体"/>
                <w:sz w:val="24"/>
              </w:rPr>
              <w:t>(2024年度)</w:t>
            </w:r>
          </w:p>
        </w:tc>
      </w:tr>
      <w:tr w14:paraId="0C6FE6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BF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1E53A7">
            <w:pPr>
              <w:jc w:val="center"/>
            </w:pPr>
            <w:r>
              <w:rPr>
                <w:rFonts w:ascii="宋体" w:hAnsi="宋体" w:eastAsia="宋体"/>
                <w:sz w:val="16"/>
              </w:rPr>
              <w:t>裕征补字</w:t>
            </w:r>
            <w:r>
              <w:rPr>
                <w:rFonts w:hint="eastAsia" w:ascii="宋体" w:hAnsi="宋体"/>
                <w:sz w:val="16"/>
                <w:lang w:eastAsia="zh-CN"/>
              </w:rPr>
              <w:t>〔2024〕9号</w:t>
            </w:r>
            <w:r>
              <w:rPr>
                <w:rFonts w:ascii="宋体" w:hAnsi="宋体" w:eastAsia="宋体"/>
                <w:sz w:val="16"/>
              </w:rPr>
              <w:t>老旧房屋置换所需补偿费用</w:t>
            </w:r>
          </w:p>
        </w:tc>
      </w:tr>
      <w:tr w14:paraId="4823D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D8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DABA9">
            <w:pPr>
              <w:jc w:val="center"/>
            </w:pPr>
            <w:r>
              <w:rPr>
                <w:rFonts w:ascii="宋体" w:hAnsi="宋体" w:eastAsia="宋体"/>
                <w:sz w:val="16"/>
              </w:rPr>
              <w:t>裕民县国有土地上房屋征收与补偿服务中心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01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E473A1">
            <w:pPr>
              <w:jc w:val="center"/>
            </w:pPr>
            <w:r>
              <w:rPr>
                <w:rFonts w:ascii="宋体" w:hAnsi="宋体" w:eastAsia="宋体"/>
                <w:sz w:val="16"/>
              </w:rPr>
              <w:t>裕民县国有土地上房屋征收与补偿服务中心</w:t>
            </w:r>
          </w:p>
        </w:tc>
      </w:tr>
      <w:tr w14:paraId="3B85F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30B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B19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4B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0A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57C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FB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79B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7447">
            <w:pPr>
              <w:jc w:val="center"/>
            </w:pPr>
            <w:r>
              <w:rPr>
                <w:rFonts w:ascii="宋体" w:hAnsi="宋体" w:eastAsia="宋体"/>
                <w:sz w:val="16"/>
              </w:rPr>
              <w:t>得分</w:t>
            </w:r>
          </w:p>
        </w:tc>
      </w:tr>
      <w:tr w14:paraId="73367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58A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A68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F44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9426D">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728A">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A32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13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79DE">
            <w:pPr>
              <w:jc w:val="center"/>
            </w:pPr>
            <w:r>
              <w:rPr>
                <w:rFonts w:ascii="宋体" w:hAnsi="宋体" w:eastAsia="宋体"/>
                <w:sz w:val="16"/>
              </w:rPr>
              <w:t>10.00</w:t>
            </w:r>
          </w:p>
        </w:tc>
      </w:tr>
      <w:tr w14:paraId="51080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15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FA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7BD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E3C7C">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180A">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34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B2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ADFE">
            <w:pPr>
              <w:jc w:val="center"/>
            </w:pPr>
            <w:r>
              <w:rPr>
                <w:rFonts w:ascii="宋体" w:hAnsi="宋体" w:eastAsia="宋体"/>
                <w:sz w:val="16"/>
              </w:rPr>
              <w:t>—</w:t>
            </w:r>
          </w:p>
        </w:tc>
      </w:tr>
      <w:tr w14:paraId="7015F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82B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CB7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9E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FD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36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C8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4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9D27">
            <w:pPr>
              <w:jc w:val="center"/>
            </w:pPr>
            <w:r>
              <w:rPr>
                <w:rFonts w:ascii="宋体" w:hAnsi="宋体" w:eastAsia="宋体"/>
                <w:sz w:val="16"/>
              </w:rPr>
              <w:t>—</w:t>
            </w:r>
          </w:p>
        </w:tc>
      </w:tr>
      <w:tr w14:paraId="01CFC5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1464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8BC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D46F37">
            <w:pPr>
              <w:jc w:val="center"/>
            </w:pPr>
            <w:r>
              <w:rPr>
                <w:rFonts w:ascii="宋体" w:hAnsi="宋体" w:eastAsia="宋体"/>
                <w:sz w:val="16"/>
              </w:rPr>
              <w:t>实际完成情况</w:t>
            </w:r>
          </w:p>
        </w:tc>
      </w:tr>
      <w:tr w14:paraId="0FF5B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912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A3A05">
            <w:pPr>
              <w:jc w:val="both"/>
            </w:pPr>
            <w:r>
              <w:rPr>
                <w:rFonts w:ascii="宋体" w:hAnsi="宋体" w:eastAsia="宋体"/>
                <w:sz w:val="16"/>
              </w:rPr>
              <w:t>在房屋置换工作中1户协议安置楼房面积与实际测绘面积存在误差：安置楼房协议面积是140平方米，实测楼房面积是139.46平方米，每层价格是3658元，经过核算需退还房屋置换户已上缴国库981元，同时申请财政资金发放安置补偿费用994.32元，使涉及的一户房屋置换户居住条件和生活质量得到提高，促进社会和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7A5E91">
            <w:pPr>
              <w:jc w:val="both"/>
            </w:pPr>
            <w:r>
              <w:rPr>
                <w:rFonts w:ascii="宋体" w:hAnsi="宋体" w:eastAsia="宋体"/>
                <w:sz w:val="16"/>
              </w:rPr>
              <w:t>申请财政资金发放安置补偿费用994.32元，使涉及的一户房屋置换户居住条件和生活质量得到提高，促进社会和谐，提升了政府信誉度。</w:t>
            </w:r>
          </w:p>
        </w:tc>
      </w:tr>
      <w:tr w14:paraId="3DE9C5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13F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45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43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21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97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C1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CC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27D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69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75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053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EC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8D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7819">
            <w:pPr>
              <w:jc w:val="center"/>
            </w:pPr>
            <w:r>
              <w:rPr>
                <w:rFonts w:ascii="宋体" w:hAnsi="宋体" w:eastAsia="宋体"/>
                <w:sz w:val="16"/>
              </w:rPr>
              <w:t>偏差原因分析及改进措施</w:t>
            </w:r>
          </w:p>
        </w:tc>
      </w:tr>
      <w:tr w14:paraId="51E27D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CCD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710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F5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EC47">
            <w:pPr>
              <w:jc w:val="center"/>
            </w:pPr>
            <w:r>
              <w:rPr>
                <w:rFonts w:ascii="宋体" w:hAnsi="宋体" w:eastAsia="宋体"/>
                <w:sz w:val="16"/>
              </w:rPr>
              <w:t>实际补偿户数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3D6B">
            <w:pPr>
              <w:jc w:val="center"/>
            </w:pPr>
            <w:r>
              <w:rPr>
                <w:rFonts w:ascii="宋体" w:hAnsi="宋体" w:eastAsia="宋体"/>
                <w:sz w:val="16"/>
              </w:rPr>
              <w:t>&lt;=1户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E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5D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D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F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51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92AC">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4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DE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6E60">
            <w:pPr>
              <w:jc w:val="center"/>
            </w:pPr>
          </w:p>
        </w:tc>
      </w:tr>
      <w:tr w14:paraId="4544E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AC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06D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C8F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BABD">
            <w:pPr>
              <w:jc w:val="center"/>
            </w:pPr>
            <w:r>
              <w:rPr>
                <w:rFonts w:ascii="宋体" w:hAnsi="宋体" w:eastAsia="宋体"/>
                <w:sz w:val="16"/>
              </w:rPr>
              <w:t>项目按期完工合格率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1CC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7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70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A7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9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A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B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7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6D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DA42">
            <w:pPr>
              <w:jc w:val="center"/>
            </w:pPr>
          </w:p>
        </w:tc>
      </w:tr>
      <w:tr w14:paraId="3346E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63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06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6A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F6F8">
            <w:pPr>
              <w:jc w:val="center"/>
            </w:pPr>
            <w:r>
              <w:rPr>
                <w:rFonts w:ascii="宋体" w:hAnsi="宋体" w:eastAsia="宋体"/>
                <w:sz w:val="16"/>
              </w:rPr>
              <w:t>房屋置换合格率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383E">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21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64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A7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A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31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EF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C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CC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D6FF">
            <w:pPr>
              <w:jc w:val="center"/>
            </w:pPr>
          </w:p>
        </w:tc>
      </w:tr>
      <w:tr w14:paraId="66FE3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33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14F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85C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AB4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4D7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0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B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00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8E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74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9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E2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CB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D12F">
            <w:pPr>
              <w:jc w:val="center"/>
            </w:pPr>
          </w:p>
        </w:tc>
      </w:tr>
      <w:tr w14:paraId="6E4FB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93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A9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6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C973">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965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D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0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23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7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60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C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3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68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E3E0">
            <w:pPr>
              <w:jc w:val="center"/>
            </w:pPr>
          </w:p>
        </w:tc>
      </w:tr>
      <w:tr w14:paraId="0669F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09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9D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D1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3B0D">
            <w:pPr>
              <w:jc w:val="center"/>
            </w:pPr>
            <w:r>
              <w:rPr>
                <w:rFonts w:ascii="宋体" w:hAnsi="宋体" w:eastAsia="宋体"/>
                <w:sz w:val="16"/>
              </w:rPr>
              <w:t>补偿资金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895D">
            <w:pPr>
              <w:jc w:val="center"/>
            </w:pPr>
            <w:r>
              <w:rPr>
                <w:rFonts w:ascii="宋体" w:hAnsi="宋体" w:eastAsia="宋体"/>
                <w:sz w:val="16"/>
              </w:rPr>
              <w:t>&lt;=994.32元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7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88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B8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C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5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0231">
            <w:pPr>
              <w:jc w:val="center"/>
            </w:pPr>
            <w:r>
              <w:rPr>
                <w:rFonts w:ascii="宋体" w:hAnsi="宋体" w:eastAsia="宋体"/>
                <w:sz w:val="16"/>
              </w:rPr>
              <w:t>994.32元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1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A9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2211">
            <w:pPr>
              <w:jc w:val="center"/>
            </w:pPr>
          </w:p>
        </w:tc>
      </w:tr>
      <w:tr w14:paraId="5AA5C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D00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741D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9C9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3118">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251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9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81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A4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2A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F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F5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69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359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699A">
            <w:pPr>
              <w:jc w:val="center"/>
            </w:pPr>
          </w:p>
        </w:tc>
      </w:tr>
      <w:tr w14:paraId="61BB1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2DA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DA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03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03AE">
            <w:pPr>
              <w:jc w:val="center"/>
            </w:pPr>
            <w:r>
              <w:rPr>
                <w:rFonts w:ascii="宋体" w:hAnsi="宋体" w:eastAsia="宋体"/>
                <w:sz w:val="16"/>
              </w:rPr>
              <w:t>保障房屋置换户住房质量条件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218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5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9E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FA4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D1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00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D65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A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8C4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4878">
            <w:pPr>
              <w:jc w:val="center"/>
            </w:pPr>
          </w:p>
        </w:tc>
      </w:tr>
      <w:tr w14:paraId="68B433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50FF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287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08C4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E36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3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4A6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9610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4A8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886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83F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BD4931"/>
        </w:tc>
      </w:tr>
    </w:tbl>
    <w:p w14:paraId="6CEF46F1">
      <w:r>
        <w:br w:type="page"/>
      </w:r>
    </w:p>
    <w:p w14:paraId="0A28F195">
      <w:pPr>
        <w:spacing w:line="640" w:lineRule="exact"/>
        <w:ind w:firstLine="640"/>
        <w:jc w:val="both"/>
        <w:outlineLvl w:val="2"/>
      </w:pPr>
      <w:r>
        <w:rPr>
          <w:rFonts w:ascii="黑体" w:hAnsi="黑体" w:eastAsia="黑体"/>
          <w:sz w:val="32"/>
        </w:rPr>
        <w:t>十二、其他需说明的事项</w:t>
      </w:r>
      <w:bookmarkStart w:id="0" w:name="_GoBack"/>
      <w:bookmarkEnd w:id="0"/>
    </w:p>
    <w:p w14:paraId="63B2FA93">
      <w:pPr>
        <w:spacing w:line="580" w:lineRule="exact"/>
        <w:ind w:firstLine="640"/>
        <w:jc w:val="both"/>
      </w:pPr>
      <w:r>
        <w:rPr>
          <w:rFonts w:ascii="仿宋_GB2312" w:hAnsi="仿宋_GB2312" w:eastAsia="仿宋_GB2312"/>
          <w:b w:val="0"/>
          <w:sz w:val="32"/>
        </w:rPr>
        <w:t>本单位无其他需说明的事项。</w:t>
      </w:r>
    </w:p>
    <w:p w14:paraId="4385B699">
      <w:r>
        <w:br w:type="page"/>
      </w:r>
    </w:p>
    <w:p w14:paraId="770AEF92">
      <w:pPr>
        <w:spacing w:line="240" w:lineRule="auto"/>
        <w:jc w:val="center"/>
        <w:outlineLvl w:val="1"/>
      </w:pPr>
      <w:r>
        <w:rPr>
          <w:rFonts w:ascii="黑体" w:hAnsi="黑体" w:eastAsia="黑体"/>
          <w:sz w:val="32"/>
        </w:rPr>
        <w:t>第三部分 专业名词解释</w:t>
      </w:r>
    </w:p>
    <w:p w14:paraId="05C0794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3E32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7CB4C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62DCA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FDD13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EAC0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BF79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EF0A8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F658D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ED0BB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38309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B3457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4B390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EC7F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241A54">
      <w:r>
        <w:br w:type="page"/>
      </w:r>
    </w:p>
    <w:p w14:paraId="52C440BD">
      <w:pPr>
        <w:spacing w:line="240" w:lineRule="auto"/>
        <w:jc w:val="center"/>
        <w:outlineLvl w:val="1"/>
      </w:pPr>
      <w:r>
        <w:rPr>
          <w:rFonts w:ascii="黑体" w:hAnsi="黑体" w:eastAsia="黑体"/>
          <w:sz w:val="32"/>
        </w:rPr>
        <w:t>第四部分 部门决算报表（见附表）</w:t>
      </w:r>
    </w:p>
    <w:p w14:paraId="53B357BF">
      <w:pPr>
        <w:spacing w:line="240" w:lineRule="auto"/>
        <w:ind w:firstLine="640"/>
        <w:jc w:val="both"/>
      </w:pPr>
      <w:r>
        <w:rPr>
          <w:rFonts w:ascii="仿宋_GB2312" w:hAnsi="仿宋_GB2312" w:eastAsia="仿宋_GB2312"/>
          <w:b w:val="0"/>
          <w:sz w:val="32"/>
        </w:rPr>
        <w:t>一、《收入支出决算总表》</w:t>
      </w:r>
    </w:p>
    <w:p w14:paraId="62DD655B">
      <w:pPr>
        <w:spacing w:line="240" w:lineRule="auto"/>
        <w:ind w:firstLine="640"/>
        <w:jc w:val="both"/>
      </w:pPr>
      <w:r>
        <w:rPr>
          <w:rFonts w:ascii="仿宋_GB2312" w:hAnsi="仿宋_GB2312" w:eastAsia="仿宋_GB2312"/>
          <w:b w:val="0"/>
          <w:sz w:val="32"/>
        </w:rPr>
        <w:t>二、《收入决算表》</w:t>
      </w:r>
    </w:p>
    <w:p w14:paraId="3996FE31">
      <w:pPr>
        <w:spacing w:line="240" w:lineRule="auto"/>
        <w:ind w:firstLine="640"/>
        <w:jc w:val="both"/>
      </w:pPr>
      <w:r>
        <w:rPr>
          <w:rFonts w:ascii="仿宋_GB2312" w:hAnsi="仿宋_GB2312" w:eastAsia="仿宋_GB2312"/>
          <w:b w:val="0"/>
          <w:sz w:val="32"/>
        </w:rPr>
        <w:t>三、《支出决算表》</w:t>
      </w:r>
    </w:p>
    <w:p w14:paraId="48D924C3">
      <w:pPr>
        <w:spacing w:line="240" w:lineRule="auto"/>
        <w:ind w:firstLine="640"/>
        <w:jc w:val="both"/>
      </w:pPr>
      <w:r>
        <w:rPr>
          <w:rFonts w:ascii="仿宋_GB2312" w:hAnsi="仿宋_GB2312" w:eastAsia="仿宋_GB2312"/>
          <w:b w:val="0"/>
          <w:sz w:val="32"/>
        </w:rPr>
        <w:t>四、《财政拨款收入支出决算总表》</w:t>
      </w:r>
    </w:p>
    <w:p w14:paraId="681B3342">
      <w:pPr>
        <w:spacing w:line="240" w:lineRule="auto"/>
        <w:ind w:firstLine="640"/>
        <w:jc w:val="both"/>
      </w:pPr>
      <w:r>
        <w:rPr>
          <w:rFonts w:ascii="仿宋_GB2312" w:hAnsi="仿宋_GB2312" w:eastAsia="仿宋_GB2312"/>
          <w:b w:val="0"/>
          <w:sz w:val="32"/>
        </w:rPr>
        <w:t>五、《一般公共预算财政拨款支出决算表》</w:t>
      </w:r>
    </w:p>
    <w:p w14:paraId="242643AC">
      <w:pPr>
        <w:spacing w:line="240" w:lineRule="auto"/>
        <w:ind w:firstLine="640"/>
        <w:jc w:val="both"/>
      </w:pPr>
      <w:r>
        <w:rPr>
          <w:rFonts w:ascii="仿宋_GB2312" w:hAnsi="仿宋_GB2312" w:eastAsia="仿宋_GB2312"/>
          <w:b w:val="0"/>
          <w:sz w:val="32"/>
        </w:rPr>
        <w:t>六、《一般公共预算财政拨款基本支出决算表》</w:t>
      </w:r>
    </w:p>
    <w:p w14:paraId="40794F6A">
      <w:pPr>
        <w:spacing w:line="240" w:lineRule="auto"/>
        <w:ind w:firstLine="640"/>
        <w:jc w:val="both"/>
      </w:pPr>
      <w:r>
        <w:rPr>
          <w:rFonts w:ascii="仿宋_GB2312" w:hAnsi="仿宋_GB2312" w:eastAsia="仿宋_GB2312"/>
          <w:b w:val="0"/>
          <w:sz w:val="32"/>
        </w:rPr>
        <w:t>七、《政府性基金预算财政拨款收入支出决算表》</w:t>
      </w:r>
    </w:p>
    <w:p w14:paraId="2AE94D4C">
      <w:pPr>
        <w:spacing w:line="240" w:lineRule="auto"/>
        <w:ind w:firstLine="640"/>
        <w:jc w:val="both"/>
      </w:pPr>
      <w:r>
        <w:rPr>
          <w:rFonts w:ascii="仿宋_GB2312" w:hAnsi="仿宋_GB2312" w:eastAsia="仿宋_GB2312"/>
          <w:b w:val="0"/>
          <w:sz w:val="32"/>
        </w:rPr>
        <w:t>八、《国有资本经营预算财政拨款收入支出决算表》</w:t>
      </w:r>
    </w:p>
    <w:p w14:paraId="736A8626">
      <w:pPr>
        <w:spacing w:line="240" w:lineRule="auto"/>
        <w:ind w:firstLine="640"/>
        <w:jc w:val="both"/>
      </w:pPr>
      <w:r>
        <w:rPr>
          <w:rFonts w:ascii="仿宋_GB2312" w:hAnsi="仿宋_GB2312" w:eastAsia="仿宋_GB2312"/>
          <w:b w:val="0"/>
          <w:sz w:val="32"/>
        </w:rPr>
        <w:t>九、《财政拨款“三公”经费支出决算表》</w:t>
      </w:r>
    </w:p>
    <w:p w14:paraId="64FDC904">
      <w:pPr>
        <w:spacing w:line="240" w:lineRule="auto"/>
        <w:ind w:firstLine="640"/>
        <w:jc w:val="both"/>
      </w:pPr>
    </w:p>
    <w:p w14:paraId="0E0871E9">
      <w:pPr>
        <w:spacing w:line="240" w:lineRule="auto"/>
        <w:ind w:firstLine="640"/>
        <w:jc w:val="both"/>
      </w:pPr>
    </w:p>
    <w:p w14:paraId="4FA8DCC0">
      <w:pPr>
        <w:spacing w:line="240" w:lineRule="auto"/>
        <w:ind w:firstLine="640"/>
        <w:jc w:val="both"/>
      </w:pPr>
    </w:p>
    <w:p w14:paraId="6EBB5EF0">
      <w:pPr>
        <w:spacing w:line="240" w:lineRule="auto"/>
        <w:ind w:firstLine="640"/>
        <w:jc w:val="both"/>
      </w:pPr>
    </w:p>
    <w:p w14:paraId="1838A88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53C75A-7BA4-431F-AE69-8163EF9F22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129DF66-009C-42B5-9B42-CD6DB701291E}"/>
  </w:font>
  <w:font w:name="仿宋_GB2312">
    <w:panose1 w:val="02010609030101010101"/>
    <w:charset w:val="86"/>
    <w:family w:val="auto"/>
    <w:pitch w:val="default"/>
    <w:sig w:usb0="00000001" w:usb1="080E0000" w:usb2="00000000" w:usb3="00000000" w:csb0="00040000" w:csb1="00000000"/>
    <w:embedRegular r:id="rId3" w:fontKey="{12EF3658-66A6-4AAA-B295-26BCC258FB26}"/>
  </w:font>
  <w:font w:name="楷体_GB2312">
    <w:panose1 w:val="02010609030101010101"/>
    <w:charset w:val="86"/>
    <w:family w:val="auto"/>
    <w:pitch w:val="default"/>
    <w:sig w:usb0="00000001" w:usb1="080E0000" w:usb2="00000000" w:usb3="00000000" w:csb0="00040000" w:csb1="00000000"/>
    <w:embedRegular r:id="rId4" w:fontKey="{726BC85D-4560-4F61-8774-DF859CDEEF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A6C7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535F6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B535F6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034D52"/>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4A0CA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6D2A75"/>
    <w:rsid w:val="55DA564E"/>
    <w:rsid w:val="56A65743"/>
    <w:rsid w:val="56E07045"/>
    <w:rsid w:val="583059FA"/>
    <w:rsid w:val="587E6212"/>
    <w:rsid w:val="5AFC6609"/>
    <w:rsid w:val="5BD46B9E"/>
    <w:rsid w:val="5FA17648"/>
    <w:rsid w:val="5FD320BD"/>
    <w:rsid w:val="60273FE0"/>
    <w:rsid w:val="60571372"/>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745891"/>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4852</Words>
  <Characters>5458</Characters>
  <Lines>0</Lines>
  <Paragraphs>0</Paragraphs>
  <TotalTime>3</TotalTime>
  <ScaleCrop>false</ScaleCrop>
  <LinksUpToDate>false</LinksUpToDate>
  <CharactersWithSpaces>5466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2025-11-07T08:29:10Z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