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1F653">
      <w:pPr>
        <w:keepNext w:val="0"/>
        <w:keepLines w:val="0"/>
        <w:pageBreakBefore w:val="0"/>
        <w:widowControl w:val="0"/>
        <w:kinsoku/>
        <w:wordWrap/>
        <w:overflowPunct/>
        <w:topLinePunct w:val="0"/>
        <w:autoSpaceDE/>
        <w:autoSpaceDN/>
        <w:bidi w:val="0"/>
        <w:adjustRightInd/>
        <w:snapToGrid/>
        <w:spacing w:line="560" w:lineRule="exact"/>
      </w:pPr>
    </w:p>
    <w:p w14:paraId="0F3B62F7">
      <w:pPr>
        <w:keepNext w:val="0"/>
        <w:keepLines w:val="0"/>
        <w:pageBreakBefore w:val="0"/>
        <w:widowControl w:val="0"/>
        <w:kinsoku/>
        <w:wordWrap/>
        <w:overflowPunct/>
        <w:topLinePunct w:val="0"/>
        <w:autoSpaceDE/>
        <w:autoSpaceDN/>
        <w:bidi w:val="0"/>
        <w:adjustRightInd/>
        <w:snapToGrid/>
        <w:spacing w:line="56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2A3E4CC">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14:paraId="62A3B411">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14:paraId="1F164031">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14:paraId="2E7A3808">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14:paraId="79B4E862">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14:paraId="1A55B3E0">
      <w:pPr>
        <w:keepNext w:val="0"/>
        <w:keepLines w:val="0"/>
        <w:pageBreakBefore w:val="0"/>
        <w:widowControl w:val="0"/>
        <w:kinsoku/>
        <w:wordWrap/>
        <w:overflowPunct/>
        <w:topLinePunct w:val="0"/>
        <w:autoSpaceDE/>
        <w:autoSpaceDN/>
        <w:bidi w:val="0"/>
        <w:adjustRightInd/>
        <w:snapToGrid/>
        <w:spacing w:line="56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0C8C9F4">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14:paraId="7F26902D">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1"/>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911BD27">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14:paraId="3D63D39D">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14:paraId="71EF17AD">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14:paraId="1E1B597C">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14:paraId="1B05F832">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14:paraId="05B099CD">
      <w:pPr>
        <w:pStyle w:val="2"/>
        <w:keepNext w:val="0"/>
        <w:keepLines w:val="0"/>
        <w:pageBreakBefore w:val="0"/>
        <w:widowControl w:val="0"/>
        <w:kinsoku/>
        <w:wordWrap/>
        <w:overflowPunct/>
        <w:topLinePunct w:val="0"/>
        <w:autoSpaceDE/>
        <w:autoSpaceDN/>
        <w:bidi w:val="0"/>
        <w:adjustRightInd/>
        <w:snapToGrid/>
        <w:spacing w:line="560" w:lineRule="exact"/>
        <w:rPr>
          <w:rFonts w:hAnsi="宋体" w:eastAsia="仿宋_GB2312" w:cs="宋体"/>
          <w:kern w:val="0"/>
          <w:sz w:val="30"/>
          <w:szCs w:val="30"/>
        </w:rPr>
      </w:pPr>
    </w:p>
    <w:p w14:paraId="59681F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21"/>
          <w:rFonts w:hint="eastAsia" w:ascii="仿宋_GB2312" w:hAnsi="仿宋_GB2312" w:eastAsia="仿宋_GB2312" w:cs="仿宋_GB2312"/>
          <w:b w:val="0"/>
          <w:bCs w:val="0"/>
          <w:spacing w:val="-4"/>
          <w:sz w:val="32"/>
          <w:szCs w:val="32"/>
        </w:rPr>
        <w:t>裕民县农副产品加工企业政府贴息</w:t>
      </w:r>
    </w:p>
    <w:p w14:paraId="289F0BAD">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实施单位（公章）：</w:t>
      </w:r>
      <w:r>
        <w:rPr>
          <w:rStyle w:val="21"/>
          <w:rFonts w:hint="eastAsia" w:ascii="仿宋_GB2312" w:hAnsi="仿宋_GB2312" w:eastAsia="仿宋_GB2312" w:cs="仿宋_GB2312"/>
          <w:b w:val="0"/>
          <w:bCs w:val="0"/>
          <w:spacing w:val="-4"/>
          <w:sz w:val="32"/>
          <w:szCs w:val="32"/>
        </w:rPr>
        <w:t>裕民县商务和工业信息化局</w:t>
      </w:r>
    </w:p>
    <w:p w14:paraId="15CF6731">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Style w:val="21"/>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21"/>
          <w:rFonts w:hint="eastAsia" w:ascii="仿宋_GB2312" w:hAnsi="仿宋_GB2312" w:eastAsia="仿宋_GB2312" w:cs="仿宋_GB2312"/>
          <w:b w:val="0"/>
          <w:bCs w:val="0"/>
          <w:spacing w:val="-4"/>
          <w:sz w:val="32"/>
          <w:szCs w:val="32"/>
        </w:rPr>
        <w:t>裕民县商务和工业信息化局</w:t>
      </w:r>
    </w:p>
    <w:p w14:paraId="4AEED3EA">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21"/>
          <w:rFonts w:hint="eastAsia" w:ascii="仿宋_GB2312" w:hAnsi="仿宋_GB2312" w:eastAsia="仿宋_GB2312" w:cs="仿宋_GB2312"/>
          <w:b w:val="0"/>
          <w:bCs w:val="0"/>
          <w:spacing w:val="-4"/>
          <w:sz w:val="32"/>
          <w:szCs w:val="32"/>
        </w:rPr>
        <w:t>郭伟</w:t>
      </w:r>
    </w:p>
    <w:p w14:paraId="2C1B8A8F">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Style w:val="21"/>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21"/>
          <w:rFonts w:hint="eastAsia" w:ascii="仿宋_GB2312" w:hAnsi="仿宋_GB2312" w:eastAsia="仿宋_GB2312" w:cs="仿宋_GB2312"/>
          <w:b w:val="0"/>
          <w:bCs w:val="0"/>
          <w:spacing w:val="-4"/>
          <w:sz w:val="32"/>
          <w:szCs w:val="32"/>
        </w:rPr>
        <w:t>2025年04月25日</w:t>
      </w:r>
    </w:p>
    <w:p w14:paraId="2940A45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4" w:firstLineChars="200"/>
        <w:textAlignment w:val="auto"/>
        <w:rPr>
          <w:rStyle w:val="21"/>
          <w:rFonts w:hint="eastAsia" w:ascii="黑体" w:hAnsi="黑体" w:eastAsia="黑体"/>
          <w:b w:val="0"/>
          <w:spacing w:val="-4"/>
          <w:sz w:val="32"/>
          <w:szCs w:val="32"/>
        </w:rPr>
      </w:pPr>
      <w:r>
        <w:rPr>
          <w:rStyle w:val="21"/>
          <w:rFonts w:hint="eastAsia" w:ascii="黑体" w:hAnsi="黑体" w:eastAsia="黑体"/>
          <w:b w:val="0"/>
          <w:spacing w:val="-4"/>
          <w:sz w:val="32"/>
          <w:szCs w:val="32"/>
        </w:rPr>
        <w:t>基本情况</w:t>
      </w:r>
    </w:p>
    <w:p w14:paraId="323552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21"/>
          <w:rFonts w:ascii="楷体" w:hAnsi="楷体" w:eastAsia="楷体"/>
          <w:spacing w:val="-4"/>
          <w:sz w:val="32"/>
          <w:szCs w:val="32"/>
        </w:rPr>
      </w:pPr>
      <w:r>
        <w:rPr>
          <w:rStyle w:val="21"/>
          <w:rFonts w:hint="eastAsia" w:ascii="楷体" w:hAnsi="楷体" w:eastAsia="楷体"/>
          <w:spacing w:val="-4"/>
          <w:sz w:val="32"/>
          <w:szCs w:val="32"/>
        </w:rPr>
        <w:t>（一）项目概况</w:t>
      </w:r>
    </w:p>
    <w:p w14:paraId="5888819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1.项目背景</w:t>
      </w:r>
    </w:p>
    <w:p w14:paraId="6EE30A6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为深入贯彻党的二十大和中央经济会议精神，深化落实习近平总书记在企业和专家座谈会的讲话精神，更好发挥县级财政在企业发展过程中的助力作用，减轻企业运营成本，推动企业高质量发展，依据《中华人民共和国中小企业促进法》第一章总则中第三条“国家将促进中小企业发展作为长期发展战略，坚持各类企业权利平等、机会平等、规则平等，对中小企业特别是其中的小型微型企业实行积极扶持、加强引导、完善服务、依法规范、保障权益的方针，为中小企业创立和发展创造有利的环境”；第二章财税支持中第八条“中央财政应当在本级预算中设立中小企业科目，安排中小企业发展专项资金。县级以上地方各级人民政府应当根据实际情况，在本级财政预算中安排中小企业发展专项资金”以及《印发塔城地区关于进一步加大对中小微企业和个体工商户助企纾困力度若干政策措施的通知》（塔行办〔2022〕40号）中第十三条“加大中小微企业融资支持力度。充分用好国家关于‘三农’、小微企业、双创金融债券绿色通道政策，为中小微企业提供融资支持。指导金融机构支持中小微企业应收账款质押等融资，引导核心企业帮助上下游企业开展供应链融资，并积极给予再贴现支持”等内容，计划运用财政资金给予符合条件的农副产品加工企业贷款贴息。</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2.项目主要内容：</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项目主要内容：按照自治区“八大产业集群”建设要求，对符合裕民县产业发展定位的“一花一羊”、粮油、绿色果蔬加工等农产品加工企业从金融机构获得的融资贷款在限定时间内所发生的利息进行政府贴息。</w:t>
      </w:r>
      <w:r>
        <w:cr/>
      </w:r>
      <w:r>
        <w:rPr>
          <w:rStyle w:val="21"/>
          <w:rFonts w:hint="eastAsia" w:ascii="仿宋_GB2312" w:hAnsi="仿宋_GB2312" w:eastAsia="仿宋_GB2312" w:cs="仿宋_GB2312"/>
          <w:b w:val="0"/>
          <w:bCs w:val="0"/>
          <w:spacing w:val="-4"/>
          <w:sz w:val="32"/>
          <w:szCs w:val="32"/>
        </w:rPr>
        <w:t xml:space="preserve">    项目实施情况：裕民县农副产品加工企业政府贴息项目预算资金为113.88万元，</w:t>
      </w:r>
      <w:r>
        <w:rPr>
          <w:rStyle w:val="21"/>
          <w:rFonts w:hint="eastAsia" w:ascii="仿宋_GB2312" w:hAnsi="仿宋_GB2312" w:eastAsia="仿宋_GB2312" w:cs="仿宋_GB2312"/>
          <w:b w:val="0"/>
          <w:bCs w:val="0"/>
          <w:spacing w:val="-4"/>
          <w:sz w:val="32"/>
          <w:szCs w:val="32"/>
          <w:lang w:eastAsia="zh-CN"/>
        </w:rPr>
        <w:t>截至</w:t>
      </w:r>
      <w:r>
        <w:rPr>
          <w:rStyle w:val="21"/>
          <w:rFonts w:hint="eastAsia" w:ascii="仿宋_GB2312" w:hAnsi="仿宋_GB2312" w:eastAsia="仿宋_GB2312" w:cs="仿宋_GB2312"/>
          <w:b w:val="0"/>
          <w:bCs w:val="0"/>
          <w:spacing w:val="-4"/>
          <w:sz w:val="32"/>
          <w:szCs w:val="32"/>
        </w:rPr>
        <w:t>2024年12月31日，已经支付113.84万元，项目按计划正常实行，已经完成了政府贴息企业数量5家，实际完成5家。该项目严格按照计划实施，并有效保障了绩效自评工作的顺利开展。该项目的实施能够缓解企业压力，增强市场竞争力，促进新兴产业发展，支持传统产业转型，保障现有就业岗位，创造新的就业机会，扶持落后县域企业，推动特色产业发展等方面具有重要的必要性，减轻企业运营成本，从而达到推动企业高质量发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3.资金投入和使用情况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（1）资金投入情况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该项目年初预算数113.88万元，全年预算数113.88万元，该项目资金已全部落实到位，资金来源为财政拨款。</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（2）资金使用情况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年初预算数113.88万元，全年预算数113.88万元，全年执行数113.84万元，预算执行率为99.96%，主要用于：企业贷款必须用于发展生产，主要包括原材料收储、生产线技改、扩大厂区建设等，贷款用于其他与生产无关用途的不予给予政府贴息。</w:t>
      </w:r>
    </w:p>
    <w:p w14:paraId="43E04DCC">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（二）项目绩效目标</w:t>
      </w:r>
    </w:p>
    <w:p w14:paraId="058F4D91">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1.总体目标</w:t>
      </w:r>
    </w:p>
    <w:p w14:paraId="138758C5">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为深入贯彻党的二十大和中央经济会议精神，深化落实习近平总书记在企业和专家座谈会的讲话精神，更好发挥县级财政在企业发展过程中的助力作用，减轻企业运营成本，推动企业高质量发展，按照自治区“八大产业集群”建设要求，对符合裕民县产业发展定位的“一花一羊”、粮油、绿色果蔬加工等农产品加工企业从金融机构获得的融资贷款在限定时间内所发生的利息进行政府贴息。政府贴息5家企业。实施该项目减轻企业运营成本，从而达到推动企业高质量发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2.阶段性目标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于2024年1月开始申报，申报条件有企业具有独立企业法人资格，且在裕民县依法注册和税务登记满3年；企业具备健全规范的财务管理制度并按章纳税，能及时向统计、财政等部门提供财务报表、纳税证明和数据信息；企业三年内无违法违纪行为，无重大责任事故、无失信行为、无违法违规使用财政资金行为的企业，经审核网上公布后，2024年9月对符合申报条件的企业在2024年1月至7月期间在各金融机构新贷款资金产生的利息，给予一定比例的政府贴息。</w:t>
      </w:r>
    </w:p>
    <w:p w14:paraId="426B81F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二、绩效评价工作开展情况</w:t>
      </w:r>
    </w:p>
    <w:p w14:paraId="386F0258">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（一）绩效评价目的、对象和范围</w:t>
      </w:r>
    </w:p>
    <w:p w14:paraId="6C18587C">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（1）评估项目实施效果</w:t>
      </w:r>
    </w:p>
    <w:p w14:paraId="14CADD96">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通过对项目预算执行情况及各项绩效目标达成程度的系统性分析，全面、客观地评估项目在预定周期内的实施效果，按照自治区“八大产业集群”建设要求，对符合裕民县产业发展定位的“一花一羊”、粮油、绿色果蔬加工等农产品加工企业从金融机构获得的融资贷款在限定时间内所发生的利息进行政府贴息，从而减轻企业运营成本，推动企业高质量发展等多维度指标，为项目后续的改进与优化提供科学依据。</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（2）提升资源利用效率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（3）强化项目管理责任</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（4）为决策提供支持</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90E51D1">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（5）促进项目持续改进</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3821BB1">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（二）绩效评价原则、评价指标体系、评价方法、评价标准</w:t>
      </w:r>
    </w:p>
    <w:p w14:paraId="49DEA56D">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1.绩效评价原则</w:t>
      </w:r>
    </w:p>
    <w:p w14:paraId="73085340">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本次项目绩效评价遵循以下基本原则：</w:t>
      </w:r>
    </w:p>
    <w:p w14:paraId="120D320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科学公正。绩效评价应当运用科学合理的方法，按照规范的程序，对项目绩效进行客观、公正的反映。</w:t>
      </w:r>
    </w:p>
    <w:p w14:paraId="61FCEC7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w:t>
      </w:r>
    </w:p>
    <w:p w14:paraId="2339DF6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激励约束。绩效评价结果应与预算安排、政策调整、改进管理实质性挂钩，体现奖优罚劣和激励相容导向，有效要安排、低效要压减、无效要问责。</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（4）公开透明。绩效评价结果应依法依规公开，并自觉接受社会监督。</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2.评价指标体系</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绩效评价框架是开展绩效评价的核心。绩效评价框架包括评价准则、关键评价问题、评价指标、数据来源、数据收集方法等。指标体系建立过程如下：</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（1）确定评价指标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（2）确定权重</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确定各个指标相对于项目总体绩效的权重分值。在绩效评价指标体系中，项目决策权重为20分，项目过程权重为20分，项目产出权重为40分，项目效益权重为20分。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（3）确定指标标准值</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指标标准值是绩效评价指标的尺度，既要反映同类项目的先进水平，又要符合项目的实际绩效水平。具体采用计划标准等确定此次绩效评价指标标准值。</w:t>
      </w:r>
    </w:p>
    <w:p w14:paraId="1FBAE2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绩效评价总分值100分，根据综合评分结果，90（含）-100分为优、80（含）-90分为良、60（含）-80分为中、60分以下为差。</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具体评价指标体系详情见附件1</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3.绩效评价方法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本次评价指标中，既有定性指标又有定量指标，各类指标因考核内容不同和客观标准不同存在较大差异，因此核定具体指标时采用了不同方法，具体评价方法如下：</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4.评价标准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绩效评价标准通常包括计划标准、行业标准、历史标准等，用于对绩效指标完成情况进行比较、分析、评价。本次评价主要采用了指以预先制定的目标、计划、预算、定额等作为评价标准。</w:t>
      </w:r>
    </w:p>
    <w:p w14:paraId="1B42A7C0">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（三）绩效评价工作过程</w:t>
      </w:r>
    </w:p>
    <w:p w14:paraId="31826A79">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（1）前期准备与规划</w:t>
      </w:r>
    </w:p>
    <w:p w14:paraId="78D409D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在项目绩效评价工作启动之初，成立了专门的评价工作小组，小组成员由总负责领导，分管业务领导、业务骨干、财务等人员组成，确保从多角度、全方位对项目绩效进行评价。同时，明确了评价工作的目标、范围、重点及时间安排，制定了详细的工作计划，为评价工作的顺利开展奠定了坚实基础。</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（2）指标体系构建</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（3）数据收集与整理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（4）数据分析与评估</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（5）报告撰写与反馈</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（6）后续跟踪与改进</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BC878F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三、综合评价情况及评价结论</w:t>
      </w:r>
    </w:p>
    <w:p w14:paraId="4852197B">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（一）评价情况</w:t>
      </w:r>
    </w:p>
    <w:p w14:paraId="0AD8848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楷体" w:hAnsi="楷体" w:eastAsia="楷体"/>
          <w:b w:val="0"/>
          <w:bCs w:val="0"/>
          <w:spacing w:val="-4"/>
          <w:sz w:val="32"/>
          <w:szCs w:val="32"/>
        </w:rPr>
      </w:pPr>
      <w:r>
        <w:rPr>
          <w:rStyle w:val="21"/>
          <w:rFonts w:hint="eastAsia" w:ascii="仿宋_GB2312" w:hAnsi="仿宋_GB2312" w:eastAsia="仿宋_GB2312" w:cs="仿宋_GB2312"/>
          <w:b w:val="0"/>
          <w:bCs w:val="0"/>
          <w:spacing w:val="-4"/>
          <w:sz w:val="32"/>
          <w:szCs w:val="32"/>
        </w:rPr>
        <w:t>本项目的综合评价基于对项目各方面绩效的深入分析与评估。从项目目标的达成情况来看，裕民县农副产品加工企业政府贴息在政府贴息发放企业数量及发放准确率等方面表现出色，达到了预期的标准与要求。同时，项目也在更好发挥县级财政在企业发展过程中的助力作用，减轻企业运营成本，推动企业高质量发展取得了显著的成效，如申报企业5家，审批企业5家，根据实施方案内容裕民县产业发展定位的“一花一羊”、粮油、绿色果蔬加工等农产品加工企业2024年发生的贷款利息全部已政府贴息等。</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在项目管理方面，裕民县商务和工业信息化局通过有效的规划、组织与协调，项目得以顺利实施，并在预算与时间上保持了良好的控制。</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从项目效益的角度来看，本项目不仅实现了预期的减轻企业压力等方面产生了积极的影响。具体而言，推动裕民县产业发展定位的“一花一羊”、粮油、绿色果蔬加工等农产品加工企业的高质量发展等方面的提升，为项目的利益相关者带来了实实在在的利益。</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综上所述，裕民县农副产品加工企业政府贴息项目在绩效评价中表现出色，达到了项目的预期目标，并在多个方面取得了显著的成效。</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（二）评价结论</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100%。项目过程类指标权重为20分，得分为19.99分，得分率为 99.95%。项目产出类指标权重为40分，得分为39.96分，得分率为99.9%。项目效益类指标权重为20分，得分为20分，得分率为100%。具体打分情况详见：附件1综合评分表。表1综合评分表</w:t>
      </w:r>
      <w:r>
        <w:cr/>
      </w:r>
      <w:r>
        <w:rPr>
          <w:rStyle w:val="21"/>
          <w:rFonts w:hint="eastAsia" w:ascii="仿宋_GB2312" w:hAnsi="仿宋_GB2312" w:eastAsia="仿宋_GB2312" w:cs="仿宋_GB2312"/>
          <w:b w:val="0"/>
          <w:bCs w:val="0"/>
          <w:spacing w:val="-4"/>
          <w:sz w:val="32"/>
          <w:szCs w:val="32"/>
          <w:lang w:val="en-US" w:eastAsia="zh-CN"/>
        </w:rPr>
        <w:t xml:space="preserve">  </w:t>
      </w:r>
    </w:p>
    <w:tbl>
      <w:tblPr>
        <w:tblStyle w:val="18"/>
        <w:tblW w:w="8760" w:type="dxa"/>
        <w:jc w:val="center"/>
        <w:tblLayout w:type="fixed"/>
        <w:tblCellMar>
          <w:top w:w="0" w:type="dxa"/>
          <w:left w:w="108" w:type="dxa"/>
          <w:bottom w:w="0" w:type="dxa"/>
          <w:right w:w="108" w:type="dxa"/>
        </w:tblCellMar>
      </w:tblPr>
      <w:tblGrid>
        <w:gridCol w:w="2787"/>
        <w:gridCol w:w="1927"/>
        <w:gridCol w:w="2023"/>
        <w:gridCol w:w="2023"/>
      </w:tblGrid>
      <w:tr w14:paraId="701916A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34B219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670B84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1ED439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24F0C0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72E2AD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0A584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691F07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51D18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F429D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45DFD42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23CE0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6F00A5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5723F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14:paraId="7DE946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99.95</w:t>
            </w:r>
          </w:p>
        </w:tc>
      </w:tr>
      <w:tr w14:paraId="05875BB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251C6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71F5E9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A605E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39.96</w:t>
            </w:r>
          </w:p>
        </w:tc>
        <w:tc>
          <w:tcPr>
            <w:tcW w:w="2023" w:type="dxa"/>
            <w:tcBorders>
              <w:top w:val="nil"/>
              <w:left w:val="nil"/>
              <w:bottom w:val="single" w:color="auto" w:sz="4" w:space="0"/>
              <w:right w:val="single" w:color="auto" w:sz="4" w:space="0"/>
            </w:tcBorders>
            <w:shd w:val="clear" w:color="auto" w:fill="auto"/>
            <w:vAlign w:val="center"/>
          </w:tcPr>
          <w:p w14:paraId="076383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99.9</w:t>
            </w:r>
          </w:p>
        </w:tc>
      </w:tr>
      <w:tr w14:paraId="1F07B26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FCA2C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22E570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D003E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FE674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217D6B0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E8E47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37DBDE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F2359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99.95</w:t>
            </w:r>
          </w:p>
        </w:tc>
        <w:tc>
          <w:tcPr>
            <w:tcW w:w="2023" w:type="dxa"/>
            <w:tcBorders>
              <w:top w:val="nil"/>
              <w:left w:val="nil"/>
              <w:bottom w:val="single" w:color="auto" w:sz="4" w:space="0"/>
              <w:right w:val="single" w:color="auto" w:sz="4" w:space="0"/>
            </w:tcBorders>
            <w:shd w:val="clear" w:color="auto" w:fill="auto"/>
            <w:vAlign w:val="center"/>
          </w:tcPr>
          <w:p w14:paraId="7D5560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99.95</w:t>
            </w:r>
          </w:p>
        </w:tc>
      </w:tr>
    </w:tbl>
    <w:p w14:paraId="1768F443">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21"/>
          <w:rFonts w:ascii="黑体" w:hAnsi="黑体" w:eastAsia="黑体"/>
        </w:rPr>
      </w:pPr>
      <w:r>
        <w:rPr>
          <w:rStyle w:val="21"/>
          <w:rFonts w:hint="eastAsia" w:ascii="黑体" w:hAnsi="黑体" w:eastAsia="黑体"/>
          <w:b w:val="0"/>
          <w:spacing w:val="-4"/>
          <w:sz w:val="32"/>
          <w:szCs w:val="32"/>
        </w:rPr>
        <w:t>四、绩效评价指标分析</w:t>
      </w:r>
      <w:r>
        <w:rPr>
          <w:rStyle w:val="21"/>
          <w:rFonts w:hint="eastAsia" w:ascii="黑体" w:hAnsi="黑体" w:eastAsia="黑体"/>
        </w:rPr>
        <w:t xml:space="preserve"> </w:t>
      </w:r>
    </w:p>
    <w:p w14:paraId="16C7DA67">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21"/>
          <w:rFonts w:hint="eastAsia" w:ascii="仿宋_GB2312" w:hAnsi="仿宋_GB2312" w:eastAsia="仿宋_GB2312" w:cs="仿宋_GB2312"/>
          <w:spacing w:val="-4"/>
          <w:sz w:val="32"/>
          <w:szCs w:val="32"/>
        </w:rPr>
        <w:t>项目决策情况</w:t>
      </w:r>
    </w:p>
    <w:p w14:paraId="0A439E30">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项目决策类指标包括项目立项、绩效目标和资金投入三方面的内容，由6个三级指标构成，权重分值为20分，实际得分20分，得分率为100%。</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1.项目立项</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（1）立项依据充分性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立项符合国家相关法律法规及《关于同意&lt;2024年裕民县农副产品加工企业政府贴息工作方案&gt;的批复》（裕政批[2024]93号）的批复，依据《中华人民共和国中小企业促进法》第一章总则中第三条“国家将促进中小企业发展作为长期发展战略，坚持各类企业权利平等、机会平等、规则平等，对中小企业特别是其中的小型微型企业实行积极扶持、加强引导、完善服务、依法规范、保障权益的方针，为中小企业创立和发展创造有利的环境”；第二章财税支持中第八条“中央财政应当在本级预算中设立中小企业科目，安排中小企业发展专项资金。县级以上地方各级人民政府应当根据实际情况，在本级财政预算中安排中小企业发展专项资金”以及《印发塔城地区关于进一步加大对中小微企业和个体工商户助企纾困力度若干政策措施的通知》（塔行办〔2022〕40号）中第十三条“加大中小微企业融资支持力度。充分用好国家关于‘三农’、小微企业、双创金融债券绿色通道政策，为中小微企业提供融资支持要求，围绕本年度工作重点和工作计划制定经费预算，属于公共财政支持范围。本项目与部门内部其他相关项目不重复。部门发展规划及职能文件等归档完整。</w:t>
      </w:r>
    </w:p>
    <w:p w14:paraId="5222DEB8">
      <w:pPr>
        <w:keepNext w:val="0"/>
        <w:keepLines w:val="0"/>
        <w:pageBreakBefore w:val="0"/>
        <w:widowControl w:val="0"/>
        <w:numPr>
          <w:ilvl w:val="0"/>
          <w:numId w:val="3"/>
        </w:numPr>
        <w:tabs>
          <w:tab w:val="center" w:pos="4295"/>
        </w:tabs>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立项程序规范性</w:t>
      </w:r>
    </w:p>
    <w:p w14:paraId="52D609F3">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根据决策依据编制发放工作实施方案，业务人员与部门分管领导进行沟通、分析确定经费预算计划，上党组会研究确定最终方案。之后最终方案上报县人民政府会议研究决定，县人民政府确定方案批复后，根据方案进一步实施。</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2.绩效目标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（1）绩效目标合理性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（2）绩效指标明确性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3.资金投入</w:t>
      </w:r>
    </w:p>
    <w:p w14:paraId="1D938A80">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312" w:firstLineChars="100"/>
        <w:textAlignment w:val="auto"/>
        <w:rPr>
          <w:rStyle w:val="21"/>
          <w:rFonts w:hint="eastAsia" w:ascii="仿宋_GB2312" w:hAnsi="仿宋_GB2312" w:eastAsia="仿宋_GB2312" w:cs="仿宋_GB2312"/>
          <w:b w:val="0"/>
          <w:bCs w:val="0"/>
          <w:spacing w:val="-4"/>
          <w:sz w:val="32"/>
          <w:szCs w:val="32"/>
          <w:lang w:eastAsia="zh-CN"/>
        </w:rPr>
      </w:pPr>
      <w:r>
        <w:rPr>
          <w:rStyle w:val="21"/>
          <w:rFonts w:hint="eastAsia" w:ascii="仿宋_GB2312" w:hAnsi="仿宋_GB2312" w:eastAsia="仿宋_GB2312" w:cs="仿宋_GB2312"/>
          <w:b w:val="0"/>
          <w:bCs w:val="0"/>
          <w:spacing w:val="-4"/>
          <w:sz w:val="32"/>
          <w:szCs w:val="32"/>
        </w:rPr>
        <w:t>（1）预算编制科学性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（2）资金分配合理性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21"/>
          <w:rFonts w:hint="eastAsia" w:ascii="仿宋_GB2312" w:hAnsi="仿宋_GB2312" w:eastAsia="仿宋_GB2312" w:cs="仿宋_GB2312"/>
          <w:b w:val="0"/>
          <w:bCs w:val="0"/>
          <w:spacing w:val="-4"/>
          <w:sz w:val="32"/>
          <w:szCs w:val="32"/>
          <w:lang w:eastAsia="zh-CN"/>
        </w:rPr>
        <w:tab/>
      </w:r>
    </w:p>
    <w:p w14:paraId="3A04261B">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21"/>
          <w:rFonts w:hint="eastAsia" w:ascii="仿宋_GB2312" w:hAnsi="仿宋_GB2312" w:eastAsia="仿宋_GB2312" w:cs="仿宋_GB2312"/>
          <w:spacing w:val="-4"/>
          <w:sz w:val="32"/>
          <w:szCs w:val="32"/>
        </w:rPr>
        <w:t>项目过程情况</w:t>
      </w:r>
    </w:p>
    <w:p w14:paraId="51CD4E8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项目过程类指标包括资金管理和组织实施两方面的内容，由5个三级指标构成，权重分值为20分，实际得分19.99分，得分率为99.95%。</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1.资金管理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（1）资金到位率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本项目总投资113.88万元，财政资金及时足额到位，到位率100%，预算资金按计划进度执行。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（2）预算执行率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预算编制较为详细，项目资金支出总体能够按照预算执行，预算资金支出113.84万元，预算执行率为99.96%。</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（3）资金使用合规性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的资金使用严格遵循了《中华人民共和国预算法》《中华人民共和国会计法》《政府会计准则-基本准则》、政府会计具体准则、《政府会计制度-行政事业单位会计科目和报表》等规章制度确保了资金的合规性与安全性。在资金使用过程中，我们建立了完善的财务管理体系，对资金的流动进行了全程监控与记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AFF32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29" w:leftChars="252"/>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lang w:val="en-US" w:eastAsia="zh-CN"/>
        </w:rPr>
        <w:t>2.</w:t>
      </w:r>
      <w:r>
        <w:rPr>
          <w:rStyle w:val="21"/>
          <w:rFonts w:hint="eastAsia" w:ascii="仿宋_GB2312" w:hAnsi="仿宋_GB2312" w:eastAsia="仿宋_GB2312" w:cs="仿宋_GB2312"/>
          <w:b w:val="0"/>
          <w:bCs w:val="0"/>
          <w:spacing w:val="-4"/>
          <w:sz w:val="32"/>
          <w:szCs w:val="32"/>
        </w:rPr>
        <w:t>组织实施</w:t>
      </w:r>
    </w:p>
    <w:p w14:paraId="7EA7CC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29" w:leftChars="252"/>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（1）管理制度健全性</w:t>
      </w:r>
    </w:p>
    <w:p w14:paraId="0E9CCA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6"/>
          <w:w w:val="98"/>
          <w:sz w:val="32"/>
          <w:szCs w:val="32"/>
        </w:rPr>
      </w:pPr>
      <w:r>
        <w:rPr>
          <w:rStyle w:val="21"/>
          <w:rFonts w:hint="eastAsia" w:ascii="仿宋_GB2312" w:hAnsi="仿宋_GB2312" w:eastAsia="仿宋_GB2312" w:cs="仿宋_GB2312"/>
          <w:b w:val="0"/>
          <w:bCs w:val="0"/>
          <w:spacing w:val="-4"/>
          <w:sz w:val="32"/>
          <w:szCs w:val="32"/>
        </w:rPr>
        <w:t>本项目拥有一套完善、健全的管理制度体系《裕民县农副产品加工企业政府贴息工作方案》，为项目的成功实施提供了坚实的制度保障。项目管理制度的制定紧密结合了项目的特点与实际情况，涵盖了项目的策划、组织、实施、监控与收尾等各个环节。</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在制度设计上，我们注重了制度的科学性与可操作性，确保制度能够切实指导项目的执行与管理。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（2）制度执行有效性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6"/>
          <w:w w:val="98"/>
          <w:sz w:val="32"/>
          <w:szCs w:val="32"/>
        </w:rPr>
        <w:t>综上所述，本项目的管理制度在执行过程中表现出了高度的有效性，既确保了项目的顺利进行，又实现了项目目标的有效达成。</w:t>
      </w:r>
    </w:p>
    <w:p w14:paraId="01F7CEDA">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项目产出情况</w:t>
      </w:r>
    </w:p>
    <w:p w14:paraId="19FA49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项目产出类指标包括产出数量、产出质量、产出时效、产出成本四方面的内容，由8个三级指标构成，权重分为40分，实际得分39.96分，得分率为99.9%。具体产出指标完成情况如下：</w:t>
      </w:r>
    </w:p>
    <w:p w14:paraId="033580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①数量指标：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指标1：贴息企业数，指标值：≥5家，实际完成值：5家，指标完成率100 %。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②质量指标：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指标1：贴息资金发放准确率，指标值：=100%，实际完成值：100%，指标完成率100 %。</w:t>
      </w:r>
    </w:p>
    <w:p w14:paraId="5F5CFCE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③时效指标：</w:t>
      </w:r>
    </w:p>
    <w:p w14:paraId="14E2F39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指标1：贴息支付及时率，指标值：=100%，实际完成值：100%，指标完成率100 %。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④成本指标：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经济成本指标：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指标1：裕民县汇河农业发展有限公司政府贴息成本，指标值：≦14.2万元，实际完成值：14.2万元，指标完成率100 %。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指标2：新疆谢利盖畜牧有限责任公司政府贴息成本，指标值：≦29.22万元，实际完成值：29.22万元，指标完成率100 %。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指标3：裕民县众品农场商贸有限公司政府贴息成本，指标值：≦33.77万元，实际完成值：33.72万元，指标完成率99.85 %。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指标4：新疆金诚恒达商贸有限公司政府贴息成本，指标值：≦23.95万元，实际完成值：23.95万元，指标完成率100 %。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指标5：新疆塔牧巴什拜羊有限责任公司政府贴息成本，指标值：≦12.74万元，实际完成值：12.74万元，指标完成率100 %。</w:t>
      </w:r>
    </w:p>
    <w:p w14:paraId="6B7505B4">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21"/>
          <w:rFonts w:hint="eastAsia" w:ascii="仿宋_GB2312" w:hAnsi="仿宋_GB2312" w:eastAsia="仿宋_GB2312" w:cs="仿宋_GB2312"/>
          <w:spacing w:val="-4"/>
          <w:sz w:val="32"/>
          <w:szCs w:val="32"/>
        </w:rPr>
        <w:t>项目效益情况</w:t>
      </w:r>
    </w:p>
    <w:p w14:paraId="4F2F080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1.实施效益</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经济效益指标：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指标1：推动企业高质量发展，指标值：有所发展，实际完成值：有所发展，指标完成率100 %。</w:t>
      </w:r>
    </w:p>
    <w:p w14:paraId="5E907C49">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24" w:firstLineChars="200"/>
        <w:rPr>
          <w:rStyle w:val="21"/>
          <w:rFonts w:hint="eastAsia" w:ascii="仿宋_GB2312" w:hAnsi="仿宋_GB2312" w:eastAsia="仿宋_GB2312" w:cs="仿宋_GB2312"/>
          <w:b w:val="0"/>
          <w:bCs w:val="0"/>
          <w:spacing w:val="-4"/>
          <w:sz w:val="32"/>
          <w:szCs w:val="32"/>
          <w:lang w:eastAsia="zh-CN"/>
        </w:rPr>
      </w:pPr>
      <w:r>
        <w:rPr>
          <w:rStyle w:val="21"/>
          <w:rFonts w:hint="eastAsia" w:ascii="仿宋_GB2312" w:hAnsi="仿宋_GB2312" w:eastAsia="仿宋_GB2312" w:cs="仿宋_GB2312"/>
          <w:b w:val="0"/>
          <w:bCs w:val="0"/>
          <w:spacing w:val="-4"/>
          <w:sz w:val="32"/>
          <w:szCs w:val="32"/>
          <w:lang w:val="en-US" w:eastAsia="zh-CN"/>
        </w:rPr>
        <w:t>2.</w:t>
      </w:r>
      <w:r>
        <w:rPr>
          <w:rStyle w:val="21"/>
          <w:rFonts w:hint="eastAsia" w:ascii="仿宋_GB2312" w:hAnsi="仿宋_GB2312" w:eastAsia="仿宋_GB2312" w:cs="仿宋_GB2312"/>
          <w:b w:val="0"/>
          <w:bCs w:val="0"/>
          <w:spacing w:val="-4"/>
          <w:sz w:val="32"/>
          <w:szCs w:val="32"/>
          <w:lang w:eastAsia="zh-CN"/>
        </w:rPr>
        <w:t>满意度</w:t>
      </w:r>
    </w:p>
    <w:p w14:paraId="6068812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指标1：</w:t>
      </w:r>
      <w:r>
        <w:rPr>
          <w:rStyle w:val="21"/>
          <w:rFonts w:hint="eastAsia" w:ascii="仿宋_GB2312" w:hAnsi="仿宋_GB2312" w:eastAsia="仿宋_GB2312" w:cs="仿宋_GB2312"/>
          <w:b w:val="0"/>
          <w:bCs w:val="0"/>
          <w:spacing w:val="-4"/>
          <w:sz w:val="32"/>
          <w:szCs w:val="32"/>
          <w:lang w:eastAsia="zh-CN"/>
        </w:rPr>
        <w:t>受益企业满意度</w:t>
      </w:r>
      <w:r>
        <w:rPr>
          <w:rStyle w:val="21"/>
          <w:rFonts w:hint="eastAsia" w:ascii="仿宋_GB2312" w:hAnsi="仿宋_GB2312" w:eastAsia="仿宋_GB2312" w:cs="仿宋_GB2312"/>
          <w:b w:val="0"/>
          <w:bCs w:val="0"/>
          <w:spacing w:val="-4"/>
          <w:sz w:val="32"/>
          <w:szCs w:val="32"/>
        </w:rPr>
        <w:t>，指标值：≥</w:t>
      </w:r>
      <w:r>
        <w:rPr>
          <w:rStyle w:val="21"/>
          <w:rFonts w:hint="eastAsia" w:ascii="仿宋_GB2312" w:hAnsi="仿宋_GB2312" w:eastAsia="仿宋_GB2312" w:cs="仿宋_GB2312"/>
          <w:b w:val="0"/>
          <w:bCs w:val="0"/>
          <w:spacing w:val="-4"/>
          <w:sz w:val="32"/>
          <w:szCs w:val="32"/>
          <w:lang w:val="en-US" w:eastAsia="zh-CN"/>
        </w:rPr>
        <w:t>90%</w:t>
      </w:r>
      <w:r>
        <w:rPr>
          <w:rStyle w:val="21"/>
          <w:rFonts w:hint="eastAsia" w:ascii="仿宋_GB2312" w:hAnsi="仿宋_GB2312" w:eastAsia="仿宋_GB2312" w:cs="仿宋_GB2312"/>
          <w:b w:val="0"/>
          <w:bCs w:val="0"/>
          <w:spacing w:val="-4"/>
          <w:sz w:val="32"/>
          <w:szCs w:val="32"/>
        </w:rPr>
        <w:t>，实际完成值：</w:t>
      </w:r>
      <w:r>
        <w:rPr>
          <w:rStyle w:val="21"/>
          <w:rFonts w:hint="eastAsia" w:ascii="仿宋_GB2312" w:hAnsi="仿宋_GB2312" w:eastAsia="仿宋_GB2312" w:cs="仿宋_GB2312"/>
          <w:b w:val="0"/>
          <w:bCs w:val="0"/>
          <w:spacing w:val="-4"/>
          <w:sz w:val="32"/>
          <w:szCs w:val="32"/>
          <w:lang w:val="en-US" w:eastAsia="zh-CN"/>
        </w:rPr>
        <w:t>90%</w:t>
      </w:r>
      <w:r>
        <w:rPr>
          <w:rStyle w:val="21"/>
          <w:rFonts w:hint="eastAsia" w:ascii="仿宋_GB2312" w:hAnsi="仿宋_GB2312" w:eastAsia="仿宋_GB2312" w:cs="仿宋_GB2312"/>
          <w:b w:val="0"/>
          <w:bCs w:val="0"/>
          <w:spacing w:val="-4"/>
          <w:sz w:val="32"/>
          <w:szCs w:val="32"/>
        </w:rPr>
        <w:t>，指标完成率100 %。</w:t>
      </w:r>
    </w:p>
    <w:p w14:paraId="6BF511EE">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黑体" w:hAnsi="黑体" w:eastAsia="黑体" w:cs="黑体"/>
          <w:b/>
          <w:bCs w:val="0"/>
          <w:spacing w:val="-4"/>
          <w:sz w:val="32"/>
          <w:szCs w:val="32"/>
        </w:rPr>
      </w:pPr>
      <w:r>
        <w:rPr>
          <w:rStyle w:val="21"/>
          <w:rFonts w:hint="eastAsia" w:ascii="黑体" w:hAnsi="黑体" w:eastAsia="黑体" w:cs="黑体"/>
          <w:b/>
          <w:bCs w:val="0"/>
          <w:spacing w:val="-4"/>
          <w:sz w:val="32"/>
          <w:szCs w:val="32"/>
        </w:rPr>
        <w:t>五、预算执行进度与绩效指标偏差</w:t>
      </w:r>
    </w:p>
    <w:p w14:paraId="1DD5ED18">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b w:val="0"/>
          <w:bCs w:val="0"/>
          <w:spacing w:val="-4"/>
          <w:sz w:val="32"/>
          <w:szCs w:val="32"/>
        </w:rPr>
        <w:t>裕民县农副产品加工企业政府贴息项目年初预算113.88万元，全年预算113.88万元，实际支出113.84万元，预算执行率为99.96%，项目绩效指标总体完成率为99.98%，总体偏差率为0.02%，偏差原因：无。</w:t>
      </w:r>
    </w:p>
    <w:p w14:paraId="32837390">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24" w:firstLineChars="200"/>
        <w:textAlignment w:val="auto"/>
        <w:rPr>
          <w:rStyle w:val="21"/>
          <w:rFonts w:hint="eastAsia" w:ascii="黑体" w:hAnsi="黑体" w:eastAsia="黑体"/>
          <w:b w:val="0"/>
          <w:spacing w:val="-4"/>
          <w:sz w:val="32"/>
          <w:szCs w:val="32"/>
        </w:rPr>
      </w:pPr>
      <w:r>
        <w:rPr>
          <w:rStyle w:val="21"/>
          <w:rFonts w:hint="eastAsia" w:ascii="黑体" w:hAnsi="黑体" w:eastAsia="黑体"/>
          <w:b w:val="0"/>
          <w:spacing w:val="-4"/>
          <w:sz w:val="32"/>
          <w:szCs w:val="32"/>
        </w:rPr>
        <w:t>主要经验及做法、存在的问题及原因分析</w:t>
      </w:r>
    </w:p>
    <w:p w14:paraId="189D537E">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b/>
          <w:bCs/>
          <w:spacing w:val="-4"/>
          <w:sz w:val="32"/>
          <w:szCs w:val="32"/>
        </w:rPr>
      </w:pPr>
      <w:r>
        <w:rPr>
          <w:rStyle w:val="21"/>
          <w:rFonts w:hint="eastAsia" w:ascii="仿宋_GB2312" w:hAnsi="仿宋_GB2312" w:eastAsia="仿宋_GB2312" w:cs="仿宋_GB2312"/>
          <w:b/>
          <w:bCs/>
          <w:spacing w:val="-4"/>
          <w:sz w:val="32"/>
          <w:szCs w:val="32"/>
        </w:rPr>
        <w:t>主要经验及做法</w:t>
      </w:r>
    </w:p>
    <w:p w14:paraId="1A0688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bCs/>
          <w:spacing w:val="-4"/>
          <w:sz w:val="32"/>
          <w:szCs w:val="32"/>
        </w:rPr>
      </w:pPr>
      <w:r>
        <w:rPr>
          <w:rStyle w:val="21"/>
          <w:rFonts w:hint="eastAsia" w:ascii="仿宋_GB2312" w:hAnsi="仿宋_GB2312" w:eastAsia="仿宋_GB2312" w:cs="仿宋_GB2312"/>
          <w:b w:val="0"/>
          <w:bCs w:val="0"/>
          <w:spacing w:val="-4"/>
          <w:sz w:val="32"/>
          <w:szCs w:val="32"/>
          <w:lang w:val="en-US" w:eastAsia="zh-CN"/>
        </w:rPr>
        <w:t>1.</w:t>
      </w:r>
      <w:r>
        <w:rPr>
          <w:rStyle w:val="21"/>
          <w:rFonts w:hint="eastAsia" w:ascii="仿宋_GB2312" w:hAnsi="仿宋_GB2312" w:eastAsia="仿宋_GB2312" w:cs="仿宋_GB2312"/>
          <w:b w:val="0"/>
          <w:bCs w:val="0"/>
          <w:spacing w:val="-4"/>
          <w:sz w:val="32"/>
          <w:szCs w:val="32"/>
        </w:rPr>
        <w:t>资金支出实行先审批再使用制度。二是按规范凭证审核，按有关财务规章制度审核原始凭证真实、合规、完整，审批手续齐全，严格按照相关程序执行。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2.按规范凭证审核，按有关财务规章制度审核原始凭证真实、合规、完整，审批手续齐全，严格按照相关程序执行。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3.合理设置岗位，明确相关职责权限。四是项目工作实施专人负责，是严格遵守“专款专用”原则，按照具体文件要求，确保专项资金项目有限实施。</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21"/>
          <w:rFonts w:hint="eastAsia" w:ascii="仿宋_GB2312" w:hAnsi="仿宋_GB2312" w:eastAsia="仿宋_GB2312" w:cs="仿宋_GB2312"/>
          <w:b/>
          <w:bCs/>
          <w:spacing w:val="-4"/>
          <w:sz w:val="32"/>
          <w:szCs w:val="32"/>
          <w:lang w:val="en-US" w:eastAsia="zh-CN"/>
        </w:rPr>
        <w:t xml:space="preserve">    </w:t>
      </w:r>
      <w:r>
        <w:rPr>
          <w:rStyle w:val="21"/>
          <w:rFonts w:hint="eastAsia" w:ascii="仿宋_GB2312" w:hAnsi="仿宋_GB2312" w:eastAsia="仿宋_GB2312" w:cs="仿宋_GB2312"/>
          <w:b/>
          <w:bCs/>
          <w:spacing w:val="-4"/>
          <w:sz w:val="32"/>
          <w:szCs w:val="32"/>
        </w:rPr>
        <w:t>（二）存在的问题及原因分析</w:t>
      </w:r>
    </w:p>
    <w:p w14:paraId="57F7B8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spacing w:val="-4"/>
          <w:sz w:val="32"/>
          <w:szCs w:val="32"/>
        </w:rPr>
      </w:pPr>
      <w:r>
        <w:rPr>
          <w:rStyle w:val="21"/>
          <w:rFonts w:hint="eastAsia" w:ascii="仿宋_GB2312" w:hAnsi="仿宋_GB2312" w:eastAsia="仿宋_GB2312" w:cs="仿宋_GB2312"/>
          <w:b w:val="0"/>
          <w:bCs w:val="0"/>
          <w:spacing w:val="-4"/>
          <w:sz w:val="32"/>
          <w:szCs w:val="32"/>
        </w:rPr>
        <w:t>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2.项目支出绩效评价存在局限，客观性有待加强</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60D528F">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黑体" w:hAnsi="黑体" w:eastAsia="黑体"/>
          <w:b w:val="0"/>
          <w:spacing w:val="-4"/>
          <w:sz w:val="32"/>
          <w:szCs w:val="32"/>
        </w:rPr>
      </w:pPr>
      <w:r>
        <w:rPr>
          <w:rStyle w:val="21"/>
          <w:rFonts w:hint="eastAsia" w:ascii="黑体" w:hAnsi="黑体" w:eastAsia="黑体"/>
          <w:b w:val="0"/>
          <w:spacing w:val="-4"/>
          <w:sz w:val="32"/>
          <w:szCs w:val="32"/>
          <w:lang w:val="en-US" w:eastAsia="zh-CN"/>
        </w:rPr>
        <w:t>七</w:t>
      </w:r>
      <w:r>
        <w:rPr>
          <w:rStyle w:val="21"/>
          <w:rFonts w:hint="eastAsia" w:ascii="黑体" w:hAnsi="黑体" w:eastAsia="黑体"/>
          <w:b w:val="0"/>
          <w:spacing w:val="-4"/>
          <w:sz w:val="32"/>
          <w:szCs w:val="32"/>
        </w:rPr>
        <w:t>、有关建议</w:t>
      </w:r>
    </w:p>
    <w:p w14:paraId="3AD9F42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spacing w:val="-6"/>
          <w:w w:val="98"/>
          <w:sz w:val="32"/>
          <w:szCs w:val="32"/>
        </w:rPr>
      </w:pPr>
      <w:r>
        <w:rPr>
          <w:rStyle w:val="21"/>
          <w:rFonts w:hint="eastAsia" w:ascii="仿宋_GB2312" w:hAnsi="仿宋_GB2312" w:eastAsia="仿宋_GB2312" w:cs="仿宋_GB2312"/>
          <w:b w:val="0"/>
          <w:bCs w:val="0"/>
          <w:spacing w:val="-4"/>
          <w:sz w:val="32"/>
          <w:szCs w:val="32"/>
        </w:rPr>
        <w:t>1.多进行有关绩效管理工作方面的培训。积极组织第三方开展绩效管理工作培训，进一步夯实业务基础，提高我单位绩效人员水平。</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2.专门设定对绩效工作人员定职、定岗、定责等相关制度措施，进一步提升我单位绩效管理工作业务水平，扎实做好绩效管理工作。</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6"/>
          <w:w w:val="98"/>
          <w:sz w:val="32"/>
          <w:szCs w:val="32"/>
        </w:rPr>
        <w:t>4.进一步完善项目评价过程中有关数据和资料的收集、整理、审核及分析。项目启动时同步做好档案的归纳与整理，及时整理、收集、汇总，健全档案资料。项目后续管理有待进一步加强和跟踪。</w:t>
      </w:r>
    </w:p>
    <w:p w14:paraId="5F645792">
      <w:pPr>
        <w:keepNext w:val="0"/>
        <w:keepLines w:val="0"/>
        <w:pageBreakBefore w:val="0"/>
        <w:widowControl w:val="0"/>
        <w:kinsoku/>
        <w:wordWrap/>
        <w:overflowPunct/>
        <w:topLinePunct w:val="0"/>
        <w:autoSpaceDE/>
        <w:autoSpaceDN/>
        <w:bidi w:val="0"/>
        <w:adjustRightInd/>
        <w:snapToGrid/>
        <w:spacing w:line="56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lang w:val="en-US" w:eastAsia="zh-CN"/>
        </w:rPr>
        <w:t>八</w:t>
      </w:r>
      <w:r>
        <w:rPr>
          <w:rStyle w:val="21"/>
          <w:rFonts w:hint="eastAsia" w:ascii="黑体" w:hAnsi="黑体" w:eastAsia="黑体"/>
          <w:b w:val="0"/>
          <w:spacing w:val="-4"/>
          <w:sz w:val="32"/>
          <w:szCs w:val="32"/>
        </w:rPr>
        <w:t>、其他需要说明的问题</w:t>
      </w:r>
      <w:bookmarkStart w:id="0" w:name="_GoBack"/>
      <w:bookmarkEnd w:id="0"/>
    </w:p>
    <w:p w14:paraId="7ABB99C1">
      <w:pPr>
        <w:keepNext w:val="0"/>
        <w:keepLines w:val="0"/>
        <w:pageBreakBefore w:val="0"/>
        <w:widowControl w:val="0"/>
        <w:kinsoku/>
        <w:wordWrap/>
        <w:overflowPunct/>
        <w:topLinePunct w:val="0"/>
        <w:autoSpaceDE/>
        <w:autoSpaceDN/>
        <w:bidi w:val="0"/>
        <w:adjustRightInd/>
        <w:snapToGrid/>
        <w:spacing w:line="560" w:lineRule="exact"/>
        <w:ind w:firstLine="567"/>
        <w:rPr>
          <w:rStyle w:val="21"/>
          <w:rFonts w:ascii="仿宋" w:hAnsi="仿宋" w:eastAsia="仿宋"/>
          <w:b w:val="0"/>
          <w:spacing w:val="-4"/>
          <w:sz w:val="32"/>
          <w:szCs w:val="32"/>
        </w:rPr>
      </w:pPr>
      <w:r>
        <w:rPr>
          <w:rStyle w:val="21"/>
          <w:rFonts w:hint="eastAsia" w:ascii="仿宋_GB2312" w:hAnsi="仿宋_GB2312" w:eastAsia="仿宋_GB2312" w:cs="仿宋_GB2312"/>
          <w:b w:val="0"/>
          <w:bCs w:val="0"/>
          <w:spacing w:val="-4"/>
          <w:sz w:val="32"/>
          <w:szCs w:val="32"/>
        </w:rPr>
        <w:t>本项目无其他需说明的问题。</w:t>
      </w:r>
    </w:p>
    <w:sectPr>
      <w:footerReference r:id="rId3" w:type="default"/>
      <w:pgSz w:w="11906" w:h="16838"/>
      <w:pgMar w:top="2098" w:right="1587" w:bottom="2098"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3B41E8-80F5-4B70-B9C9-965C06EB11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5CA77C6D-9BC4-409C-8DFB-ACA480EFEA24}"/>
  </w:font>
  <w:font w:name="华文中宋">
    <w:panose1 w:val="02010600040101010101"/>
    <w:charset w:val="86"/>
    <w:family w:val="auto"/>
    <w:pitch w:val="default"/>
    <w:sig w:usb0="00000287" w:usb1="080F0000" w:usb2="00000000" w:usb3="00000000" w:csb0="0004009F" w:csb1="DFD70000"/>
    <w:embedRegular r:id="rId3" w:fontKey="{C16E9BC2-6295-4733-97F7-7EE41EB6CB0E}"/>
  </w:font>
  <w:font w:name="方正小标宋_GBK">
    <w:panose1 w:val="02000000000000000000"/>
    <w:charset w:val="86"/>
    <w:family w:val="script"/>
    <w:pitch w:val="default"/>
    <w:sig w:usb0="A00002BF" w:usb1="38CF7CFA" w:usb2="00082016" w:usb3="00000000" w:csb0="00040001" w:csb1="00000000"/>
    <w:embedRegular r:id="rId4" w:fontKey="{99A34080-3169-40E3-91D3-52C3C7726BB5}"/>
  </w:font>
  <w:font w:name="仿宋_GB2312">
    <w:panose1 w:val="02010609030101010101"/>
    <w:charset w:val="86"/>
    <w:family w:val="modern"/>
    <w:pitch w:val="default"/>
    <w:sig w:usb0="00000001" w:usb1="080E0000" w:usb2="00000000" w:usb3="00000000" w:csb0="00040000" w:csb1="00000000"/>
    <w:embedRegular r:id="rId5" w:fontKey="{0DC75CE1-419D-415C-81A5-BAEB70F56D32}"/>
  </w:font>
  <w:font w:name="楷体">
    <w:panose1 w:val="02010609060101010101"/>
    <w:charset w:val="86"/>
    <w:family w:val="modern"/>
    <w:pitch w:val="default"/>
    <w:sig w:usb0="800002BF" w:usb1="38CF7CFA" w:usb2="00000016" w:usb3="00000000" w:csb0="00040001" w:csb1="00000000"/>
    <w:embedRegular r:id="rId6" w:fontKey="{E82F6A53-86F6-42E4-8AA4-491E0AE485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07CBF4F">
        <w:pPr>
          <w:pStyle w:val="14"/>
          <w:jc w:val="center"/>
        </w:pPr>
        <w:r>
          <w:fldChar w:fldCharType="begin"/>
        </w:r>
        <w:r>
          <w:instrText xml:space="preserve">PAGE   \* MERGEFORMAT</w:instrText>
        </w:r>
        <w:r>
          <w:fldChar w:fldCharType="separate"/>
        </w:r>
        <w:r>
          <w:rPr>
            <w:lang w:val="zh-CN"/>
          </w:rPr>
          <w:t>1</w:t>
        </w:r>
        <w:r>
          <w:fldChar w:fldCharType="end"/>
        </w:r>
      </w:p>
    </w:sdtContent>
  </w:sdt>
  <w:p w14:paraId="64E1DF93">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6"/>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1"/>
      <w:numFmt w:val="chineseCounting"/>
      <w:suff w:val="nothing"/>
      <w:lvlText w:val="%1、"/>
      <w:lvlJc w:val="left"/>
      <w:rPr>
        <w:rFonts w:hint="eastAsia"/>
      </w:rPr>
    </w:lvl>
  </w:abstractNum>
  <w:abstractNum w:abstractNumId="4">
    <w:nsid w:val="03D62ECE"/>
    <w:multiLevelType w:val="singleLevel"/>
    <w:tmpl w:val="03D62ECE"/>
    <w:lvl w:ilvl="0" w:tentative="0">
      <w:start w:val="1"/>
      <w:numFmt w:val="chineseCounting"/>
      <w:suff w:val="nothing"/>
      <w:lvlText w:val="（%1）"/>
      <w:lvlJc w:val="left"/>
      <w:rPr>
        <w:rFonts w:hint="eastAsia"/>
      </w:rPr>
    </w:lvl>
  </w:abstractNum>
  <w:abstractNum w:abstractNumId="5">
    <w:nsid w:val="59ADCABA"/>
    <w:multiLevelType w:val="singleLevel"/>
    <w:tmpl w:val="59ADCABA"/>
    <w:lvl w:ilvl="0" w:tentative="0">
      <w:start w:val="2"/>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F9C2034"/>
    <w:rsid w:val="2AD619A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9">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4"/>
    <w:qFormat/>
    <w:uiPriority w:val="9"/>
    <w:rPr>
      <w:rFonts w:asciiTheme="majorHAnsi" w:hAnsiTheme="majorHAnsi" w:eastAsiaTheme="majorEastAsia"/>
      <w:b/>
      <w:bCs/>
      <w:kern w:val="32"/>
      <w:sz w:val="32"/>
      <w:szCs w:val="32"/>
    </w:rPr>
  </w:style>
  <w:style w:type="character" w:customStyle="1" w:styleId="24">
    <w:name w:val="标题 2 字符"/>
    <w:basedOn w:val="20"/>
    <w:link w:val="5"/>
    <w:semiHidden/>
    <w:qFormat/>
    <w:uiPriority w:val="9"/>
    <w:rPr>
      <w:rFonts w:asciiTheme="majorHAnsi" w:hAnsiTheme="majorHAnsi" w:eastAsiaTheme="majorEastAsia"/>
      <w:b/>
      <w:bCs/>
      <w:i/>
      <w:iCs/>
      <w:sz w:val="28"/>
      <w:szCs w:val="28"/>
    </w:rPr>
  </w:style>
  <w:style w:type="character" w:customStyle="1" w:styleId="25">
    <w:name w:val="标题 3 字符"/>
    <w:basedOn w:val="20"/>
    <w:link w:val="6"/>
    <w:semiHidden/>
    <w:qFormat/>
    <w:uiPriority w:val="9"/>
    <w:rPr>
      <w:rFonts w:asciiTheme="majorHAnsi" w:hAnsiTheme="majorHAnsi" w:eastAsiaTheme="majorEastAsia"/>
      <w:b/>
      <w:bCs/>
      <w:sz w:val="26"/>
      <w:szCs w:val="26"/>
    </w:rPr>
  </w:style>
  <w:style w:type="character" w:customStyle="1" w:styleId="26">
    <w:name w:val="标题 4 字符"/>
    <w:basedOn w:val="20"/>
    <w:link w:val="7"/>
    <w:semiHidden/>
    <w:qFormat/>
    <w:uiPriority w:val="9"/>
    <w:rPr>
      <w:b/>
      <w:bCs/>
      <w:sz w:val="28"/>
      <w:szCs w:val="28"/>
    </w:rPr>
  </w:style>
  <w:style w:type="character" w:customStyle="1" w:styleId="27">
    <w:name w:val="标题 5 字符"/>
    <w:basedOn w:val="20"/>
    <w:link w:val="8"/>
    <w:semiHidden/>
    <w:qFormat/>
    <w:uiPriority w:val="9"/>
    <w:rPr>
      <w:b/>
      <w:bCs/>
      <w:i/>
      <w:iCs/>
      <w:sz w:val="26"/>
      <w:szCs w:val="26"/>
    </w:rPr>
  </w:style>
  <w:style w:type="character" w:customStyle="1" w:styleId="28">
    <w:name w:val="标题 6 字符"/>
    <w:basedOn w:val="20"/>
    <w:link w:val="9"/>
    <w:semiHidden/>
    <w:qFormat/>
    <w:uiPriority w:val="9"/>
    <w:rPr>
      <w:b/>
      <w:bCs/>
    </w:rPr>
  </w:style>
  <w:style w:type="character" w:customStyle="1" w:styleId="29">
    <w:name w:val="标题 7 字符"/>
    <w:basedOn w:val="20"/>
    <w:link w:val="10"/>
    <w:semiHidden/>
    <w:qFormat/>
    <w:uiPriority w:val="9"/>
    <w:rPr>
      <w:sz w:val="24"/>
      <w:szCs w:val="24"/>
    </w:rPr>
  </w:style>
  <w:style w:type="character" w:customStyle="1" w:styleId="30">
    <w:name w:val="标题 8 字符"/>
    <w:basedOn w:val="20"/>
    <w:link w:val="11"/>
    <w:semiHidden/>
    <w:qFormat/>
    <w:uiPriority w:val="9"/>
    <w:rPr>
      <w:i/>
      <w:iCs/>
      <w:sz w:val="24"/>
      <w:szCs w:val="24"/>
    </w:rPr>
  </w:style>
  <w:style w:type="character" w:customStyle="1" w:styleId="31">
    <w:name w:val="标题 9 字符"/>
    <w:basedOn w:val="20"/>
    <w:link w:val="12"/>
    <w:semiHidden/>
    <w:qFormat/>
    <w:uiPriority w:val="9"/>
    <w:rPr>
      <w:rFonts w:asciiTheme="majorHAnsi" w:hAnsiTheme="majorHAnsi" w:eastAsiaTheme="majorEastAsia"/>
    </w:rPr>
  </w:style>
  <w:style w:type="character" w:customStyle="1" w:styleId="32">
    <w:name w:val="标题 字符"/>
    <w:basedOn w:val="20"/>
    <w:link w:val="17"/>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4"/>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eyJoZGlkIjoiOGM1Yzk2ZmU1ZDM2ZDI1MjFhNDhlN2Y3YTMzN2M5YzciLCJ1c2VySWQiOiIzMjQ3MDEzNjAifQ==</vt:lpwstr>
  </property>
</Properties>
</file>

<file path=customXml/itemProps1.xml><?xml version="1.0" encoding="utf-8"?>
<ds:datastoreItem xmlns:ds="http://schemas.openxmlformats.org/officeDocument/2006/customXml" ds:itemID="{74a72f49-cd54-4907-b2f7-fd0e0202d6f1}">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1580</Words>
  <Characters>1651</Characters>
  <Lines>5</Lines>
  <Paragraphs>1</Paragraphs>
  <TotalTime>10</TotalTime>
  <ScaleCrop>false</ScaleCrop>
  <LinksUpToDate>false</LinksUpToDate>
  <CharactersWithSpaces>1696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2025-11-07T07:27:33Z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y fmtid="{D5CDD505-2E9C-101B-9397-08002B2CF9AE}" pid="4" name="KSOTemplateDocerSaveRecord">
    <vt:lpwstr>eyJoZGlkIjoiOGM1Yzk2ZmU1ZDM2ZDI1MjFhNDhlN2Y3YTMzN2M5YzciLCJ1c2VySWQiOiIzMjQ3MDEzNjAifQ_x003D__x003D_</vt:lpwstr>
  </property>
</Properties>
</file>