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裕民县哈拉布拉水库服务中心2024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44BED0D">
      <w:r>
        <w:br w:type="page"/>
      </w:r>
    </w:p>
    <w:p w14:paraId="1D568FF2">
      <w:pPr>
        <w:spacing w:line="640" w:lineRule="exact"/>
        <w:jc w:val="center"/>
        <w:outlineLvl w:val="1"/>
      </w:pPr>
      <w:r>
        <w:rPr>
          <w:rFonts w:ascii="黑体" w:hAnsi="黑体" w:eastAsia="黑体"/>
          <w:sz w:val="32"/>
        </w:rPr>
        <w:t>第一部分 单位概况</w:t>
      </w:r>
    </w:p>
    <w:p w14:paraId="49F147DB">
      <w:pPr>
        <w:spacing w:line="640" w:lineRule="exact"/>
        <w:ind w:firstLine="640"/>
        <w:jc w:val="both"/>
        <w:outlineLvl w:val="2"/>
      </w:pPr>
      <w:r>
        <w:rPr>
          <w:rFonts w:ascii="黑体" w:hAnsi="黑体" w:eastAsia="黑体"/>
          <w:sz w:val="32"/>
        </w:rPr>
        <w:t>一、主要职能</w:t>
      </w:r>
    </w:p>
    <w:p w14:paraId="7AC8BE41">
      <w:pPr>
        <w:spacing w:line="580" w:lineRule="exact"/>
        <w:ind w:firstLine="640"/>
        <w:jc w:val="both"/>
      </w:pPr>
      <w:r>
        <w:rPr>
          <w:rFonts w:ascii="仿宋_GB2312" w:hAnsi="仿宋_GB2312" w:eastAsia="仿宋_GB2312"/>
          <w:sz w:val="32"/>
        </w:rPr>
        <w:t>裕民县哈拉布拉水库服务中心负责做好各水库防洪调度工作，确保水库安全度汛，做到科学调度，减轻下游洪水危害。负责水库日常维护及机构设备的运行管理，确保水库正常运行。负责水库水利工程管理、运行、监测、维护等工作，掌握工程运行状况，及时处理工程隐患与存在的问题。协助水利局做好安全生产及消防各项工作。大力发展旅游、养殖等第三产业，搞好水库综合经营。承办主管部门交办的其他事项。</w:t>
      </w:r>
    </w:p>
    <w:p w14:paraId="2FC6DA78">
      <w:pPr>
        <w:spacing w:line="640" w:lineRule="exact"/>
        <w:ind w:firstLine="640"/>
        <w:jc w:val="both"/>
        <w:outlineLvl w:val="2"/>
      </w:pPr>
      <w:r>
        <w:rPr>
          <w:rFonts w:ascii="黑体" w:hAnsi="黑体" w:eastAsia="黑体"/>
          <w:sz w:val="32"/>
        </w:rPr>
        <w:t>二、机构设置及人员情况</w:t>
      </w:r>
    </w:p>
    <w:p w14:paraId="777D354B">
      <w:pPr>
        <w:spacing w:line="580" w:lineRule="exact"/>
        <w:ind w:firstLine="640"/>
        <w:jc w:val="both"/>
      </w:pPr>
      <w:r>
        <w:rPr>
          <w:rFonts w:ascii="仿宋_GB2312" w:hAnsi="仿宋_GB2312" w:eastAsia="仿宋_GB2312"/>
          <w:sz w:val="32"/>
        </w:rPr>
        <w:t>裕民县哈拉布拉水库服务中心2024年度，实有人数5人，其中：在职人员5人，减少1人；离休人员0人，增加0人；退休人员0人,增加0人。</w:t>
      </w:r>
    </w:p>
    <w:p w14:paraId="42399691">
      <w:pPr>
        <w:spacing w:line="580" w:lineRule="exact"/>
        <w:ind w:firstLine="640"/>
        <w:jc w:val="both"/>
      </w:pPr>
      <w:r>
        <w:rPr>
          <w:rFonts w:ascii="仿宋_GB2312" w:hAnsi="仿宋_GB2312" w:eastAsia="仿宋_GB2312"/>
          <w:sz w:val="32"/>
        </w:rPr>
        <w:t>裕民县哈拉布拉水库服务中心无下属预算单位，下设2个科室，分别是：办公室、财务室。</w:t>
      </w:r>
    </w:p>
    <w:p w14:paraId="219F0B7B">
      <w:r>
        <w:br w:type="page"/>
      </w:r>
    </w:p>
    <w:p w14:paraId="50A4A973">
      <w:pPr>
        <w:spacing w:line="240" w:lineRule="auto"/>
        <w:jc w:val="center"/>
        <w:outlineLvl w:val="1"/>
      </w:pPr>
      <w:r>
        <w:rPr>
          <w:rFonts w:ascii="黑体" w:hAnsi="黑体" w:eastAsia="黑体"/>
          <w:sz w:val="32"/>
        </w:rPr>
        <w:t>第二部分 部门决算情况说明</w:t>
      </w:r>
    </w:p>
    <w:p w14:paraId="54260F0E">
      <w:pPr>
        <w:spacing w:line="640" w:lineRule="exact"/>
        <w:ind w:firstLine="640"/>
        <w:jc w:val="both"/>
        <w:outlineLvl w:val="2"/>
      </w:pPr>
      <w:r>
        <w:rPr>
          <w:rFonts w:ascii="黑体" w:hAnsi="黑体" w:eastAsia="黑体"/>
          <w:sz w:val="32"/>
        </w:rPr>
        <w:t>一、收入支出决算总体情况说明</w:t>
      </w:r>
    </w:p>
    <w:p w14:paraId="1EEF7219">
      <w:pPr>
        <w:spacing w:line="580" w:lineRule="exact"/>
        <w:ind w:firstLine="640"/>
        <w:jc w:val="both"/>
      </w:pPr>
      <w:r>
        <w:rPr>
          <w:rFonts w:ascii="仿宋_GB2312" w:hAnsi="仿宋_GB2312" w:eastAsia="仿宋_GB2312"/>
          <w:b/>
          <w:sz w:val="32"/>
        </w:rPr>
        <w:t>2024年度收入总计136.47万元，</w:t>
      </w:r>
      <w:r>
        <w:rPr>
          <w:rFonts w:ascii="仿宋_GB2312" w:hAnsi="仿宋_GB2312" w:eastAsia="仿宋_GB2312"/>
          <w:b w:val="0"/>
          <w:sz w:val="32"/>
        </w:rPr>
        <w:t>其中：本年收入合计112.34万元，使用非财政拨款结余（含专用结余）0.00万元，年初结转和结余24.13万元。</w:t>
      </w:r>
    </w:p>
    <w:p w14:paraId="3486DC4D">
      <w:pPr>
        <w:spacing w:line="580" w:lineRule="exact"/>
        <w:ind w:firstLine="640"/>
        <w:jc w:val="both"/>
      </w:pPr>
      <w:r>
        <w:rPr>
          <w:rFonts w:ascii="仿宋_GB2312" w:hAnsi="仿宋_GB2312" w:eastAsia="仿宋_GB2312"/>
          <w:b/>
          <w:sz w:val="32"/>
        </w:rPr>
        <w:t>2024年度支出总计136.47万元，</w:t>
      </w:r>
      <w:r>
        <w:rPr>
          <w:rFonts w:ascii="仿宋_GB2312" w:hAnsi="仿宋_GB2312" w:eastAsia="仿宋_GB2312"/>
          <w:b w:val="0"/>
          <w:sz w:val="32"/>
        </w:rPr>
        <w:t>其中：本年支出合计112.34万元，结余分配0.00万元，年末结转和结余24.13万元。</w:t>
      </w:r>
    </w:p>
    <w:p w14:paraId="41DDCD06">
      <w:pPr>
        <w:spacing w:line="580" w:lineRule="exact"/>
        <w:ind w:firstLine="640"/>
        <w:jc w:val="both"/>
      </w:pPr>
      <w:r>
        <w:rPr>
          <w:rFonts w:ascii="仿宋_GB2312" w:hAnsi="仿宋_GB2312" w:eastAsia="仿宋_GB2312"/>
          <w:b w:val="0"/>
          <w:sz w:val="32"/>
        </w:rPr>
        <w:t>收入支出总体与上年相比，增加7.61万元，增长5.91%，主要原因是：本年在职人员工资调增，社保、公积金基数调增，人员经费增加。</w:t>
      </w:r>
    </w:p>
    <w:p w14:paraId="7AEC9F0A">
      <w:pPr>
        <w:spacing w:line="640" w:lineRule="exact"/>
        <w:ind w:firstLine="640"/>
        <w:jc w:val="both"/>
        <w:outlineLvl w:val="2"/>
      </w:pPr>
      <w:r>
        <w:rPr>
          <w:rFonts w:ascii="黑体" w:hAnsi="黑体" w:eastAsia="黑体"/>
          <w:sz w:val="32"/>
        </w:rPr>
        <w:t>二、收入决算情况说明</w:t>
      </w:r>
    </w:p>
    <w:p w14:paraId="41E8AE3B">
      <w:pPr>
        <w:spacing w:line="580" w:lineRule="exact"/>
        <w:ind w:firstLine="640"/>
        <w:jc w:val="both"/>
      </w:pPr>
      <w:r>
        <w:rPr>
          <w:rFonts w:ascii="仿宋_GB2312" w:hAnsi="仿宋_GB2312" w:eastAsia="仿宋_GB2312"/>
          <w:b/>
          <w:sz w:val="32"/>
        </w:rPr>
        <w:t>本年收入112.34万元，</w:t>
      </w:r>
      <w:r>
        <w:rPr>
          <w:rFonts w:ascii="仿宋_GB2312" w:hAnsi="仿宋_GB2312" w:eastAsia="仿宋_GB2312"/>
          <w:b w:val="0"/>
          <w:sz w:val="32"/>
        </w:rPr>
        <w:t>其中：财政拨款收入91.41万元，占81.37%；上级补助收入0.00万元，占0.00%；事业收入0.00万元，占0.00%；经营收入0.00万元，占0.00%；附属单位上缴收入0.00万元，占0.00%；其他收入20.93万元，占18.63%。</w:t>
      </w:r>
    </w:p>
    <w:p w14:paraId="55BBC9D6">
      <w:pPr>
        <w:spacing w:line="640" w:lineRule="exact"/>
        <w:ind w:firstLine="640"/>
        <w:jc w:val="both"/>
        <w:outlineLvl w:val="2"/>
      </w:pPr>
      <w:r>
        <w:rPr>
          <w:rFonts w:ascii="黑体" w:hAnsi="黑体" w:eastAsia="黑体"/>
          <w:sz w:val="32"/>
        </w:rPr>
        <w:t>三、支出决算情况说明</w:t>
      </w:r>
    </w:p>
    <w:p w14:paraId="21AF0009">
      <w:pPr>
        <w:spacing w:line="580" w:lineRule="exact"/>
        <w:ind w:firstLine="640"/>
        <w:jc w:val="both"/>
      </w:pPr>
      <w:r>
        <w:rPr>
          <w:rFonts w:ascii="仿宋_GB2312" w:hAnsi="仿宋_GB2312" w:eastAsia="仿宋_GB2312"/>
          <w:b/>
          <w:sz w:val="32"/>
        </w:rPr>
        <w:t>本年支出112.34万元，</w:t>
      </w:r>
      <w:r>
        <w:rPr>
          <w:rFonts w:ascii="仿宋_GB2312" w:hAnsi="仿宋_GB2312" w:eastAsia="仿宋_GB2312"/>
          <w:b w:val="0"/>
          <w:sz w:val="32"/>
        </w:rPr>
        <w:t>其中：基本支出112.34万元，占100.00%；项目支出0.00万元，占0.00%；上缴上级支出0.00万元，占0.00%；经营支出0.00万元，占0.00%；对附属单位补助支出0.00万元，占0.00%。</w:t>
      </w:r>
    </w:p>
    <w:p w14:paraId="70F82FD1">
      <w:pPr>
        <w:spacing w:line="640" w:lineRule="exact"/>
        <w:ind w:firstLine="640"/>
        <w:jc w:val="both"/>
        <w:outlineLvl w:val="2"/>
      </w:pPr>
      <w:r>
        <w:rPr>
          <w:rFonts w:ascii="黑体" w:hAnsi="黑体" w:eastAsia="黑体"/>
          <w:sz w:val="32"/>
        </w:rPr>
        <w:t>四、财政拨款收入支出决算总体情况说明</w:t>
      </w:r>
    </w:p>
    <w:p w14:paraId="723C1719">
      <w:pPr>
        <w:spacing w:line="580" w:lineRule="exact"/>
        <w:ind w:firstLine="640"/>
        <w:jc w:val="both"/>
      </w:pPr>
      <w:r>
        <w:rPr>
          <w:rFonts w:ascii="仿宋_GB2312" w:hAnsi="仿宋_GB2312" w:eastAsia="仿宋_GB2312"/>
          <w:b/>
          <w:sz w:val="32"/>
        </w:rPr>
        <w:t>2024年度财政拨款收入总计91.41万元，</w:t>
      </w:r>
      <w:r>
        <w:rPr>
          <w:rFonts w:ascii="仿宋_GB2312" w:hAnsi="仿宋_GB2312" w:eastAsia="仿宋_GB2312"/>
          <w:b w:val="0"/>
          <w:sz w:val="32"/>
        </w:rPr>
        <w:t>其中：年初财政拨款结转和结余0.00万元，本年财政拨款收入91.41万元。</w:t>
      </w:r>
      <w:r>
        <w:rPr>
          <w:rFonts w:ascii="仿宋_GB2312" w:hAnsi="仿宋_GB2312" w:eastAsia="仿宋_GB2312"/>
          <w:b/>
          <w:sz w:val="32"/>
        </w:rPr>
        <w:t>财政拨款支出总计91.41万元，</w:t>
      </w:r>
      <w:r>
        <w:rPr>
          <w:rFonts w:ascii="仿宋_GB2312" w:hAnsi="仿宋_GB2312" w:eastAsia="仿宋_GB2312"/>
          <w:b w:val="0"/>
          <w:sz w:val="32"/>
        </w:rPr>
        <w:t>其中：年末财政拨款结转和结余0.00万元，本年财政拨款支出91.41万元。</w:t>
      </w:r>
    </w:p>
    <w:p w14:paraId="3BC1080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增加1.30万元，增长1.44%，主要原因是：本年在职人员工资调增，社保、公积金基数调增，人员经费增加。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年初预算数96.11万元，决算数91.41万元，预决算差异率-4.89%，主要原因是：年中在职人员减少1人，年中调减人员经费，导致预决算存在差异。</w:t>
      </w:r>
    </w:p>
    <w:p w14:paraId="14F223DE">
      <w:pPr>
        <w:spacing w:line="640" w:lineRule="exact"/>
        <w:ind w:firstLine="640"/>
        <w:jc w:val="both"/>
        <w:outlineLvl w:val="2"/>
      </w:pPr>
      <w:r>
        <w:rPr>
          <w:rFonts w:ascii="黑体" w:hAnsi="黑体" w:eastAsia="黑体"/>
          <w:sz w:val="32"/>
        </w:rPr>
        <w:t>五、一般公共预算财政拨款支出决算情况说明</w:t>
      </w:r>
    </w:p>
    <w:p w14:paraId="70B069FE">
      <w:pPr>
        <w:spacing w:line="640" w:lineRule="exact"/>
        <w:ind w:firstLine="640"/>
        <w:jc w:val="both"/>
        <w:outlineLvl w:val="3"/>
      </w:pPr>
      <w:r>
        <w:rPr>
          <w:rFonts w:ascii="楷体_GB2312" w:hAnsi="楷体_GB2312" w:eastAsia="楷体_GB2312"/>
          <w:b/>
          <w:sz w:val="32"/>
        </w:rPr>
        <w:t>（一）一般公共预算财政拨款支出决算总体情况</w:t>
      </w:r>
    </w:p>
    <w:p w14:paraId="16FF2DC0">
      <w:pPr>
        <w:spacing w:line="580" w:lineRule="exact"/>
        <w:ind w:firstLine="640"/>
        <w:jc w:val="both"/>
      </w:pPr>
      <w:r>
        <w:rPr>
          <w:rFonts w:ascii="仿宋_GB2312" w:hAnsi="仿宋_GB2312" w:eastAsia="仿宋_GB2312"/>
          <w:b/>
          <w:sz w:val="32"/>
        </w:rPr>
        <w:t>2024年度一般公共预算财政拨款支出91.41万元，</w:t>
      </w:r>
      <w:r>
        <w:rPr>
          <w:rFonts w:ascii="仿宋_GB2312" w:hAnsi="仿宋_GB2312" w:eastAsia="仿宋_GB2312"/>
          <w:b w:val="0"/>
          <w:sz w:val="32"/>
        </w:rPr>
        <w:t>占本年支出合计的81.37%。</w:t>
      </w:r>
      <w:r>
        <w:rPr>
          <w:rFonts w:ascii="仿宋_GB2312" w:hAnsi="仿宋_GB2312" w:eastAsia="仿宋_GB2312"/>
          <w:b/>
          <w:sz w:val="32"/>
        </w:rPr>
        <w:t>与上年相比，</w:t>
      </w:r>
      <w:r>
        <w:rPr>
          <w:rFonts w:ascii="仿宋_GB2312" w:hAnsi="仿宋_GB2312" w:eastAsia="仿宋_GB2312"/>
          <w:b w:val="0"/>
          <w:sz w:val="32"/>
        </w:rPr>
        <w:t>增加1.30万元，增长1.44%，主要原因是：本年在职人员工资调增，社保、公积金基数调增，人员经费增加。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年初预算数96.11万元，决算数91.41万元，预决算差异率-4.89%，主要原因是：年中在职人员减少1人，年中调减人员经费，导致预决算存在差异。</w:t>
      </w:r>
    </w:p>
    <w:p w14:paraId="096800A4">
      <w:pPr>
        <w:spacing w:line="640" w:lineRule="exact"/>
        <w:ind w:firstLine="640"/>
        <w:jc w:val="both"/>
        <w:outlineLvl w:val="3"/>
      </w:pPr>
      <w:r>
        <w:rPr>
          <w:rFonts w:ascii="楷体_GB2312" w:hAnsi="楷体_GB2312" w:eastAsia="楷体_GB2312"/>
          <w:b/>
          <w:sz w:val="32"/>
        </w:rPr>
        <w:t>（二）一般公共预算财政拨款支出决算结构情况</w:t>
      </w:r>
    </w:p>
    <w:p w14:paraId="72BEE326">
      <w:pPr>
        <w:spacing w:line="580" w:lineRule="exact"/>
        <w:ind w:firstLine="640"/>
        <w:jc w:val="both"/>
      </w:pPr>
      <w:r>
        <w:rPr>
          <w:rFonts w:ascii="仿宋_GB2312" w:hAnsi="仿宋_GB2312" w:eastAsia="仿宋_GB2312"/>
          <w:b w:val="0"/>
          <w:sz w:val="32"/>
        </w:rPr>
        <w:t>1.社会保障和就业支出(类)9.36万元,占10.24%。</w:t>
      </w:r>
    </w:p>
    <w:p w14:paraId="78F27066">
      <w:pPr>
        <w:spacing w:line="580" w:lineRule="exact"/>
        <w:ind w:firstLine="640"/>
        <w:jc w:val="both"/>
      </w:pPr>
      <w:r>
        <w:rPr>
          <w:rFonts w:ascii="仿宋_GB2312" w:hAnsi="仿宋_GB2312" w:eastAsia="仿宋_GB2312"/>
          <w:b w:val="0"/>
          <w:sz w:val="32"/>
        </w:rPr>
        <w:t>2.卫生健康支出(类)3.85万元,占4.21%。</w:t>
      </w:r>
    </w:p>
    <w:p w14:paraId="75671A6A">
      <w:pPr>
        <w:spacing w:line="580" w:lineRule="exact"/>
        <w:ind w:firstLine="640"/>
        <w:jc w:val="both"/>
      </w:pPr>
      <w:r>
        <w:rPr>
          <w:rFonts w:ascii="仿宋_GB2312" w:hAnsi="仿宋_GB2312" w:eastAsia="仿宋_GB2312"/>
          <w:b w:val="0"/>
          <w:sz w:val="32"/>
        </w:rPr>
        <w:t>3.农林水支出(类)70.59万元,占77.22%。</w:t>
      </w:r>
    </w:p>
    <w:p w14:paraId="4FAEB5FE">
      <w:pPr>
        <w:spacing w:line="580" w:lineRule="exact"/>
        <w:ind w:firstLine="640"/>
        <w:jc w:val="both"/>
      </w:pPr>
      <w:r>
        <w:rPr>
          <w:rFonts w:ascii="仿宋_GB2312" w:hAnsi="仿宋_GB2312" w:eastAsia="仿宋_GB2312"/>
          <w:b w:val="0"/>
          <w:sz w:val="32"/>
        </w:rPr>
        <w:t>4.住房保障支出(类)7.61万元,占8.33%。</w:t>
      </w:r>
    </w:p>
    <w:p w14:paraId="4BD64E7E">
      <w:pPr>
        <w:spacing w:line="640" w:lineRule="exact"/>
        <w:ind w:firstLine="640"/>
        <w:jc w:val="both"/>
        <w:outlineLvl w:val="3"/>
      </w:pPr>
      <w:r>
        <w:rPr>
          <w:rFonts w:ascii="楷体_GB2312" w:hAnsi="楷体_GB2312" w:eastAsia="楷体_GB2312"/>
          <w:b/>
          <w:sz w:val="32"/>
        </w:rPr>
        <w:t>（三）一般公共预算财政拨款支出决算具体情况</w:t>
      </w:r>
    </w:p>
    <w:p w14:paraId="371AEABC">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9.36万元，比上年决算增加0.86万元，增长10.12%,主要原因是：本年在职人员工资基数调增，养老缴费基数上涨，相应支出增加。</w:t>
      </w:r>
    </w:p>
    <w:p w14:paraId="183DC3CC">
      <w:pPr>
        <w:spacing w:line="580" w:lineRule="exact"/>
        <w:ind w:firstLine="640"/>
        <w:jc w:val="both"/>
      </w:pPr>
      <w:r>
        <w:rPr>
          <w:rFonts w:ascii="仿宋_GB2312" w:hAnsi="仿宋_GB2312" w:eastAsia="仿宋_GB2312"/>
          <w:b w:val="0"/>
          <w:sz w:val="32"/>
        </w:rPr>
        <w:t>2.卫生健康支出(类)行政事业单位医疗(款)事业单位医疗(项):支出决算数为3.85万元，比上年决算增加0.11万元，增长2.94%,主要原因是：本年在职人员工资基数调增，医疗缴费基数上涨，相应支出增加。</w:t>
      </w:r>
    </w:p>
    <w:p w14:paraId="177DA44B">
      <w:pPr>
        <w:spacing w:line="580" w:lineRule="exact"/>
        <w:ind w:firstLine="640"/>
        <w:jc w:val="both"/>
      </w:pPr>
      <w:r>
        <w:rPr>
          <w:rFonts w:ascii="仿宋_GB2312" w:hAnsi="仿宋_GB2312" w:eastAsia="仿宋_GB2312"/>
          <w:b w:val="0"/>
          <w:sz w:val="32"/>
        </w:rPr>
        <w:t>3.农林水支出(类)水利(款)水利行业业务管理(项):支出决算数为70.59万元，比上年决算减少0.43万元，下降0.61%,主要原因是：本年在职人员减少，工资支出较上年减少。</w:t>
      </w:r>
    </w:p>
    <w:p w14:paraId="0B387743">
      <w:pPr>
        <w:spacing w:line="580" w:lineRule="exact"/>
        <w:ind w:firstLine="640"/>
        <w:jc w:val="both"/>
      </w:pPr>
      <w:r>
        <w:rPr>
          <w:rFonts w:ascii="仿宋_GB2312" w:hAnsi="仿宋_GB2312" w:eastAsia="仿宋_GB2312"/>
          <w:b w:val="0"/>
          <w:sz w:val="32"/>
        </w:rPr>
        <w:t>4.住房保障支出(类)住房改革支出(款)住房公积金(项):支出决算数为7.61万元，比上年决算增加0.76万元，增长11.09%,主要原因是：本年在职人员工资基数调增，公积金缴费基数上涨，相应支出增加。</w:t>
      </w:r>
    </w:p>
    <w:p w14:paraId="3296A094">
      <w:pPr>
        <w:spacing w:line="640" w:lineRule="exact"/>
        <w:ind w:firstLine="640"/>
        <w:jc w:val="both"/>
        <w:outlineLvl w:val="2"/>
      </w:pPr>
      <w:r>
        <w:rPr>
          <w:rFonts w:ascii="黑体" w:hAnsi="黑体" w:eastAsia="黑体"/>
          <w:sz w:val="32"/>
        </w:rPr>
        <w:t>六、一般公共预算财政拨款基本支出决算情况说明</w:t>
      </w:r>
    </w:p>
    <w:p w14:paraId="25BEDF0F">
      <w:pPr>
        <w:spacing w:line="580" w:lineRule="exact"/>
        <w:ind w:firstLine="640"/>
        <w:jc w:val="both"/>
      </w:pPr>
      <w:r>
        <w:rPr>
          <w:rFonts w:ascii="仿宋_GB2312" w:hAnsi="仿宋_GB2312" w:eastAsia="仿宋_GB2312"/>
          <w:b w:val="0"/>
          <w:sz w:val="32"/>
        </w:rPr>
        <w:t>2024年度一般公共预算财政拨款基本支出91.41万元，其中：</w:t>
      </w:r>
      <w:r>
        <w:rPr>
          <w:rFonts w:ascii="仿宋_GB2312" w:hAnsi="仿宋_GB2312" w:eastAsia="仿宋_GB2312"/>
          <w:b/>
          <w:sz w:val="32"/>
        </w:rPr>
        <w:t>人员经费87.93万元，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63B0E494">
      <w:pPr>
        <w:spacing w:line="580" w:lineRule="exact"/>
        <w:ind w:firstLine="640"/>
        <w:jc w:val="both"/>
      </w:pPr>
      <w:r>
        <w:rPr>
          <w:rFonts w:ascii="仿宋_GB2312" w:hAnsi="仿宋_GB2312" w:eastAsia="仿宋_GB2312"/>
          <w:b/>
          <w:sz w:val="32"/>
        </w:rPr>
        <w:t>公用经费3.48万元，</w:t>
      </w:r>
      <w:r>
        <w:rPr>
          <w:rFonts w:ascii="仿宋_GB2312" w:hAnsi="仿宋_GB2312" w:eastAsia="仿宋_GB2312"/>
          <w:b w:val="0"/>
          <w:sz w:val="32"/>
        </w:rPr>
        <w:t>包括：办公费、电费、取暖费、工会经费。</w:t>
      </w:r>
    </w:p>
    <w:p w14:paraId="6DE6AADD">
      <w:pPr>
        <w:spacing w:line="640" w:lineRule="exact"/>
        <w:ind w:firstLine="640"/>
        <w:jc w:val="both"/>
        <w:outlineLvl w:val="2"/>
      </w:pPr>
      <w:r>
        <w:rPr>
          <w:rFonts w:ascii="黑体" w:hAnsi="黑体" w:eastAsia="黑体"/>
          <w:sz w:val="32"/>
        </w:rPr>
        <w:t>七、政府性基金预算财政拨款收入支出决算情况说明</w:t>
      </w:r>
    </w:p>
    <w:p w14:paraId="39F9944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8B8F5B2">
      <w:pPr>
        <w:spacing w:line="640" w:lineRule="exact"/>
        <w:ind w:firstLine="640"/>
        <w:jc w:val="both"/>
        <w:outlineLvl w:val="2"/>
      </w:pPr>
      <w:r>
        <w:rPr>
          <w:rFonts w:ascii="黑体" w:hAnsi="黑体" w:eastAsia="黑体"/>
          <w:sz w:val="32"/>
        </w:rPr>
        <w:t>八、国有资本经营预算财政拨款收入支出决算情况说明</w:t>
      </w:r>
    </w:p>
    <w:p w14:paraId="685842B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D7862C1">
      <w:pPr>
        <w:spacing w:line="640" w:lineRule="exact"/>
        <w:ind w:firstLine="640"/>
        <w:jc w:val="both"/>
        <w:outlineLvl w:val="2"/>
      </w:pPr>
      <w:r>
        <w:rPr>
          <w:rFonts w:ascii="黑体" w:hAnsi="黑体" w:eastAsia="黑体"/>
          <w:sz w:val="32"/>
        </w:rPr>
        <w:t>九、财政拨款“三公”经费支出决算情况说明</w:t>
      </w:r>
    </w:p>
    <w:p w14:paraId="7ABC1AA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AE2FD32">
      <w:pPr>
        <w:spacing w:line="580" w:lineRule="exact"/>
        <w:ind w:firstLine="640"/>
        <w:jc w:val="both"/>
      </w:pPr>
      <w:r>
        <w:rPr>
          <w:rFonts w:ascii="仿宋_GB2312" w:hAnsi="仿宋_GB2312" w:eastAsia="仿宋_GB2312"/>
          <w:b/>
          <w:sz w:val="32"/>
        </w:rPr>
        <w:t>具体情况如下：</w:t>
      </w:r>
    </w:p>
    <w:p w14:paraId="733C7AA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A4E48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59F90D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8BB4C3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75D4F56">
      <w:pPr>
        <w:spacing w:line="640" w:lineRule="exact"/>
        <w:ind w:firstLine="640"/>
        <w:jc w:val="both"/>
        <w:outlineLvl w:val="2"/>
      </w:pPr>
      <w:r>
        <w:rPr>
          <w:rFonts w:ascii="黑体" w:hAnsi="黑体" w:eastAsia="黑体"/>
          <w:sz w:val="32"/>
        </w:rPr>
        <w:t>十、其他重要事项的情况说明</w:t>
      </w:r>
    </w:p>
    <w:p w14:paraId="64C1E576">
      <w:pPr>
        <w:spacing w:line="640" w:lineRule="exact"/>
        <w:ind w:firstLine="640"/>
        <w:jc w:val="both"/>
        <w:outlineLvl w:val="3"/>
      </w:pPr>
      <w:r>
        <w:rPr>
          <w:rFonts w:ascii="楷体_GB2312" w:hAnsi="楷体_GB2312" w:eastAsia="楷体_GB2312"/>
          <w:b/>
          <w:sz w:val="32"/>
        </w:rPr>
        <w:t>（一）机关运行经费及公用经费支出情况</w:t>
      </w:r>
    </w:p>
    <w:p w14:paraId="06F07A83">
      <w:pPr>
        <w:spacing w:line="580" w:lineRule="exact"/>
        <w:ind w:firstLine="640"/>
        <w:jc w:val="both"/>
      </w:pPr>
      <w:r>
        <w:rPr>
          <w:rFonts w:ascii="仿宋_GB2312" w:hAnsi="仿宋_GB2312" w:eastAsia="仿宋_GB2312"/>
          <w:b w:val="0"/>
          <w:sz w:val="32"/>
        </w:rPr>
        <w:t>2024年度裕民县哈拉布拉水库服务中心（事业单位）公用经费支出3.48万元，比上年增加0.02万元，增长0.58%，主要原因是：本年业务量增加，</w:t>
      </w:r>
      <w:r>
        <w:rPr>
          <w:rFonts w:hint="eastAsia" w:ascii="仿宋_GB2312" w:hAnsi="仿宋_GB2312" w:eastAsia="仿宋_GB2312"/>
          <w:b w:val="0"/>
          <w:sz w:val="32"/>
          <w:lang w:val="en-US" w:eastAsia="zh-CN"/>
        </w:rPr>
        <w:t>办公</w:t>
      </w:r>
      <w:r>
        <w:rPr>
          <w:rFonts w:ascii="仿宋_GB2312" w:hAnsi="仿宋_GB2312" w:eastAsia="仿宋_GB2312"/>
          <w:b w:val="0"/>
          <w:sz w:val="32"/>
        </w:rPr>
        <w:t>经费增加。</w:t>
      </w:r>
    </w:p>
    <w:p w14:paraId="0DF8CAC7">
      <w:pPr>
        <w:spacing w:line="640" w:lineRule="exact"/>
        <w:ind w:firstLine="640"/>
        <w:jc w:val="both"/>
        <w:outlineLvl w:val="3"/>
      </w:pPr>
      <w:r>
        <w:rPr>
          <w:rFonts w:ascii="楷体_GB2312" w:hAnsi="楷体_GB2312" w:eastAsia="楷体_GB2312"/>
          <w:b/>
          <w:sz w:val="32"/>
        </w:rPr>
        <w:t>（二）政府采购情况</w:t>
      </w:r>
    </w:p>
    <w:p w14:paraId="7A30DA7A">
      <w:pPr>
        <w:spacing w:line="580" w:lineRule="exact"/>
        <w:ind w:firstLine="640"/>
        <w:jc w:val="both"/>
      </w:pPr>
      <w:r>
        <w:rPr>
          <w:rFonts w:ascii="仿宋_GB2312" w:hAnsi="仿宋_GB2312" w:eastAsia="仿宋_GB2312"/>
          <w:b w:val="0"/>
          <w:sz w:val="32"/>
        </w:rPr>
        <w:t>2024年度政府采购支出总额0.73万元，其中：政府采购货物支出0.73万元、政府采购工程支出0.00万元、政府采购服务支出0.00万元。</w:t>
      </w:r>
    </w:p>
    <w:p w14:paraId="00F747A5">
      <w:pPr>
        <w:spacing w:line="580" w:lineRule="exact"/>
        <w:ind w:firstLine="640"/>
        <w:jc w:val="both"/>
      </w:pPr>
      <w:r>
        <w:rPr>
          <w:rFonts w:ascii="仿宋_GB2312" w:hAnsi="仿宋_GB2312" w:eastAsia="仿宋_GB2312"/>
          <w:b w:val="0"/>
          <w:sz w:val="32"/>
        </w:rPr>
        <w:t>授予中小企业合同金额0.73万元，占政府采购支出总额的100.00%，其中：授予小微企业合同金额0.73万元，占政府采购支出总额的100.00%。</w:t>
      </w:r>
    </w:p>
    <w:p w14:paraId="0F881D9B">
      <w:pPr>
        <w:spacing w:line="640" w:lineRule="exact"/>
        <w:ind w:firstLine="640"/>
        <w:jc w:val="both"/>
        <w:outlineLvl w:val="3"/>
      </w:pPr>
      <w:r>
        <w:rPr>
          <w:rFonts w:ascii="楷体_GB2312" w:hAnsi="楷体_GB2312" w:eastAsia="楷体_GB2312"/>
          <w:b/>
          <w:sz w:val="32"/>
        </w:rPr>
        <w:t>（三）国有资产占用情况说明</w:t>
      </w:r>
    </w:p>
    <w:p w14:paraId="4056DC3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1B9E047">
      <w:pPr>
        <w:spacing w:line="640" w:lineRule="exact"/>
        <w:ind w:firstLine="640"/>
        <w:jc w:val="both"/>
        <w:outlineLvl w:val="2"/>
      </w:pPr>
      <w:r>
        <w:rPr>
          <w:rFonts w:ascii="黑体" w:hAnsi="黑体" w:eastAsia="黑体"/>
          <w:sz w:val="32"/>
        </w:rPr>
        <w:t>十一、预算绩效的情况说明</w:t>
      </w:r>
    </w:p>
    <w:p w14:paraId="474A493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136.47万元，实际执行总额112.34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49AC044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665A97C">
        <w:tblPrEx>
          <w:tblCellMar>
            <w:top w:w="0" w:type="dxa"/>
            <w:left w:w="108" w:type="dxa"/>
            <w:bottom w:w="0" w:type="dxa"/>
            <w:right w:w="108" w:type="dxa"/>
          </w:tblCellMar>
        </w:tblPrEx>
        <w:tc>
          <w:tcPr>
            <w:tcW w:w="8840" w:type="dxa"/>
            <w:gridSpan w:val="8"/>
            <w:vAlign w:val="center"/>
          </w:tcPr>
          <w:p w14:paraId="38F47B82">
            <w:pPr>
              <w:jc w:val="center"/>
            </w:pPr>
            <w:r>
              <w:rPr>
                <w:rFonts w:ascii="宋体" w:hAnsi="宋体" w:eastAsia="宋体"/>
                <w:sz w:val="24"/>
              </w:rPr>
              <w:t>单位整体支出绩效自评表</w:t>
            </w:r>
          </w:p>
        </w:tc>
      </w:tr>
      <w:tr w14:paraId="79DEEE84">
        <w:tblPrEx>
          <w:tblCellMar>
            <w:top w:w="0" w:type="dxa"/>
            <w:left w:w="108" w:type="dxa"/>
            <w:bottom w:w="0" w:type="dxa"/>
            <w:right w:w="108" w:type="dxa"/>
          </w:tblCellMar>
        </w:tblPrEx>
        <w:tc>
          <w:tcPr>
            <w:tcW w:w="8840" w:type="dxa"/>
            <w:gridSpan w:val="8"/>
            <w:vAlign w:val="center"/>
          </w:tcPr>
          <w:p w14:paraId="33F0476F">
            <w:pPr>
              <w:jc w:val="center"/>
            </w:pPr>
            <w:r>
              <w:rPr>
                <w:rFonts w:ascii="宋体" w:hAnsi="宋体" w:eastAsia="宋体"/>
                <w:sz w:val="24"/>
              </w:rPr>
              <w:t>（2024年度）</w:t>
            </w:r>
          </w:p>
        </w:tc>
      </w:tr>
      <w:tr w14:paraId="3152088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B637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3EF4F0">
            <w:pPr>
              <w:jc w:val="center"/>
            </w:pPr>
            <w:r>
              <w:rPr>
                <w:rFonts w:ascii="宋体" w:hAnsi="宋体" w:eastAsia="宋体"/>
                <w:sz w:val="16"/>
              </w:rPr>
              <w:t>裕民县哈拉布拉水库服务中心</w:t>
            </w:r>
          </w:p>
        </w:tc>
      </w:tr>
      <w:tr w14:paraId="02AB355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D9D1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18B7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0786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81A9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C19A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D9CD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30AE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4FCA9">
            <w:pPr>
              <w:jc w:val="center"/>
            </w:pPr>
            <w:r>
              <w:rPr>
                <w:rFonts w:ascii="宋体" w:hAnsi="宋体" w:eastAsia="宋体"/>
                <w:sz w:val="16"/>
              </w:rPr>
              <w:t>得分</w:t>
            </w:r>
          </w:p>
        </w:tc>
      </w:tr>
      <w:tr w14:paraId="1AA480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F4A3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4C0A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8ECDD">
            <w:pPr>
              <w:jc w:val="center"/>
            </w:pPr>
            <w:r>
              <w:rPr>
                <w:rFonts w:ascii="宋体" w:hAnsi="宋体" w:eastAsia="宋体"/>
                <w:sz w:val="16"/>
              </w:rPr>
              <w:t>137.61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3FB91">
            <w:pPr>
              <w:jc w:val="center"/>
            </w:pPr>
            <w:r>
              <w:rPr>
                <w:rFonts w:ascii="宋体" w:hAnsi="宋体" w:eastAsia="宋体"/>
                <w:sz w:val="16"/>
              </w:rPr>
              <w:t>136.47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15701">
            <w:pPr>
              <w:jc w:val="center"/>
            </w:pPr>
            <w:r>
              <w:rPr>
                <w:rFonts w:ascii="宋体" w:hAnsi="宋体" w:eastAsia="宋体"/>
                <w:sz w:val="16"/>
              </w:rPr>
              <w:t>112.34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5747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68C83">
            <w:pPr>
              <w:jc w:val="center"/>
            </w:pPr>
            <w:r>
              <w:rPr>
                <w:rFonts w:ascii="宋体" w:hAnsi="宋体" w:eastAsia="宋体"/>
                <w:sz w:val="16"/>
              </w:rPr>
              <w:t>82.32%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6AD00">
            <w:pPr>
              <w:jc w:val="center"/>
            </w:pPr>
            <w:r>
              <w:rPr>
                <w:rFonts w:ascii="宋体" w:hAnsi="宋体" w:eastAsia="宋体"/>
                <w:sz w:val="16"/>
              </w:rPr>
              <w:t>8.23</w:t>
            </w:r>
          </w:p>
        </w:tc>
      </w:tr>
      <w:tr w14:paraId="59B6E7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27EDB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C5D2E">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4053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2424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014F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861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4A57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6FAAB">
            <w:pPr>
              <w:jc w:val="center"/>
            </w:pPr>
            <w:r>
              <w:rPr>
                <w:rFonts w:ascii="宋体" w:hAnsi="宋体" w:eastAsia="宋体"/>
                <w:sz w:val="16"/>
              </w:rPr>
              <w:t>-</w:t>
            </w:r>
          </w:p>
        </w:tc>
      </w:tr>
      <w:tr w14:paraId="0274F9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319D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BE655">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7B111">
            <w:pPr>
              <w:jc w:val="center"/>
            </w:pPr>
            <w:r>
              <w:rPr>
                <w:rFonts w:ascii="宋体" w:hAnsi="宋体" w:eastAsia="宋体"/>
                <w:sz w:val="16"/>
              </w:rPr>
              <w:t>96.11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CEA2B">
            <w:pPr>
              <w:jc w:val="center"/>
            </w:pPr>
            <w:r>
              <w:rPr>
                <w:rFonts w:ascii="宋体" w:hAnsi="宋体" w:eastAsia="宋体"/>
                <w:sz w:val="16"/>
              </w:rPr>
              <w:t>91.41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7F9E2">
            <w:pPr>
              <w:jc w:val="center"/>
            </w:pPr>
            <w:r>
              <w:rPr>
                <w:rFonts w:ascii="宋体" w:hAnsi="宋体" w:eastAsia="宋体"/>
                <w:sz w:val="16"/>
              </w:rPr>
              <w:t>91.41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AD1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EE29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D8AC9">
            <w:pPr>
              <w:jc w:val="center"/>
            </w:pPr>
            <w:r>
              <w:rPr>
                <w:rFonts w:ascii="宋体" w:hAnsi="宋体" w:eastAsia="宋体"/>
                <w:sz w:val="16"/>
              </w:rPr>
              <w:t>-</w:t>
            </w:r>
          </w:p>
        </w:tc>
      </w:tr>
      <w:tr w14:paraId="1491CB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267E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6DD4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2D709">
            <w:pPr>
              <w:jc w:val="center"/>
            </w:pPr>
            <w:r>
              <w:rPr>
                <w:rFonts w:ascii="宋体" w:hAnsi="宋体" w:eastAsia="宋体"/>
                <w:sz w:val="16"/>
              </w:rPr>
              <w:t>41.50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7CEE1">
            <w:pPr>
              <w:jc w:val="center"/>
            </w:pPr>
            <w:r>
              <w:rPr>
                <w:rFonts w:ascii="宋体" w:hAnsi="宋体" w:eastAsia="宋体"/>
                <w:sz w:val="16"/>
              </w:rPr>
              <w:t>45.06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B3236">
            <w:pPr>
              <w:jc w:val="center"/>
            </w:pPr>
            <w:r>
              <w:rPr>
                <w:rFonts w:ascii="宋体" w:hAnsi="宋体" w:eastAsia="宋体"/>
                <w:sz w:val="16"/>
              </w:rPr>
              <w:t>20.93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D92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986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D86DA">
            <w:pPr>
              <w:jc w:val="center"/>
            </w:pPr>
            <w:r>
              <w:rPr>
                <w:rFonts w:ascii="宋体" w:hAnsi="宋体" w:eastAsia="宋体"/>
                <w:sz w:val="16"/>
              </w:rPr>
              <w:t>-</w:t>
            </w:r>
          </w:p>
        </w:tc>
      </w:tr>
      <w:tr w14:paraId="6AA3C8C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C87B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DDD5D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71DFFB">
            <w:pPr>
              <w:jc w:val="center"/>
            </w:pPr>
            <w:r>
              <w:rPr>
                <w:rFonts w:ascii="宋体" w:hAnsi="宋体" w:eastAsia="宋体"/>
                <w:sz w:val="16"/>
              </w:rPr>
              <w:t>实际完成情况</w:t>
            </w:r>
          </w:p>
        </w:tc>
      </w:tr>
      <w:tr w14:paraId="68B286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5D9FE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DF8FDE">
            <w:pPr>
              <w:jc w:val="both"/>
            </w:pPr>
            <w:r>
              <w:rPr>
                <w:rFonts w:ascii="宋体" w:hAnsi="宋体" w:eastAsia="宋体"/>
                <w:sz w:val="16"/>
              </w:rPr>
              <w:t>深入贯彻落实党的二十大精神以及习近平总书记关于治</w:t>
            </w:r>
            <w:r>
              <w:rPr>
                <w:rFonts w:hint="eastAsia" w:ascii="宋体" w:hAnsi="宋体"/>
                <w:sz w:val="16"/>
                <w:lang w:eastAsia="zh-CN"/>
              </w:rPr>
              <w:t>水的</w:t>
            </w:r>
            <w:r>
              <w:rPr>
                <w:rFonts w:ascii="宋体" w:hAnsi="宋体" w:eastAsia="宋体"/>
                <w:sz w:val="16"/>
              </w:rPr>
              <w:t>重要论述，特别是新时期“节水优先、空间均衡、系统治理、两手发力”治水方针，做好水库大坝、坝区巡测工作，密切关注水库水量、水质变化情况，及时掌握动态变化，为各项决策和供调水方案提供详实准确的资料，确保合理配置水资源，不断提高供水效益，做好水源地保护工作，努力提高水库经济效益，确保防洪安全、供水安全、环境安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07A336">
            <w:pPr>
              <w:jc w:val="both"/>
            </w:pPr>
            <w:r>
              <w:rPr>
                <w:rFonts w:ascii="宋体" w:hAnsi="宋体" w:eastAsia="宋体"/>
                <w:sz w:val="16"/>
              </w:rPr>
              <w:t>2024年裕民县哈拉布拉水库服务中心落实做好水库大坝、坝区巡测工作，保障农业灌溉供水量5749.18万m3，保障居民饮水供水保障率100%，做好预案编制3个，排灌设施运行合格率达到100%，确保防洪安全、供水安全、环境安全。通过日常巡视检测365天，防洪物资储备1批，增强群众抗灾避险能力，防止和减少汛灾给人民群众的生命财产造成危害及损失，确保水库安全运行。</w:t>
            </w:r>
          </w:p>
        </w:tc>
      </w:tr>
      <w:tr w14:paraId="39DBA68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8BA3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4106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7247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B187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A53A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6890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40E4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A9A77">
            <w:pPr>
              <w:jc w:val="center"/>
            </w:pPr>
            <w:r>
              <w:rPr>
                <w:rFonts w:ascii="宋体" w:hAnsi="宋体" w:eastAsia="宋体"/>
                <w:sz w:val="16"/>
              </w:rPr>
              <w:t>得分</w:t>
            </w:r>
          </w:p>
        </w:tc>
      </w:tr>
      <w:tr w14:paraId="34D046F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DAC1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3536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57480">
            <w:pPr>
              <w:jc w:val="center"/>
            </w:pPr>
            <w:r>
              <w:rPr>
                <w:rFonts w:ascii="宋体" w:hAnsi="宋体" w:eastAsia="宋体"/>
                <w:sz w:val="16"/>
              </w:rPr>
              <w:t>预案编制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336AA">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B27CC">
            <w:pPr>
              <w:jc w:val="center"/>
            </w:pPr>
            <w:r>
              <w:rPr>
                <w:rFonts w:ascii="宋体" w:hAnsi="宋体" w:eastAsia="宋体"/>
                <w:sz w:val="16"/>
              </w:rPr>
              <w:t>哈拉布拉水库服务中心2024年工作计划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723E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95BA5">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00FBB">
            <w:pPr>
              <w:jc w:val="center"/>
            </w:pPr>
            <w:r>
              <w:rPr>
                <w:rFonts w:ascii="宋体" w:hAnsi="宋体" w:eastAsia="宋体"/>
                <w:sz w:val="16"/>
              </w:rPr>
              <w:t>15</w:t>
            </w:r>
          </w:p>
        </w:tc>
      </w:tr>
      <w:tr w14:paraId="7EB213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8BEFD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D31C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C2876">
            <w:pPr>
              <w:jc w:val="center"/>
            </w:pPr>
            <w:r>
              <w:rPr>
                <w:rFonts w:ascii="宋体" w:hAnsi="宋体" w:eastAsia="宋体"/>
                <w:sz w:val="16"/>
              </w:rPr>
              <w:t>日常巡视检测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AE7A5">
            <w:pPr>
              <w:jc w:val="center"/>
            </w:pPr>
            <w:r>
              <w:rPr>
                <w:rFonts w:ascii="宋体" w:hAnsi="宋体" w:eastAsia="宋体"/>
                <w:sz w:val="16"/>
              </w:rPr>
              <w:t>365天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06BCC">
            <w:pPr>
              <w:jc w:val="center"/>
            </w:pPr>
            <w:r>
              <w:rPr>
                <w:rFonts w:ascii="宋体" w:hAnsi="宋体" w:eastAsia="宋体"/>
                <w:sz w:val="16"/>
              </w:rPr>
              <w:t>哈拉布拉水库服务中心2024年工作计划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9874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97AEA">
            <w:pPr>
              <w:jc w:val="center"/>
            </w:pPr>
            <w:r>
              <w:rPr>
                <w:rFonts w:ascii="宋体" w:hAnsi="宋体" w:eastAsia="宋体"/>
                <w:sz w:val="16"/>
              </w:rPr>
              <w:t>365天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791AA">
            <w:pPr>
              <w:jc w:val="center"/>
            </w:pPr>
            <w:r>
              <w:rPr>
                <w:rFonts w:ascii="宋体" w:hAnsi="宋体" w:eastAsia="宋体"/>
                <w:sz w:val="16"/>
              </w:rPr>
              <w:t>15</w:t>
            </w:r>
          </w:p>
        </w:tc>
      </w:tr>
      <w:tr w14:paraId="1006EE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A206D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C004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D288E">
            <w:pPr>
              <w:jc w:val="center"/>
            </w:pPr>
            <w:r>
              <w:rPr>
                <w:rFonts w:ascii="宋体" w:hAnsi="宋体" w:eastAsia="宋体"/>
                <w:sz w:val="16"/>
              </w:rPr>
              <w:t>防洪物资储备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C1CA7">
            <w:pPr>
              <w:jc w:val="center"/>
            </w:pPr>
            <w:r>
              <w:rPr>
                <w:rFonts w:ascii="宋体" w:hAnsi="宋体" w:eastAsia="宋体"/>
                <w:sz w:val="16"/>
              </w:rPr>
              <w:t>1批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694BF">
            <w:pPr>
              <w:jc w:val="center"/>
            </w:pPr>
            <w:r>
              <w:rPr>
                <w:rFonts w:ascii="宋体" w:hAnsi="宋体" w:eastAsia="宋体"/>
                <w:sz w:val="16"/>
              </w:rPr>
              <w:t>哈拉布拉水库服务中心2024年工作计划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10AC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3D61E">
            <w:pPr>
              <w:jc w:val="center"/>
            </w:pPr>
            <w:r>
              <w:rPr>
                <w:rFonts w:ascii="宋体" w:hAnsi="宋体" w:eastAsia="宋体"/>
                <w:sz w:val="16"/>
              </w:rPr>
              <w:t>1批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88CA7">
            <w:pPr>
              <w:jc w:val="center"/>
            </w:pPr>
            <w:r>
              <w:rPr>
                <w:rFonts w:ascii="宋体" w:hAnsi="宋体" w:eastAsia="宋体"/>
                <w:sz w:val="16"/>
              </w:rPr>
              <w:t>15</w:t>
            </w:r>
          </w:p>
        </w:tc>
      </w:tr>
      <w:tr w14:paraId="4ED93D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E9168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A828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AA3A2">
            <w:pPr>
              <w:jc w:val="center"/>
            </w:pPr>
            <w:r>
              <w:rPr>
                <w:rFonts w:ascii="宋体" w:hAnsi="宋体" w:eastAsia="宋体"/>
                <w:sz w:val="16"/>
              </w:rPr>
              <w:t>农业灌溉供水量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A6B5D">
            <w:pPr>
              <w:jc w:val="center"/>
            </w:pPr>
            <w:r>
              <w:rPr>
                <w:rFonts w:ascii="宋体" w:hAnsi="宋体" w:eastAsia="宋体"/>
                <w:sz w:val="16"/>
              </w:rPr>
              <w:t>5749.18万m3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6F8CC">
            <w:pPr>
              <w:jc w:val="center"/>
            </w:pPr>
            <w:r>
              <w:rPr>
                <w:rFonts w:ascii="宋体" w:hAnsi="宋体" w:eastAsia="宋体"/>
                <w:sz w:val="16"/>
              </w:rPr>
              <w:t>哈拉布拉水库服务中心2024年工作计划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FE18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DEB2B">
            <w:pPr>
              <w:jc w:val="center"/>
            </w:pPr>
            <w:r>
              <w:rPr>
                <w:rFonts w:ascii="宋体" w:hAnsi="宋体" w:eastAsia="宋体"/>
                <w:sz w:val="16"/>
              </w:rPr>
              <w:t>5749.18万m3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C6186">
            <w:pPr>
              <w:jc w:val="center"/>
            </w:pPr>
            <w:r>
              <w:rPr>
                <w:rFonts w:ascii="宋体" w:hAnsi="宋体" w:eastAsia="宋体"/>
                <w:sz w:val="16"/>
              </w:rPr>
              <w:t>15</w:t>
            </w:r>
          </w:p>
        </w:tc>
      </w:tr>
      <w:tr w14:paraId="4DD0320D">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2AA9B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28F5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37436">
            <w:pPr>
              <w:jc w:val="center"/>
            </w:pPr>
            <w:r>
              <w:rPr>
                <w:rFonts w:ascii="宋体" w:hAnsi="宋体" w:eastAsia="宋体"/>
                <w:sz w:val="16"/>
              </w:rPr>
              <w:t>居民饮水供水保障率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B7D3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D5153">
            <w:pPr>
              <w:jc w:val="center"/>
            </w:pPr>
            <w:r>
              <w:rPr>
                <w:rFonts w:ascii="宋体" w:hAnsi="宋体" w:eastAsia="宋体"/>
                <w:sz w:val="16"/>
              </w:rPr>
              <w:t>哈拉布拉水库服务中心2024年工作计划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F173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21F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22B94">
            <w:pPr>
              <w:jc w:val="center"/>
            </w:pPr>
            <w:r>
              <w:rPr>
                <w:rFonts w:ascii="宋体" w:hAnsi="宋体" w:eastAsia="宋体"/>
                <w:sz w:val="16"/>
              </w:rPr>
              <w:t>15</w:t>
            </w:r>
          </w:p>
        </w:tc>
      </w:tr>
      <w:tr w14:paraId="638623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491C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57BE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3ABA7">
            <w:pPr>
              <w:jc w:val="center"/>
            </w:pPr>
            <w:r>
              <w:rPr>
                <w:rFonts w:ascii="宋体" w:hAnsi="宋体" w:eastAsia="宋体"/>
                <w:sz w:val="16"/>
              </w:rPr>
              <w:t>排灌设施运行合格率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EBD3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1A8C5">
            <w:pPr>
              <w:jc w:val="center"/>
            </w:pPr>
            <w:r>
              <w:rPr>
                <w:rFonts w:ascii="宋体" w:hAnsi="宋体" w:eastAsia="宋体"/>
                <w:sz w:val="16"/>
              </w:rPr>
              <w:t>哈拉布拉水库服务中心2024年工作计划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0467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D48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59B58">
            <w:pPr>
              <w:jc w:val="center"/>
            </w:pPr>
            <w:r>
              <w:rPr>
                <w:rFonts w:ascii="宋体" w:hAnsi="宋体" w:eastAsia="宋体"/>
                <w:sz w:val="16"/>
              </w:rPr>
              <w:t>15</w:t>
            </w:r>
          </w:p>
        </w:tc>
      </w:tr>
    </w:tbl>
    <w:p w14:paraId="6244BE21">
      <w:r>
        <w:br w:type="page"/>
      </w:r>
    </w:p>
    <w:p w14:paraId="06B3E28C">
      <w:pPr>
        <w:spacing w:line="640" w:lineRule="exact"/>
        <w:ind w:firstLine="640"/>
        <w:jc w:val="both"/>
        <w:outlineLvl w:val="2"/>
      </w:pPr>
      <w:r>
        <w:rPr>
          <w:rFonts w:ascii="黑体" w:hAnsi="黑体" w:eastAsia="黑体"/>
          <w:sz w:val="32"/>
        </w:rPr>
        <w:t>十二、其他需说明的事项</w:t>
      </w:r>
    </w:p>
    <w:p w14:paraId="3216DCDF">
      <w:pPr>
        <w:spacing w:line="580" w:lineRule="exact"/>
        <w:ind w:firstLine="640"/>
        <w:jc w:val="both"/>
      </w:pPr>
      <w:r>
        <w:rPr>
          <w:rFonts w:ascii="仿宋_GB2312" w:hAnsi="仿宋_GB2312" w:eastAsia="仿宋_GB2312"/>
          <w:b w:val="0"/>
          <w:sz w:val="32"/>
        </w:rPr>
        <w:t>本单位无其他需说明的事项。</w:t>
      </w:r>
      <w:bookmarkStart w:id="0" w:name="_GoBack"/>
      <w:bookmarkEnd w:id="0"/>
    </w:p>
    <w:p w14:paraId="12575F6E">
      <w:r>
        <w:br w:type="page"/>
      </w:r>
    </w:p>
    <w:p w14:paraId="390E6460">
      <w:pPr>
        <w:spacing w:line="240" w:lineRule="auto"/>
        <w:jc w:val="center"/>
        <w:outlineLvl w:val="1"/>
      </w:pPr>
      <w:r>
        <w:rPr>
          <w:rFonts w:ascii="黑体" w:hAnsi="黑体" w:eastAsia="黑体"/>
          <w:sz w:val="32"/>
        </w:rPr>
        <w:t>第三部分 专业名词解释</w:t>
      </w:r>
    </w:p>
    <w:p w14:paraId="6A7A274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104A6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ED742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B6F635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C955C3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6EA91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4457A1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C4299C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6F69E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15CC0F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44FBB5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47C3A2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90D91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4B82BA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CE11FA">
      <w:r>
        <w:br w:type="page"/>
      </w:r>
    </w:p>
    <w:p w14:paraId="6BD4E005">
      <w:pPr>
        <w:spacing w:line="240" w:lineRule="auto"/>
        <w:jc w:val="center"/>
        <w:outlineLvl w:val="1"/>
      </w:pPr>
      <w:r>
        <w:rPr>
          <w:rFonts w:ascii="黑体" w:hAnsi="黑体" w:eastAsia="黑体"/>
          <w:sz w:val="32"/>
        </w:rPr>
        <w:t>第四部分 部门决算报表（见附表）</w:t>
      </w:r>
    </w:p>
    <w:p w14:paraId="1CB1E1E7">
      <w:pPr>
        <w:spacing w:line="240" w:lineRule="auto"/>
        <w:ind w:firstLine="640"/>
        <w:jc w:val="both"/>
      </w:pPr>
      <w:r>
        <w:rPr>
          <w:rFonts w:ascii="仿宋_GB2312" w:hAnsi="仿宋_GB2312" w:eastAsia="仿宋_GB2312"/>
          <w:b w:val="0"/>
          <w:sz w:val="32"/>
        </w:rPr>
        <w:t>一、《收入支出决算总表》</w:t>
      </w:r>
    </w:p>
    <w:p w14:paraId="455743C5">
      <w:pPr>
        <w:spacing w:line="240" w:lineRule="auto"/>
        <w:ind w:firstLine="640"/>
        <w:jc w:val="both"/>
      </w:pPr>
      <w:r>
        <w:rPr>
          <w:rFonts w:ascii="仿宋_GB2312" w:hAnsi="仿宋_GB2312" w:eastAsia="仿宋_GB2312"/>
          <w:b w:val="0"/>
          <w:sz w:val="32"/>
        </w:rPr>
        <w:t>二、《收入决算表》</w:t>
      </w:r>
    </w:p>
    <w:p w14:paraId="2322A74A">
      <w:pPr>
        <w:spacing w:line="240" w:lineRule="auto"/>
        <w:ind w:firstLine="640"/>
        <w:jc w:val="both"/>
      </w:pPr>
      <w:r>
        <w:rPr>
          <w:rFonts w:ascii="仿宋_GB2312" w:hAnsi="仿宋_GB2312" w:eastAsia="仿宋_GB2312"/>
          <w:b w:val="0"/>
          <w:sz w:val="32"/>
        </w:rPr>
        <w:t>三、《支出决算表》</w:t>
      </w:r>
    </w:p>
    <w:p w14:paraId="16925491">
      <w:pPr>
        <w:spacing w:line="240" w:lineRule="auto"/>
        <w:ind w:firstLine="640"/>
        <w:jc w:val="both"/>
      </w:pPr>
      <w:r>
        <w:rPr>
          <w:rFonts w:ascii="仿宋_GB2312" w:hAnsi="仿宋_GB2312" w:eastAsia="仿宋_GB2312"/>
          <w:b w:val="0"/>
          <w:sz w:val="32"/>
        </w:rPr>
        <w:t>四、《财政拨款收入支出决算总表》</w:t>
      </w:r>
    </w:p>
    <w:p w14:paraId="5EE7CF30">
      <w:pPr>
        <w:spacing w:line="240" w:lineRule="auto"/>
        <w:ind w:firstLine="640"/>
        <w:jc w:val="both"/>
      </w:pPr>
      <w:r>
        <w:rPr>
          <w:rFonts w:ascii="仿宋_GB2312" w:hAnsi="仿宋_GB2312" w:eastAsia="仿宋_GB2312"/>
          <w:b w:val="0"/>
          <w:sz w:val="32"/>
        </w:rPr>
        <w:t>五、《一般公共预算财政拨款支出决算表》</w:t>
      </w:r>
    </w:p>
    <w:p w14:paraId="44D4302C">
      <w:pPr>
        <w:spacing w:line="240" w:lineRule="auto"/>
        <w:ind w:firstLine="640"/>
        <w:jc w:val="both"/>
      </w:pPr>
      <w:r>
        <w:rPr>
          <w:rFonts w:ascii="仿宋_GB2312" w:hAnsi="仿宋_GB2312" w:eastAsia="仿宋_GB2312"/>
          <w:b w:val="0"/>
          <w:sz w:val="32"/>
        </w:rPr>
        <w:t>六、《一般公共预算财政拨款基本支出决算表》</w:t>
      </w:r>
    </w:p>
    <w:p w14:paraId="5E724008">
      <w:pPr>
        <w:spacing w:line="240" w:lineRule="auto"/>
        <w:ind w:firstLine="640"/>
        <w:jc w:val="both"/>
      </w:pPr>
      <w:r>
        <w:rPr>
          <w:rFonts w:ascii="仿宋_GB2312" w:hAnsi="仿宋_GB2312" w:eastAsia="仿宋_GB2312"/>
          <w:b w:val="0"/>
          <w:sz w:val="32"/>
        </w:rPr>
        <w:t>七、《政府性基金预算财政拨款收入支出决算表》</w:t>
      </w:r>
    </w:p>
    <w:p w14:paraId="1565F013">
      <w:pPr>
        <w:spacing w:line="240" w:lineRule="auto"/>
        <w:ind w:firstLine="640"/>
        <w:jc w:val="both"/>
      </w:pPr>
      <w:r>
        <w:rPr>
          <w:rFonts w:ascii="仿宋_GB2312" w:hAnsi="仿宋_GB2312" w:eastAsia="仿宋_GB2312"/>
          <w:b w:val="0"/>
          <w:sz w:val="32"/>
        </w:rPr>
        <w:t>八、《国有资本经营预算财政拨款收入支出决算表》</w:t>
      </w:r>
    </w:p>
    <w:p w14:paraId="2511C56D">
      <w:pPr>
        <w:spacing w:line="240" w:lineRule="auto"/>
        <w:ind w:firstLine="640"/>
        <w:jc w:val="both"/>
      </w:pPr>
      <w:r>
        <w:rPr>
          <w:rFonts w:ascii="仿宋_GB2312" w:hAnsi="仿宋_GB2312" w:eastAsia="仿宋_GB2312"/>
          <w:b w:val="0"/>
          <w:sz w:val="32"/>
        </w:rPr>
        <w:t>九、《财政拨款“三公”经费支出决算表》</w:t>
      </w:r>
    </w:p>
    <w:p w14:paraId="0790D226">
      <w:pPr>
        <w:spacing w:line="240" w:lineRule="auto"/>
        <w:ind w:firstLine="640"/>
        <w:jc w:val="both"/>
      </w:pPr>
    </w:p>
    <w:p w14:paraId="1C38CA30">
      <w:pPr>
        <w:spacing w:line="240" w:lineRule="auto"/>
        <w:ind w:firstLine="640"/>
        <w:jc w:val="both"/>
      </w:pPr>
    </w:p>
    <w:p w14:paraId="2C948B6B">
      <w:pPr>
        <w:spacing w:line="240" w:lineRule="auto"/>
        <w:ind w:firstLine="640"/>
        <w:jc w:val="both"/>
      </w:pPr>
    </w:p>
    <w:p w14:paraId="3A0F0A1A">
      <w:pPr>
        <w:spacing w:line="240" w:lineRule="auto"/>
        <w:ind w:firstLine="640"/>
        <w:jc w:val="both"/>
      </w:pPr>
    </w:p>
    <w:p w14:paraId="39DF1C7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00F3B6-2DB2-4C8A-B97D-07C04F3B14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1729B0B-4CE6-4311-8A42-8B459F24DCEB}"/>
  </w:font>
  <w:font w:name="仿宋_GB2312">
    <w:panose1 w:val="02010609030101010101"/>
    <w:charset w:val="86"/>
    <w:family w:val="auto"/>
    <w:pitch w:val="default"/>
    <w:sig w:usb0="00000001" w:usb1="080E0000" w:usb2="00000000" w:usb3="00000000" w:csb0="00040000" w:csb1="00000000"/>
    <w:embedRegular r:id="rId3" w:fontKey="{6F803002-F980-451A-8945-30DB12F398A7}"/>
  </w:font>
  <w:font w:name="楷体_GB2312">
    <w:panose1 w:val="02010609030101010101"/>
    <w:charset w:val="86"/>
    <w:family w:val="auto"/>
    <w:pitch w:val="default"/>
    <w:sig w:usb0="00000001" w:usb1="080E0000" w:usb2="00000000" w:usb3="00000000" w:csb0="00040000" w:csb1="00000000"/>
    <w:embedRegular r:id="rId4" w:fontKey="{68A7B9B3-ED8A-4A18-A5E4-88247D1F8FE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BAE74C1"/>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813002"/>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E43E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3748</Words>
  <Characters>4309</Characters>
  <Lines>0</Lines>
  <Paragraphs>0</Paragraphs>
  <TotalTime>2</TotalTime>
  <ScaleCrop>false</ScaleCrop>
  <LinksUpToDate>false</LinksUpToDate>
  <CharactersWithSpaces>4317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2025-11-07T08:32:49Z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