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14F64">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0A6EA5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F570E8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21767A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A4C3CB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449FEC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989E46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0B3F0B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4F178B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B5FFD0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0530A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2F905F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F3BE5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5EBAF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58215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0DB25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25C3B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687ABF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B26B86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69B960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7F033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2F6313E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7DACE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860B0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DDE43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667BE3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063F4E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F59EA7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AAEC4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4BA97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56D8CA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F7895D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DBE179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038B13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C26CA2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4C64D7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F426D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2635A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2115E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72C2C9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1D782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401F0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BFFA43">
      <w:r>
        <w:br w:type="page"/>
      </w:r>
    </w:p>
    <w:p w14:paraId="2F02C0F1">
      <w:pPr>
        <w:spacing w:line="640" w:lineRule="exact"/>
        <w:jc w:val="center"/>
        <w:outlineLvl w:val="1"/>
      </w:pPr>
      <w:r>
        <w:rPr>
          <w:rFonts w:ascii="黑体" w:hAnsi="黑体" w:eastAsia="黑体"/>
          <w:sz w:val="32"/>
        </w:rPr>
        <w:t>第一部分 单位概况</w:t>
      </w:r>
    </w:p>
    <w:p w14:paraId="4C502F73">
      <w:pPr>
        <w:spacing w:line="640" w:lineRule="exact"/>
        <w:ind w:firstLine="640"/>
        <w:jc w:val="both"/>
        <w:outlineLvl w:val="2"/>
      </w:pPr>
      <w:r>
        <w:rPr>
          <w:rFonts w:ascii="黑体" w:hAnsi="黑体" w:eastAsia="黑体"/>
          <w:sz w:val="32"/>
        </w:rPr>
        <w:t>一、主要职能</w:t>
      </w:r>
    </w:p>
    <w:p w14:paraId="15F71FAE">
      <w:pPr>
        <w:spacing w:line="580" w:lineRule="exact"/>
        <w:ind w:firstLine="640"/>
        <w:jc w:val="both"/>
        <w:rPr>
          <w:rFonts w:hint="eastAsia" w:eastAsia="仿宋_GB2312"/>
          <w:lang w:eastAsia="zh-CN"/>
        </w:rPr>
      </w:pPr>
      <w:r>
        <w:rPr>
          <w:rFonts w:ascii="仿宋_GB2312" w:hAnsi="仿宋_GB2312" w:eastAsia="仿宋_GB2312"/>
          <w:sz w:val="32"/>
        </w:rPr>
        <w:t>司法局贯彻落实党中央关于司法行政工作的方针政策和决策部署，在履行职责过程中坚持和加强党对司法行政工作的集中统一领导。主要职责包括</w:t>
      </w:r>
      <w:r>
        <w:rPr>
          <w:rFonts w:hint="eastAsia" w:ascii="仿宋_GB2312" w:hAnsi="仿宋_GB2312" w:eastAsia="仿宋_GB2312"/>
          <w:sz w:val="32"/>
          <w:lang w:eastAsia="zh-CN"/>
        </w:rPr>
        <w:t>：</w:t>
      </w:r>
    </w:p>
    <w:p w14:paraId="4CE64361">
      <w:pPr>
        <w:spacing w:line="580" w:lineRule="exact"/>
        <w:ind w:firstLine="640"/>
        <w:jc w:val="both"/>
      </w:pPr>
      <w:r>
        <w:rPr>
          <w:rFonts w:ascii="仿宋_GB2312" w:hAnsi="仿宋_GB2312" w:eastAsia="仿宋_GB2312"/>
          <w:sz w:val="32"/>
        </w:rPr>
        <w:t>（一）贯彻执行中央、自治区、地区有关司法行政工作的方针、政策、</w:t>
      </w:r>
      <w:r>
        <w:rPr>
          <w:rFonts w:hint="eastAsia" w:ascii="仿宋_GB2312" w:hAnsi="仿宋_GB2312" w:eastAsia="仿宋_GB2312"/>
          <w:sz w:val="32"/>
          <w:lang w:eastAsia="zh-CN"/>
        </w:rPr>
        <w:t>法律法规</w:t>
      </w:r>
      <w:r>
        <w:rPr>
          <w:rFonts w:ascii="仿宋_GB2312" w:hAnsi="仿宋_GB2312" w:eastAsia="仿宋_GB2312"/>
          <w:sz w:val="32"/>
        </w:rPr>
        <w:t>和规章，制定全县司法行政工作的规范性文件，拟定全县司法行政工作的中长期发展规划、年度工作计划并组织实施。</w:t>
      </w:r>
    </w:p>
    <w:p w14:paraId="14188193">
      <w:pPr>
        <w:spacing w:line="580" w:lineRule="exact"/>
        <w:ind w:firstLine="640"/>
        <w:jc w:val="both"/>
      </w:pPr>
      <w:r>
        <w:rPr>
          <w:rFonts w:ascii="仿宋_GB2312" w:hAnsi="仿宋_GB2312" w:eastAsia="仿宋_GB2312"/>
          <w:sz w:val="32"/>
        </w:rPr>
        <w:t>（二）监督、指导和管理律师、公证和基层法律服务等法律服务工作。指导、监督法律服务行业的社会团体开展工作。</w:t>
      </w:r>
    </w:p>
    <w:p w14:paraId="6F616A98">
      <w:pPr>
        <w:spacing w:line="580" w:lineRule="exact"/>
        <w:ind w:firstLine="640"/>
        <w:jc w:val="both"/>
      </w:pPr>
      <w:r>
        <w:rPr>
          <w:rFonts w:ascii="仿宋_GB2312" w:hAnsi="仿宋_GB2312" w:eastAsia="仿宋_GB2312"/>
          <w:sz w:val="32"/>
        </w:rPr>
        <w:t>（三）整合法律援助、公证等法律服务资源，完善人民陪审员选任和人民监督员选任管理工作，为群众提供公共法律服务。</w:t>
      </w:r>
    </w:p>
    <w:p w14:paraId="49CD55F6">
      <w:pPr>
        <w:spacing w:line="580" w:lineRule="exact"/>
        <w:ind w:firstLine="640"/>
        <w:jc w:val="both"/>
      </w:pPr>
      <w:r>
        <w:rPr>
          <w:rFonts w:ascii="仿宋_GB2312" w:hAnsi="仿宋_GB2312" w:eastAsia="仿宋_GB2312"/>
          <w:sz w:val="32"/>
        </w:rPr>
        <w:t>（四）指导和管理全县基层司法所建设和人民调解工作，推动人民群众参与、促进、监督法治建设。</w:t>
      </w:r>
    </w:p>
    <w:p w14:paraId="4D15ED2A">
      <w:pPr>
        <w:spacing w:line="580" w:lineRule="exact"/>
        <w:ind w:firstLine="640"/>
        <w:jc w:val="both"/>
      </w:pPr>
      <w:r>
        <w:rPr>
          <w:rFonts w:ascii="仿宋_GB2312" w:hAnsi="仿宋_GB2312" w:eastAsia="仿宋_GB2312"/>
          <w:sz w:val="32"/>
        </w:rPr>
        <w:t>（五）拟订全县法治宣传教育规划并组织实施，指导各乡镇和各行业法治宣传、依法治理工作。</w:t>
      </w:r>
    </w:p>
    <w:p w14:paraId="394E579B">
      <w:pPr>
        <w:spacing w:line="580" w:lineRule="exact"/>
        <w:ind w:firstLine="640"/>
        <w:jc w:val="both"/>
      </w:pPr>
      <w:r>
        <w:rPr>
          <w:rFonts w:ascii="仿宋_GB2312" w:hAnsi="仿宋_GB2312" w:eastAsia="仿宋_GB2312"/>
          <w:sz w:val="32"/>
        </w:rPr>
        <w:t>（六）指导和管理全县社区矫正工作。</w:t>
      </w:r>
    </w:p>
    <w:p w14:paraId="6C55E467">
      <w:pPr>
        <w:spacing w:line="580" w:lineRule="exact"/>
        <w:ind w:firstLine="640"/>
        <w:jc w:val="both"/>
      </w:pPr>
      <w:r>
        <w:rPr>
          <w:rFonts w:ascii="仿宋_GB2312" w:hAnsi="仿宋_GB2312" w:eastAsia="仿宋_GB2312"/>
          <w:sz w:val="32"/>
        </w:rPr>
        <w:t>（七）监督、指导和管理全县刑释解教人员安置帮教工作。负责全县“危安类”服刑人员刑满释放时的衔接、押解工作。</w:t>
      </w:r>
    </w:p>
    <w:p w14:paraId="1DE3909D">
      <w:pPr>
        <w:spacing w:line="580" w:lineRule="exact"/>
        <w:ind w:firstLine="640"/>
        <w:jc w:val="both"/>
      </w:pPr>
      <w:r>
        <w:rPr>
          <w:rFonts w:ascii="仿宋_GB2312" w:hAnsi="仿宋_GB2312" w:eastAsia="仿宋_GB2312"/>
          <w:sz w:val="32"/>
        </w:rPr>
        <w:t>（八）监督、指导和管理全县司法行政系统的计划财务及服装和车辆等警用物资装备。</w:t>
      </w:r>
    </w:p>
    <w:p w14:paraId="087903C6">
      <w:pPr>
        <w:spacing w:line="580" w:lineRule="exact"/>
        <w:ind w:firstLine="640"/>
        <w:jc w:val="both"/>
      </w:pPr>
      <w:r>
        <w:rPr>
          <w:rFonts w:ascii="仿宋_GB2312" w:hAnsi="仿宋_GB2312" w:eastAsia="仿宋_GB2312"/>
          <w:sz w:val="32"/>
        </w:rPr>
        <w:t>（九）负责全县司法行政队伍建设和思想作风、工作作风建设，负责全县司法行政干警培训。</w:t>
      </w:r>
    </w:p>
    <w:p w14:paraId="7FE5E002">
      <w:pPr>
        <w:spacing w:line="580" w:lineRule="exact"/>
        <w:ind w:firstLine="640"/>
        <w:jc w:val="both"/>
      </w:pPr>
      <w:r>
        <w:rPr>
          <w:rFonts w:ascii="仿宋_GB2312" w:hAnsi="仿宋_GB2312" w:eastAsia="仿宋_GB2312"/>
          <w:sz w:val="32"/>
        </w:rPr>
        <w:t>（十）承办县委、县人民政府及上级主管部门交办的其他事项。</w:t>
      </w:r>
    </w:p>
    <w:p w14:paraId="5077D324">
      <w:pPr>
        <w:spacing w:line="640" w:lineRule="exact"/>
        <w:ind w:firstLine="640"/>
        <w:jc w:val="both"/>
        <w:outlineLvl w:val="2"/>
      </w:pPr>
      <w:r>
        <w:rPr>
          <w:rFonts w:ascii="黑体" w:hAnsi="黑体" w:eastAsia="黑体"/>
          <w:sz w:val="32"/>
        </w:rPr>
        <w:t>二、机构设置及人员情况</w:t>
      </w:r>
    </w:p>
    <w:p w14:paraId="301A262C">
      <w:pPr>
        <w:spacing w:line="580" w:lineRule="exact"/>
        <w:ind w:firstLine="640"/>
        <w:jc w:val="both"/>
      </w:pPr>
      <w:r>
        <w:rPr>
          <w:rFonts w:ascii="仿宋_GB2312" w:hAnsi="仿宋_GB2312" w:eastAsia="仿宋_GB2312"/>
          <w:sz w:val="32"/>
        </w:rPr>
        <w:t>裕民县司法局2024年度，实有人数51人，其中：在职人员27人，增加3人；离休人员0人，增加0人；退休人员24人,增加4人。</w:t>
      </w:r>
    </w:p>
    <w:p w14:paraId="49AE4243">
      <w:pPr>
        <w:spacing w:line="580" w:lineRule="exact"/>
        <w:ind w:firstLine="640"/>
        <w:jc w:val="both"/>
      </w:pPr>
      <w:r>
        <w:rPr>
          <w:rFonts w:ascii="仿宋_GB2312" w:hAnsi="仿宋_GB2312" w:eastAsia="仿宋_GB2312"/>
          <w:sz w:val="32"/>
        </w:rPr>
        <w:t>裕民县司法局无下属预算单位，下设7个科室，分别是：办公室、财务室、法治办、普法办、社区矫正室、公证处、法律援助中心。</w:t>
      </w:r>
    </w:p>
    <w:p w14:paraId="5B2AD083">
      <w:r>
        <w:br w:type="page"/>
      </w:r>
    </w:p>
    <w:p w14:paraId="5F8986C0">
      <w:pPr>
        <w:spacing w:line="240" w:lineRule="auto"/>
        <w:jc w:val="center"/>
        <w:outlineLvl w:val="1"/>
      </w:pPr>
      <w:r>
        <w:rPr>
          <w:rFonts w:ascii="黑体" w:hAnsi="黑体" w:eastAsia="黑体"/>
          <w:sz w:val="32"/>
        </w:rPr>
        <w:t>第二部分 部门决算情况说明</w:t>
      </w:r>
    </w:p>
    <w:p w14:paraId="603E142F">
      <w:pPr>
        <w:spacing w:line="640" w:lineRule="exact"/>
        <w:ind w:firstLine="640"/>
        <w:jc w:val="both"/>
        <w:outlineLvl w:val="2"/>
      </w:pPr>
      <w:r>
        <w:rPr>
          <w:rFonts w:ascii="黑体" w:hAnsi="黑体" w:eastAsia="黑体"/>
          <w:sz w:val="32"/>
        </w:rPr>
        <w:t>一、收入支出决算总体情况说明</w:t>
      </w:r>
    </w:p>
    <w:p w14:paraId="0131D67C">
      <w:pPr>
        <w:spacing w:line="580" w:lineRule="exact"/>
        <w:ind w:firstLine="640"/>
        <w:jc w:val="both"/>
      </w:pPr>
      <w:r>
        <w:rPr>
          <w:rFonts w:ascii="仿宋_GB2312" w:hAnsi="仿宋_GB2312" w:eastAsia="仿宋_GB2312"/>
          <w:b/>
          <w:sz w:val="32"/>
        </w:rPr>
        <w:t>2024年度收入总计691.44万元，</w:t>
      </w:r>
      <w:r>
        <w:rPr>
          <w:rFonts w:ascii="仿宋_GB2312" w:hAnsi="仿宋_GB2312" w:eastAsia="仿宋_GB2312"/>
          <w:b w:val="0"/>
          <w:sz w:val="32"/>
        </w:rPr>
        <w:t>其中：本年收入合计691.44万元，使用非财政拨款结余（含专用结余）0.00万元，年初结转和结余0.00万元。</w:t>
      </w:r>
    </w:p>
    <w:p w14:paraId="1A209BC6">
      <w:pPr>
        <w:spacing w:line="580" w:lineRule="exact"/>
        <w:ind w:firstLine="640"/>
        <w:jc w:val="both"/>
      </w:pPr>
      <w:r>
        <w:rPr>
          <w:rFonts w:ascii="仿宋_GB2312" w:hAnsi="仿宋_GB2312" w:eastAsia="仿宋_GB2312"/>
          <w:b/>
          <w:sz w:val="32"/>
        </w:rPr>
        <w:t>2024年度支出总计691.44万元，</w:t>
      </w:r>
      <w:r>
        <w:rPr>
          <w:rFonts w:ascii="仿宋_GB2312" w:hAnsi="仿宋_GB2312" w:eastAsia="仿宋_GB2312"/>
          <w:b w:val="0"/>
          <w:sz w:val="32"/>
        </w:rPr>
        <w:t>其中：本年支出合计691.44万元，结余分配0.00万元，年末结转和结余0.00万元。</w:t>
      </w:r>
    </w:p>
    <w:p w14:paraId="582B4C00">
      <w:pPr>
        <w:spacing w:line="580" w:lineRule="exact"/>
        <w:ind w:firstLine="640"/>
        <w:jc w:val="both"/>
      </w:pPr>
      <w:r>
        <w:rPr>
          <w:rFonts w:ascii="仿宋_GB2312" w:hAnsi="仿宋_GB2312" w:eastAsia="仿宋_GB2312"/>
          <w:b w:val="0"/>
          <w:sz w:val="32"/>
        </w:rPr>
        <w:t>收入支出总体与上年相比，增加107.82万元，增长18.47%，主要原因是：本年在职人员增加，</w:t>
      </w:r>
      <w:r>
        <w:rPr>
          <w:rFonts w:hint="eastAsia" w:ascii="仿宋_GB2312" w:hAnsi="仿宋_GB2312" w:eastAsia="仿宋_GB2312"/>
          <w:b w:val="0"/>
          <w:sz w:val="32"/>
          <w:lang w:val="en-US" w:eastAsia="zh-CN"/>
        </w:rPr>
        <w:t>人员工资、社保、公积金调增，</w:t>
      </w:r>
      <w:r>
        <w:rPr>
          <w:rFonts w:ascii="仿宋_GB2312" w:hAnsi="仿宋_GB2312" w:eastAsia="仿宋_GB2312"/>
          <w:b w:val="0"/>
          <w:sz w:val="32"/>
        </w:rPr>
        <w:t>相关人员经费增加，新增信息化建设资金。</w:t>
      </w:r>
    </w:p>
    <w:p w14:paraId="429A6513">
      <w:pPr>
        <w:spacing w:line="640" w:lineRule="exact"/>
        <w:ind w:firstLine="640"/>
        <w:jc w:val="both"/>
        <w:outlineLvl w:val="2"/>
      </w:pPr>
      <w:r>
        <w:rPr>
          <w:rFonts w:ascii="黑体" w:hAnsi="黑体" w:eastAsia="黑体"/>
          <w:sz w:val="32"/>
        </w:rPr>
        <w:t>二、收入决算情况说明</w:t>
      </w:r>
    </w:p>
    <w:p w14:paraId="6809E80C">
      <w:pPr>
        <w:spacing w:line="580" w:lineRule="exact"/>
        <w:ind w:firstLine="640"/>
        <w:jc w:val="both"/>
      </w:pPr>
      <w:r>
        <w:rPr>
          <w:rFonts w:ascii="仿宋_GB2312" w:hAnsi="仿宋_GB2312" w:eastAsia="仿宋_GB2312"/>
          <w:b/>
          <w:sz w:val="32"/>
        </w:rPr>
        <w:t>本年收入691.44万元，</w:t>
      </w:r>
      <w:r>
        <w:rPr>
          <w:rFonts w:ascii="仿宋_GB2312" w:hAnsi="仿宋_GB2312" w:eastAsia="仿宋_GB2312"/>
          <w:b w:val="0"/>
          <w:sz w:val="32"/>
        </w:rPr>
        <w:t>其中：财政拨款收入691.44万元，占100.00%；上级补助收入0.00万元，占0.00%；事业收入0.00万元，占0.00%；经营收入0.00万元，占0.00%；附属单位上缴收入0.00万元，占0.00%；其他收入0.00万元，占0.00%。</w:t>
      </w:r>
    </w:p>
    <w:p w14:paraId="2C75087E">
      <w:pPr>
        <w:spacing w:line="640" w:lineRule="exact"/>
        <w:ind w:firstLine="640"/>
        <w:jc w:val="both"/>
        <w:outlineLvl w:val="2"/>
      </w:pPr>
      <w:r>
        <w:rPr>
          <w:rFonts w:ascii="黑体" w:hAnsi="黑体" w:eastAsia="黑体"/>
          <w:sz w:val="32"/>
        </w:rPr>
        <w:t>三、支出决算情况说明</w:t>
      </w:r>
    </w:p>
    <w:p w14:paraId="02C804D2">
      <w:pPr>
        <w:spacing w:line="580" w:lineRule="exact"/>
        <w:ind w:firstLine="640"/>
        <w:jc w:val="both"/>
      </w:pPr>
      <w:r>
        <w:rPr>
          <w:rFonts w:ascii="仿宋_GB2312" w:hAnsi="仿宋_GB2312" w:eastAsia="仿宋_GB2312"/>
          <w:b/>
          <w:sz w:val="32"/>
        </w:rPr>
        <w:t>本年支出691.44万元，</w:t>
      </w:r>
      <w:r>
        <w:rPr>
          <w:rFonts w:ascii="仿宋_GB2312" w:hAnsi="仿宋_GB2312" w:eastAsia="仿宋_GB2312"/>
          <w:b w:val="0"/>
          <w:sz w:val="32"/>
        </w:rPr>
        <w:t>其中：基本支出601.29万元，占86.96%；项目支出90.15万元，占13.04%；上缴上级支出0.00万元，占0.00%；经营支出0.00万元，占0.00%；对附属单位补助支出0.00万元，占0.00%。</w:t>
      </w:r>
    </w:p>
    <w:p w14:paraId="2E420C49">
      <w:pPr>
        <w:spacing w:line="640" w:lineRule="exact"/>
        <w:ind w:firstLine="640"/>
        <w:jc w:val="both"/>
        <w:outlineLvl w:val="2"/>
      </w:pPr>
      <w:r>
        <w:rPr>
          <w:rFonts w:ascii="黑体" w:hAnsi="黑体" w:eastAsia="黑体"/>
          <w:sz w:val="32"/>
        </w:rPr>
        <w:t>四、财政拨款收入支出决算总体情况说明</w:t>
      </w:r>
    </w:p>
    <w:p w14:paraId="72AB010C">
      <w:pPr>
        <w:spacing w:line="580" w:lineRule="exact"/>
        <w:ind w:firstLine="640"/>
        <w:jc w:val="both"/>
      </w:pPr>
      <w:r>
        <w:rPr>
          <w:rFonts w:ascii="仿宋_GB2312" w:hAnsi="仿宋_GB2312" w:eastAsia="仿宋_GB2312"/>
          <w:b/>
          <w:sz w:val="32"/>
        </w:rPr>
        <w:t>2024年度财政拨款收入总计691.44万元，</w:t>
      </w:r>
      <w:r>
        <w:rPr>
          <w:rFonts w:ascii="仿宋_GB2312" w:hAnsi="仿宋_GB2312" w:eastAsia="仿宋_GB2312"/>
          <w:b w:val="0"/>
          <w:sz w:val="32"/>
        </w:rPr>
        <w:t>其中：年初财政拨款结转和结余0.00万元，本年财政拨款收入691.44万元。</w:t>
      </w:r>
      <w:r>
        <w:rPr>
          <w:rFonts w:ascii="仿宋_GB2312" w:hAnsi="仿宋_GB2312" w:eastAsia="仿宋_GB2312"/>
          <w:b/>
          <w:sz w:val="32"/>
        </w:rPr>
        <w:t>财政拨款支出总计691.44万元，</w:t>
      </w:r>
      <w:r>
        <w:rPr>
          <w:rFonts w:ascii="仿宋_GB2312" w:hAnsi="仿宋_GB2312" w:eastAsia="仿宋_GB2312"/>
          <w:b w:val="0"/>
          <w:sz w:val="32"/>
        </w:rPr>
        <w:t>其中：年末财政拨款结转和结余0.00万元，本年财政拨款支出691.44万元。</w:t>
      </w:r>
    </w:p>
    <w:p w14:paraId="200313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增加107.82万元，增长18.47%，主要原因是：本年在职人员增加，</w:t>
      </w:r>
      <w:r>
        <w:rPr>
          <w:rFonts w:hint="eastAsia" w:ascii="仿宋_GB2312" w:hAnsi="仿宋_GB2312" w:eastAsia="仿宋_GB2312"/>
          <w:b w:val="0"/>
          <w:sz w:val="32"/>
          <w:lang w:val="en-US" w:eastAsia="zh-CN"/>
        </w:rPr>
        <w:t>人员工资、社保、公积金调增，</w:t>
      </w:r>
      <w:r>
        <w:rPr>
          <w:rFonts w:ascii="仿宋_GB2312" w:hAnsi="仿宋_GB2312" w:eastAsia="仿宋_GB2312"/>
          <w:b w:val="0"/>
          <w:sz w:val="32"/>
        </w:rPr>
        <w:t>相关人员经费增加，新增信息化建设资金。</w:t>
      </w:r>
      <w:r>
        <w:rPr>
          <w:rFonts w:ascii="仿宋_GB2312" w:hAnsi="仿宋_GB2312" w:eastAsia="仿宋_GB2312"/>
          <w:b/>
          <w:sz w:val="32"/>
        </w:rPr>
        <w:t>与年初预算相比，</w:t>
      </w:r>
      <w:r>
        <w:rPr>
          <w:rFonts w:ascii="仿宋_GB2312" w:hAnsi="仿宋_GB2312" w:eastAsia="仿宋_GB2312"/>
          <w:b w:val="0"/>
          <w:sz w:val="32"/>
        </w:rPr>
        <w:t>年初预算数670.47万元，决算数691.44万元，预决算差异率3.13%，主要原因是：本年在职人员增加，年中追加人员经费及人员工资、社保、公积金基数调增部分资金，导致预决算差异。</w:t>
      </w:r>
    </w:p>
    <w:p w14:paraId="30014CE8">
      <w:pPr>
        <w:spacing w:line="640" w:lineRule="exact"/>
        <w:ind w:firstLine="640"/>
        <w:jc w:val="both"/>
        <w:outlineLvl w:val="2"/>
      </w:pPr>
      <w:r>
        <w:rPr>
          <w:rFonts w:ascii="黑体" w:hAnsi="黑体" w:eastAsia="黑体"/>
          <w:sz w:val="32"/>
        </w:rPr>
        <w:t>五、一般公共预算财政拨款支出决算情况说明</w:t>
      </w:r>
    </w:p>
    <w:p w14:paraId="09920EA4">
      <w:pPr>
        <w:spacing w:line="640" w:lineRule="exact"/>
        <w:ind w:firstLine="640"/>
        <w:jc w:val="both"/>
        <w:outlineLvl w:val="3"/>
      </w:pPr>
      <w:r>
        <w:rPr>
          <w:rFonts w:ascii="楷体_GB2312" w:hAnsi="楷体_GB2312" w:eastAsia="楷体_GB2312"/>
          <w:b/>
          <w:sz w:val="32"/>
        </w:rPr>
        <w:t>（一）一般公共预算财政拨款支出决算总体情况</w:t>
      </w:r>
    </w:p>
    <w:p w14:paraId="522ED142">
      <w:pPr>
        <w:spacing w:line="580" w:lineRule="exact"/>
        <w:ind w:firstLine="640"/>
        <w:jc w:val="both"/>
      </w:pPr>
      <w:r>
        <w:rPr>
          <w:rFonts w:ascii="仿宋_GB2312" w:hAnsi="仿宋_GB2312" w:eastAsia="仿宋_GB2312"/>
          <w:b/>
          <w:sz w:val="32"/>
        </w:rPr>
        <w:t>2024年度一般公共预算财政拨款支出691.44万元，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增加107.82万元，增长18.47%，主要原因是：本年在职人员增加，</w:t>
      </w:r>
      <w:r>
        <w:rPr>
          <w:rFonts w:hint="eastAsia" w:ascii="仿宋_GB2312" w:hAnsi="仿宋_GB2312" w:eastAsia="仿宋_GB2312"/>
          <w:b w:val="0"/>
          <w:sz w:val="32"/>
          <w:lang w:val="en-US" w:eastAsia="zh-CN"/>
        </w:rPr>
        <w:t>人员工资、社保、公积金调增，</w:t>
      </w:r>
      <w:r>
        <w:rPr>
          <w:rFonts w:ascii="仿宋_GB2312" w:hAnsi="仿宋_GB2312" w:eastAsia="仿宋_GB2312"/>
          <w:b w:val="0"/>
          <w:sz w:val="32"/>
        </w:rPr>
        <w:t>相关人员经费增加，新增信息化建设资金。</w:t>
      </w:r>
      <w:r>
        <w:rPr>
          <w:rFonts w:ascii="仿宋_GB2312" w:hAnsi="仿宋_GB2312" w:eastAsia="仿宋_GB2312"/>
          <w:b/>
          <w:sz w:val="32"/>
        </w:rPr>
        <w:t>与年初预算相比,</w:t>
      </w:r>
      <w:r>
        <w:rPr>
          <w:rFonts w:ascii="仿宋_GB2312" w:hAnsi="仿宋_GB2312" w:eastAsia="仿宋_GB2312"/>
          <w:b w:val="0"/>
          <w:sz w:val="32"/>
        </w:rPr>
        <w:t>年初预算数670.47万元，决算数691.44万元，预决算差异率3.13%，主要原因是：本年在职人员增加，年中追加人员经费及人员工资、社保、公积金基数调增部分资金，导致预决算差异。</w:t>
      </w:r>
    </w:p>
    <w:p w14:paraId="14A08DE2">
      <w:pPr>
        <w:spacing w:line="640" w:lineRule="exact"/>
        <w:ind w:firstLine="640"/>
        <w:jc w:val="both"/>
        <w:outlineLvl w:val="3"/>
      </w:pPr>
      <w:r>
        <w:rPr>
          <w:rFonts w:ascii="楷体_GB2312" w:hAnsi="楷体_GB2312" w:eastAsia="楷体_GB2312"/>
          <w:b/>
          <w:sz w:val="32"/>
        </w:rPr>
        <w:t>（二）一般公共预算财政拨款支出决算结构情况</w:t>
      </w:r>
    </w:p>
    <w:p w14:paraId="5AC1065D">
      <w:pPr>
        <w:spacing w:line="580" w:lineRule="exact"/>
        <w:ind w:firstLine="640"/>
        <w:jc w:val="both"/>
      </w:pPr>
      <w:r>
        <w:rPr>
          <w:rFonts w:ascii="仿宋_GB2312" w:hAnsi="仿宋_GB2312" w:eastAsia="仿宋_GB2312"/>
          <w:b w:val="0"/>
          <w:sz w:val="32"/>
        </w:rPr>
        <w:t>1.公共安全支出(类)540.44万元,占78.16%。</w:t>
      </w:r>
    </w:p>
    <w:p w14:paraId="1C1ADB31">
      <w:pPr>
        <w:spacing w:line="580" w:lineRule="exact"/>
        <w:ind w:firstLine="640"/>
        <w:jc w:val="both"/>
      </w:pPr>
      <w:r>
        <w:rPr>
          <w:rFonts w:ascii="仿宋_GB2312" w:hAnsi="仿宋_GB2312" w:eastAsia="仿宋_GB2312"/>
          <w:b w:val="0"/>
          <w:sz w:val="32"/>
        </w:rPr>
        <w:t>2.社会保障和就业支出(类)94.10万元,占13.61%。</w:t>
      </w:r>
    </w:p>
    <w:p w14:paraId="3942F0C6">
      <w:pPr>
        <w:spacing w:line="580" w:lineRule="exact"/>
        <w:ind w:firstLine="640"/>
        <w:jc w:val="both"/>
      </w:pPr>
      <w:r>
        <w:rPr>
          <w:rFonts w:ascii="仿宋_GB2312" w:hAnsi="仿宋_GB2312" w:eastAsia="仿宋_GB2312"/>
          <w:b w:val="0"/>
          <w:sz w:val="32"/>
        </w:rPr>
        <w:t>3.卫生健康支出(类)22.22万元,占3.21%。</w:t>
      </w:r>
    </w:p>
    <w:p w14:paraId="298BF8D1">
      <w:pPr>
        <w:spacing w:line="580" w:lineRule="exact"/>
        <w:ind w:firstLine="640"/>
        <w:jc w:val="both"/>
      </w:pPr>
      <w:r>
        <w:rPr>
          <w:rFonts w:ascii="仿宋_GB2312" w:hAnsi="仿宋_GB2312" w:eastAsia="仿宋_GB2312"/>
          <w:b w:val="0"/>
          <w:sz w:val="32"/>
        </w:rPr>
        <w:t>4.住房保障支出(类)34.68万元,占5.02%。</w:t>
      </w:r>
    </w:p>
    <w:p w14:paraId="691141A9">
      <w:pPr>
        <w:spacing w:line="640" w:lineRule="exact"/>
        <w:ind w:firstLine="640"/>
        <w:jc w:val="both"/>
        <w:outlineLvl w:val="3"/>
      </w:pPr>
      <w:r>
        <w:rPr>
          <w:rFonts w:ascii="楷体_GB2312" w:hAnsi="楷体_GB2312" w:eastAsia="楷体_GB2312"/>
          <w:b/>
          <w:sz w:val="32"/>
        </w:rPr>
        <w:t>（三）一般公共预算财政拨款支出决算具体情况</w:t>
      </w:r>
    </w:p>
    <w:p w14:paraId="3585A4F4">
      <w:pPr>
        <w:spacing w:line="580" w:lineRule="exact"/>
        <w:ind w:firstLine="640"/>
        <w:jc w:val="both"/>
      </w:pPr>
      <w:r>
        <w:rPr>
          <w:rFonts w:ascii="仿宋_GB2312" w:hAnsi="仿宋_GB2312" w:eastAsia="仿宋_GB2312"/>
          <w:b w:val="0"/>
          <w:sz w:val="32"/>
        </w:rPr>
        <w:t>1.公共安全支出(类)司法(款)行政运行(项):支出决算数为450.29万元，比上年决算增加96.12万元，增长27.14%,主要原因是：本年新增在职人员，人员工资调增，人员经费增加；</w:t>
      </w:r>
      <w:r>
        <w:rPr>
          <w:rFonts w:hint="eastAsia" w:ascii="仿宋_GB2312" w:hAnsi="仿宋_GB2312" w:eastAsia="仿宋_GB2312"/>
          <w:b w:val="0"/>
          <w:sz w:val="32"/>
          <w:lang w:val="en-US" w:eastAsia="zh-CN"/>
        </w:rPr>
        <w:t>新增信息化建设费用；功能</w:t>
      </w:r>
      <w:r>
        <w:rPr>
          <w:rFonts w:ascii="仿宋_GB2312" w:hAnsi="仿宋_GB2312" w:eastAsia="仿宋_GB2312"/>
          <w:b w:val="0"/>
          <w:sz w:val="32"/>
        </w:rPr>
        <w:t>科目调整，普法经费上年在普法宣传</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列支，本年调整至行政运行</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列支，导致经费增加。</w:t>
      </w:r>
    </w:p>
    <w:p w14:paraId="6C558540">
      <w:pPr>
        <w:spacing w:line="580" w:lineRule="exact"/>
        <w:ind w:firstLine="640"/>
        <w:jc w:val="both"/>
      </w:pPr>
      <w:r>
        <w:rPr>
          <w:rFonts w:ascii="仿宋_GB2312" w:hAnsi="仿宋_GB2312" w:eastAsia="仿宋_GB2312"/>
          <w:b w:val="0"/>
          <w:sz w:val="32"/>
        </w:rPr>
        <w:t>2.公共安全支出(类)司法(款)普法宣传(项):支出决算数为0.00万元，比上年决算减少3.00万元，下降100.00%,主要原因是：本年</w:t>
      </w:r>
      <w:r>
        <w:rPr>
          <w:rFonts w:hint="eastAsia" w:ascii="仿宋_GB2312" w:hAnsi="仿宋_GB2312" w:eastAsia="仿宋_GB2312"/>
          <w:b w:val="0"/>
          <w:sz w:val="32"/>
          <w:lang w:val="en-US" w:eastAsia="zh-CN"/>
        </w:rPr>
        <w:t>功能</w:t>
      </w:r>
      <w:r>
        <w:rPr>
          <w:rFonts w:ascii="仿宋_GB2312" w:hAnsi="仿宋_GB2312" w:eastAsia="仿宋_GB2312"/>
          <w:b w:val="0"/>
          <w:sz w:val="32"/>
        </w:rPr>
        <w:t>科目调整，普法经费上年在普法宣传</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列支，本年调整至行政运行</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列支，导致经费减少。</w:t>
      </w:r>
    </w:p>
    <w:p w14:paraId="72C24686">
      <w:pPr>
        <w:spacing w:line="580" w:lineRule="exact"/>
        <w:ind w:firstLine="640"/>
        <w:jc w:val="both"/>
      </w:pPr>
      <w:r>
        <w:rPr>
          <w:rFonts w:ascii="仿宋_GB2312" w:hAnsi="仿宋_GB2312" w:eastAsia="仿宋_GB2312"/>
          <w:b w:val="0"/>
          <w:sz w:val="32"/>
        </w:rPr>
        <w:t>3.公共安全支出(类)司法(款)其他司法支出(项):支出决算数为90.15万元，比上年决算减少11.98万元，下降11.73%,主要原因是：本年减少专项项目资金。</w:t>
      </w:r>
    </w:p>
    <w:p w14:paraId="0B6AAEF1">
      <w:pPr>
        <w:spacing w:line="580" w:lineRule="exact"/>
        <w:ind w:firstLine="640"/>
        <w:jc w:val="both"/>
      </w:pPr>
      <w:r>
        <w:rPr>
          <w:rFonts w:ascii="仿宋_GB2312" w:hAnsi="仿宋_GB2312" w:eastAsia="仿宋_GB2312"/>
          <w:b w:val="0"/>
          <w:sz w:val="32"/>
        </w:rPr>
        <w:t>4.公共安全支出(类)其他公共安全支出(款)其他公共安全支出(项):支出决算数为0.00万元，比上年决算减少0.72万元，下降100.00%,主要原因是：本年减少专项项目资金。</w:t>
      </w:r>
    </w:p>
    <w:p w14:paraId="44334204">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5.社会保障和就业支出(类)行政事业单位养老支出(款)行政单位离退休(项):支出决算数为18.18万元，比上年决算增加1.78万元，增长10.85%,主要原因是：本年退休人员增加4人，退休费支出增加。</w:t>
      </w:r>
    </w:p>
    <w:p w14:paraId="27C924B8">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45.36万元，比上年决算增加9.88万元，增长27.85%,主要原因是：本年在职人员增加，养老保险缴费较上年增加。</w:t>
      </w:r>
    </w:p>
    <w:p w14:paraId="370895BD">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7.社会保障和就业支出(类)行政事业单位养老支出(款)机关事业单位职业年金缴费支出(项):支出决算数为30.56万元，比上年决算增加7.70万元，增长33.68%,主要原因是：本年新增退休人员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567A2F36">
      <w:pPr>
        <w:spacing w:line="580" w:lineRule="exact"/>
        <w:ind w:firstLine="640"/>
        <w:jc w:val="both"/>
      </w:pPr>
      <w:r>
        <w:rPr>
          <w:rFonts w:ascii="仿宋_GB2312" w:hAnsi="仿宋_GB2312" w:eastAsia="仿宋_GB2312"/>
          <w:b w:val="0"/>
          <w:sz w:val="32"/>
        </w:rPr>
        <w:t>8.卫生健康支出(类)行政事业单位医疗(款)行政单位医疗(项):支出决算数为17.55万元，比上年决算增加3.30万元，增长23.16%,主要原因是：本年在职人员增加，行政单位医疗缴费支出增加。</w:t>
      </w:r>
    </w:p>
    <w:p w14:paraId="09FAB5D5">
      <w:pPr>
        <w:spacing w:line="580" w:lineRule="exact"/>
        <w:ind w:firstLine="640"/>
        <w:jc w:val="both"/>
      </w:pPr>
      <w:r>
        <w:rPr>
          <w:rFonts w:ascii="仿宋_GB2312" w:hAnsi="仿宋_GB2312" w:eastAsia="仿宋_GB2312"/>
          <w:b w:val="0"/>
          <w:sz w:val="32"/>
        </w:rPr>
        <w:t>9.卫生健康支出(类)行政事业单位医疗(款)公务员医疗补助(项):支出决算数为4.66万元，比上年决算减少1.42万元，下降23.36%,主要原因是：本年退休4人，退休人员公务员医疗不再由单位缴纳，导致公务员医疗补助较上年减少。</w:t>
      </w:r>
    </w:p>
    <w:p w14:paraId="4CD846A6">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10.农林水支出(类)农业农村(款)其他农业农村支出(项):支出决算数为0.00万元，比上年决算减少1.17万元，下降100.00%,主要原因是：本年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为民办实事经费。</w:t>
      </w:r>
    </w:p>
    <w:p w14:paraId="0028E23A">
      <w:pPr>
        <w:spacing w:line="580" w:lineRule="exact"/>
        <w:ind w:firstLine="640"/>
        <w:jc w:val="both"/>
      </w:pPr>
      <w:r>
        <w:rPr>
          <w:rFonts w:ascii="仿宋_GB2312" w:hAnsi="仿宋_GB2312" w:eastAsia="仿宋_GB2312"/>
          <w:b w:val="0"/>
          <w:sz w:val="32"/>
        </w:rPr>
        <w:t>11.住房保障支出(类)住房改革支出(款)住房公积金(项):支出决算数为34.68万元，比上年决算增加7.31万元，增长26.71%,主要原因是：本年在职人员增加，住房公积金支出较上年增加。</w:t>
      </w:r>
    </w:p>
    <w:p w14:paraId="427C0BE4">
      <w:pPr>
        <w:spacing w:line="640" w:lineRule="exact"/>
        <w:ind w:firstLine="640"/>
        <w:jc w:val="both"/>
        <w:outlineLvl w:val="2"/>
      </w:pPr>
      <w:r>
        <w:rPr>
          <w:rFonts w:ascii="黑体" w:hAnsi="黑体" w:eastAsia="黑体"/>
          <w:sz w:val="32"/>
        </w:rPr>
        <w:t>六、一般公共预算财政拨款基本支出决算情况说明</w:t>
      </w:r>
    </w:p>
    <w:p w14:paraId="37C1C2E1">
      <w:pPr>
        <w:spacing w:line="580" w:lineRule="exact"/>
        <w:ind w:firstLine="640"/>
        <w:jc w:val="both"/>
      </w:pPr>
      <w:r>
        <w:rPr>
          <w:rFonts w:ascii="仿宋_GB2312" w:hAnsi="仿宋_GB2312" w:eastAsia="仿宋_GB2312"/>
          <w:b w:val="0"/>
          <w:sz w:val="32"/>
        </w:rPr>
        <w:t>2024年度一般公共预算财政拨款基本支出601.29万元，其中：</w:t>
      </w:r>
      <w:r>
        <w:rPr>
          <w:rFonts w:ascii="仿宋_GB2312" w:hAnsi="仿宋_GB2312" w:eastAsia="仿宋_GB2312"/>
          <w:b/>
          <w:sz w:val="32"/>
        </w:rPr>
        <w:t>人员经费525.54万元，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奖励金。</w:t>
      </w:r>
    </w:p>
    <w:p w14:paraId="0BA8CCD6">
      <w:pPr>
        <w:spacing w:line="580" w:lineRule="exact"/>
        <w:ind w:firstLine="640"/>
        <w:jc w:val="both"/>
      </w:pPr>
      <w:r>
        <w:rPr>
          <w:rFonts w:ascii="仿宋_GB2312" w:hAnsi="仿宋_GB2312" w:eastAsia="仿宋_GB2312"/>
          <w:b/>
          <w:sz w:val="32"/>
        </w:rPr>
        <w:t>公用经费75.75万元，</w:t>
      </w:r>
      <w:r>
        <w:rPr>
          <w:rFonts w:ascii="仿宋_GB2312" w:hAnsi="仿宋_GB2312" w:eastAsia="仿宋_GB2312"/>
          <w:b w:val="0"/>
          <w:sz w:val="32"/>
        </w:rPr>
        <w:t>包括：办公费、印刷费、水费、电费、邮电费、取暖费、维修（护）费、租赁费、劳务费、工会经费、公务用车运行维护费、其他商品和服务支出、专用设备购置。</w:t>
      </w:r>
    </w:p>
    <w:p w14:paraId="082B769A">
      <w:pPr>
        <w:spacing w:line="640" w:lineRule="exact"/>
        <w:ind w:firstLine="640"/>
        <w:jc w:val="both"/>
        <w:outlineLvl w:val="2"/>
      </w:pPr>
      <w:r>
        <w:rPr>
          <w:rFonts w:ascii="黑体" w:hAnsi="黑体" w:eastAsia="黑体"/>
          <w:sz w:val="32"/>
        </w:rPr>
        <w:t>七、政府性基金预算财政拨款收入支出决算情况说明</w:t>
      </w:r>
    </w:p>
    <w:p w14:paraId="219516B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2CD30D4">
      <w:pPr>
        <w:spacing w:line="640" w:lineRule="exact"/>
        <w:ind w:firstLine="640"/>
        <w:jc w:val="both"/>
        <w:outlineLvl w:val="2"/>
      </w:pPr>
      <w:r>
        <w:rPr>
          <w:rFonts w:ascii="黑体" w:hAnsi="黑体" w:eastAsia="黑体"/>
          <w:sz w:val="32"/>
        </w:rPr>
        <w:t>八、国有资本经营预算财政拨款收入支出决算情况说明</w:t>
      </w:r>
    </w:p>
    <w:p w14:paraId="14C0DF4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0C18BB">
      <w:pPr>
        <w:spacing w:line="640" w:lineRule="exact"/>
        <w:ind w:firstLine="640"/>
        <w:jc w:val="both"/>
        <w:outlineLvl w:val="2"/>
      </w:pPr>
      <w:r>
        <w:rPr>
          <w:rFonts w:ascii="黑体" w:hAnsi="黑体" w:eastAsia="黑体"/>
          <w:sz w:val="32"/>
        </w:rPr>
        <w:t>九、财政拨款“三公”经费支出决算情况说明</w:t>
      </w:r>
    </w:p>
    <w:p w14:paraId="2986CDD6">
      <w:pPr>
        <w:spacing w:line="580" w:lineRule="exact"/>
        <w:ind w:firstLine="640"/>
        <w:jc w:val="both"/>
      </w:pPr>
      <w:r>
        <w:rPr>
          <w:rFonts w:ascii="仿宋_GB2312" w:hAnsi="仿宋_GB2312" w:eastAsia="仿宋_GB2312"/>
          <w:b/>
          <w:sz w:val="32"/>
        </w:rPr>
        <w:t>2024年度财政拨款“三公”经费支出5.44万元，</w:t>
      </w:r>
      <w:r>
        <w:rPr>
          <w:rFonts w:ascii="仿宋_GB2312" w:hAnsi="仿宋_GB2312" w:eastAsia="仿宋_GB2312"/>
          <w:b w:val="0"/>
          <w:sz w:val="32"/>
        </w:rPr>
        <w:t>比上年减少4.83万元，下降47.03%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5.44万元，占100.00%，比上年减少4.83万元，下降47.03%，主要原因是：严格落实中央八项规定精神，厉行节约，减少公务用车运行维护费。公务接待费支出0.00万元，占0.00%，比上年增加0.00万元，增长0.00%，主要原因是：2023年与2024年均未安排公务接待费支出。</w:t>
      </w:r>
    </w:p>
    <w:p w14:paraId="67997176">
      <w:pPr>
        <w:spacing w:line="580" w:lineRule="exact"/>
        <w:ind w:firstLine="640"/>
        <w:jc w:val="both"/>
      </w:pPr>
      <w:r>
        <w:rPr>
          <w:rFonts w:ascii="仿宋_GB2312" w:hAnsi="仿宋_GB2312" w:eastAsia="仿宋_GB2312"/>
          <w:b/>
          <w:sz w:val="32"/>
        </w:rPr>
        <w:t>具体情况如下：</w:t>
      </w:r>
    </w:p>
    <w:p w14:paraId="645D763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1CC50D">
      <w:pPr>
        <w:spacing w:line="580" w:lineRule="exact"/>
        <w:ind w:firstLine="640"/>
        <w:jc w:val="both"/>
      </w:pPr>
      <w:r>
        <w:rPr>
          <w:rFonts w:ascii="仿宋_GB2312" w:hAnsi="仿宋_GB2312" w:eastAsia="仿宋_GB2312"/>
          <w:b w:val="0"/>
          <w:sz w:val="32"/>
        </w:rPr>
        <w:t>公务用车购置及运行维护费5.44万元，其中：公务用车购置费0.00万元，公务用车运行维护费5.44万元。公务用车运行维护费开支内容包括车辆加油费、维修费、保险费、审车费、过路费。公务用车购置数0辆，公务用车保有量8辆。国有资产占用情况中固定资产车辆8辆，与公务用车保有量差异原因是：本单位固定资产车辆与公务用车保有量一致无差异。</w:t>
      </w:r>
    </w:p>
    <w:p w14:paraId="531227D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6176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5.44万元，决算数5.44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5.44万元，决算数5.44万元，预决算差异率0.00%，主要原因是：严格按照预算执行，预决算无差异。公务接待费全年预算数0.00万元，决算数0.00万元，预决算差异率0.00%，主要原因是：本单位无公务接待费。</w:t>
      </w:r>
    </w:p>
    <w:p w14:paraId="36AA9184">
      <w:pPr>
        <w:spacing w:line="640" w:lineRule="exact"/>
        <w:ind w:firstLine="640"/>
        <w:jc w:val="both"/>
        <w:outlineLvl w:val="2"/>
      </w:pPr>
      <w:r>
        <w:rPr>
          <w:rFonts w:ascii="黑体" w:hAnsi="黑体" w:eastAsia="黑体"/>
          <w:sz w:val="32"/>
        </w:rPr>
        <w:t>十、其他重要事项的情况说明</w:t>
      </w:r>
    </w:p>
    <w:p w14:paraId="5A9615BC">
      <w:pPr>
        <w:spacing w:line="640" w:lineRule="exact"/>
        <w:ind w:firstLine="640"/>
        <w:jc w:val="both"/>
        <w:outlineLvl w:val="3"/>
      </w:pPr>
      <w:r>
        <w:rPr>
          <w:rFonts w:ascii="楷体_GB2312" w:hAnsi="楷体_GB2312" w:eastAsia="楷体_GB2312"/>
          <w:b/>
          <w:sz w:val="32"/>
        </w:rPr>
        <w:t>（一）机关运行经费及公用经费支出情况</w:t>
      </w:r>
    </w:p>
    <w:p w14:paraId="6B1EAF5B">
      <w:pPr>
        <w:spacing w:line="580" w:lineRule="exact"/>
        <w:ind w:firstLine="640"/>
        <w:jc w:val="both"/>
      </w:pPr>
      <w:r>
        <w:rPr>
          <w:rFonts w:ascii="仿宋_GB2312" w:hAnsi="仿宋_GB2312" w:eastAsia="仿宋_GB2312"/>
          <w:b w:val="0"/>
          <w:sz w:val="32"/>
        </w:rPr>
        <w:t>2024年度裕民县司法局（行政单位和参照公务员法管理事业单位）机关运行经费支出75.75万元，比上年增加41.83万元，增长123.32%，主要原因是：本年</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增加办公经费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专用设备购置费用，</w:t>
      </w:r>
      <w:r>
        <w:rPr>
          <w:rFonts w:ascii="仿宋_GB2312" w:hAnsi="仿宋_GB2312" w:eastAsia="仿宋_GB2312"/>
          <w:b w:val="0"/>
          <w:sz w:val="32"/>
        </w:rPr>
        <w:t>导致</w:t>
      </w:r>
      <w:r>
        <w:rPr>
          <w:rFonts w:hint="eastAsia" w:ascii="仿宋_GB2312" w:hAnsi="仿宋_GB2312" w:eastAsia="仿宋_GB2312"/>
          <w:b w:val="0"/>
          <w:sz w:val="32"/>
          <w:lang w:val="en-US" w:eastAsia="zh-CN"/>
        </w:rPr>
        <w:t>机关运行</w:t>
      </w:r>
      <w:r>
        <w:rPr>
          <w:rFonts w:ascii="仿宋_GB2312" w:hAnsi="仿宋_GB2312" w:eastAsia="仿宋_GB2312"/>
          <w:b w:val="0"/>
          <w:sz w:val="32"/>
        </w:rPr>
        <w:t>经费增加。</w:t>
      </w:r>
    </w:p>
    <w:p w14:paraId="68958763">
      <w:pPr>
        <w:spacing w:line="640" w:lineRule="exact"/>
        <w:ind w:firstLine="640"/>
        <w:jc w:val="both"/>
        <w:outlineLvl w:val="3"/>
      </w:pPr>
      <w:r>
        <w:rPr>
          <w:rFonts w:ascii="楷体_GB2312" w:hAnsi="楷体_GB2312" w:eastAsia="楷体_GB2312"/>
          <w:b/>
          <w:sz w:val="32"/>
        </w:rPr>
        <w:t>（二）政府采购情况</w:t>
      </w:r>
    </w:p>
    <w:p w14:paraId="72276530">
      <w:pPr>
        <w:spacing w:line="580" w:lineRule="exact"/>
        <w:ind w:firstLine="640"/>
        <w:jc w:val="both"/>
      </w:pPr>
      <w:r>
        <w:rPr>
          <w:rFonts w:ascii="仿宋_GB2312" w:hAnsi="仿宋_GB2312" w:eastAsia="仿宋_GB2312"/>
          <w:b w:val="0"/>
          <w:sz w:val="32"/>
        </w:rPr>
        <w:t>2024年度政府采购支出总额36.14万元，其中：政府采购货物支出26.30万元、政府采购工程支出0.00万元、政府采购服务支出9.84万元。</w:t>
      </w:r>
    </w:p>
    <w:p w14:paraId="54B55D91">
      <w:pPr>
        <w:spacing w:line="580" w:lineRule="exact"/>
        <w:ind w:firstLine="640"/>
        <w:jc w:val="both"/>
      </w:pPr>
      <w:r>
        <w:rPr>
          <w:rFonts w:ascii="仿宋_GB2312" w:hAnsi="仿宋_GB2312" w:eastAsia="仿宋_GB2312"/>
          <w:b w:val="0"/>
          <w:sz w:val="32"/>
        </w:rPr>
        <w:t>授予中小企业合同金额19.94万元，占政府采购支出总额的55.17%，其中：授予小微企业合同金额19.94万元，占政府采购支出总额的55.17%。</w:t>
      </w:r>
    </w:p>
    <w:p w14:paraId="554CAC0A">
      <w:pPr>
        <w:spacing w:line="640" w:lineRule="exact"/>
        <w:ind w:firstLine="640"/>
        <w:jc w:val="both"/>
        <w:outlineLvl w:val="3"/>
      </w:pPr>
      <w:r>
        <w:rPr>
          <w:rFonts w:ascii="楷体_GB2312" w:hAnsi="楷体_GB2312" w:eastAsia="楷体_GB2312"/>
          <w:b/>
          <w:sz w:val="32"/>
        </w:rPr>
        <w:t>（三）国有资产占用情况说明</w:t>
      </w:r>
    </w:p>
    <w:p w14:paraId="7EFC8357">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0.00平方米，价值0.00万元。车辆8辆，价值76.26万元，其中：副部（省）级及以上领导用车0辆、主要负责人用车0辆、机要通信用车0辆、应急保障用车0辆、执法执勤用车0辆、特种专业技术用车0辆、离退休干部服务用车0辆、其他用车8辆，其他用车主要是：一般公务用车。单价100万元（含）以上设备（不含车辆）0台（套）。</w:t>
      </w:r>
    </w:p>
    <w:p w14:paraId="1C9E33A1">
      <w:pPr>
        <w:spacing w:line="640" w:lineRule="exact"/>
        <w:ind w:firstLine="640"/>
        <w:jc w:val="both"/>
        <w:outlineLvl w:val="2"/>
      </w:pPr>
      <w:r>
        <w:rPr>
          <w:rFonts w:ascii="黑体" w:hAnsi="黑体" w:eastAsia="黑体"/>
          <w:sz w:val="32"/>
        </w:rPr>
        <w:t>十一、预算绩效的情况说明</w:t>
      </w:r>
    </w:p>
    <w:p w14:paraId="6D783A6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根据预算绩效管理要求，本单位2024年度预算绩效管理形成整体支出绩效自评表1个，全年预算总额691.44万元，实际执行总额691.44万元；预算绩效评价项目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95.15</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95.15</w:t>
      </w:r>
      <w:r>
        <w:rPr>
          <w:rFonts w:ascii="仿宋_GB2312" w:hAnsi="仿宋_GB2312" w:eastAsia="仿宋_GB2312"/>
          <w:b w:val="0"/>
          <w:sz w:val="32"/>
        </w:rPr>
        <w:t>万元。预算绩效管理取得的成效：本单位预算绩效项目不予公开。发现的问题及原因：本单位预算绩效项目不予公开。下一步改进措施：本单位预算绩效项目不予公开。具体附整体支出绩效自评表。</w:t>
      </w:r>
    </w:p>
    <w:p w14:paraId="5F7958D2">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037C6E22">
        <w:tblPrEx>
          <w:tblCellMar>
            <w:top w:w="0" w:type="dxa"/>
            <w:left w:w="108" w:type="dxa"/>
            <w:bottom w:w="0" w:type="dxa"/>
            <w:right w:w="108" w:type="dxa"/>
          </w:tblCellMar>
        </w:tblPrEx>
        <w:tc>
          <w:tcPr>
            <w:tcW w:w="8840" w:type="dxa"/>
            <w:gridSpan w:val="8"/>
            <w:vAlign w:val="center"/>
          </w:tcPr>
          <w:p w14:paraId="6799355C">
            <w:pPr>
              <w:jc w:val="center"/>
            </w:pPr>
            <w:r>
              <w:rPr>
                <w:rFonts w:ascii="宋体" w:hAnsi="宋体" w:eastAsia="宋体"/>
                <w:sz w:val="24"/>
              </w:rPr>
              <w:t>单位整体支出绩效自评表</w:t>
            </w:r>
          </w:p>
        </w:tc>
      </w:tr>
      <w:tr w14:paraId="3C7BA97B">
        <w:tblPrEx>
          <w:tblCellMar>
            <w:top w:w="0" w:type="dxa"/>
            <w:left w:w="108" w:type="dxa"/>
            <w:bottom w:w="0" w:type="dxa"/>
            <w:right w:w="108" w:type="dxa"/>
          </w:tblCellMar>
        </w:tblPrEx>
        <w:tc>
          <w:tcPr>
            <w:tcW w:w="8840" w:type="dxa"/>
            <w:gridSpan w:val="8"/>
            <w:vAlign w:val="center"/>
          </w:tcPr>
          <w:p w14:paraId="56E66B3D">
            <w:pPr>
              <w:jc w:val="center"/>
            </w:pPr>
            <w:r>
              <w:rPr>
                <w:rFonts w:ascii="宋体" w:hAnsi="宋体" w:eastAsia="宋体"/>
                <w:sz w:val="24"/>
              </w:rPr>
              <w:t>（2024年度）</w:t>
            </w:r>
          </w:p>
        </w:tc>
      </w:tr>
      <w:tr w14:paraId="027DF9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BE32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E8FE9">
            <w:pPr>
              <w:jc w:val="center"/>
            </w:pPr>
            <w:r>
              <w:rPr>
                <w:rFonts w:ascii="宋体" w:hAnsi="宋体" w:eastAsia="宋体"/>
                <w:sz w:val="16"/>
              </w:rPr>
              <w:t>裕民县司法局</w:t>
            </w:r>
          </w:p>
        </w:tc>
      </w:tr>
      <w:tr w14:paraId="12C464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C95D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8A01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8489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3B56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D090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02F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0848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5229F">
            <w:pPr>
              <w:jc w:val="center"/>
            </w:pPr>
            <w:r>
              <w:rPr>
                <w:rFonts w:ascii="宋体" w:hAnsi="宋体" w:eastAsia="宋体"/>
                <w:sz w:val="16"/>
              </w:rPr>
              <w:t>得分</w:t>
            </w:r>
          </w:p>
        </w:tc>
      </w:tr>
      <w:tr w14:paraId="523476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85D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E8B2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4F91A">
            <w:pPr>
              <w:jc w:val="center"/>
            </w:pPr>
            <w:r>
              <w:rPr>
                <w:rFonts w:ascii="宋体" w:hAnsi="宋体" w:eastAsia="宋体"/>
                <w:sz w:val="16"/>
              </w:rPr>
              <w:t>678.47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DFBEE">
            <w:pPr>
              <w:jc w:val="center"/>
            </w:pPr>
            <w:r>
              <w:rPr>
                <w:rFonts w:ascii="宋体" w:hAnsi="宋体" w:eastAsia="宋体"/>
                <w:sz w:val="16"/>
              </w:rPr>
              <w:t>691.44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2ED32">
            <w:pPr>
              <w:jc w:val="center"/>
            </w:pPr>
            <w:r>
              <w:rPr>
                <w:rFonts w:ascii="宋体" w:hAnsi="宋体" w:eastAsia="宋体"/>
                <w:sz w:val="16"/>
              </w:rPr>
              <w:t>691.44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DA8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2F55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4313">
            <w:pPr>
              <w:jc w:val="center"/>
              <w:rPr>
                <w:rFonts w:hint="default" w:eastAsia="宋体"/>
                <w:lang w:val="en-US" w:eastAsia="zh-CN"/>
              </w:rPr>
            </w:pPr>
            <w:r>
              <w:rPr>
                <w:rFonts w:hint="eastAsia" w:ascii="宋体" w:hAnsi="宋体"/>
                <w:sz w:val="16"/>
                <w:lang w:val="en-US" w:eastAsia="zh-CN"/>
              </w:rPr>
              <w:t>10</w:t>
            </w:r>
          </w:p>
        </w:tc>
      </w:tr>
      <w:tr w14:paraId="049B7E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203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8D8A9">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5A4B3">
            <w:pPr>
              <w:jc w:val="center"/>
            </w:pPr>
            <w:r>
              <w:rPr>
                <w:rFonts w:ascii="宋体" w:hAnsi="宋体" w:eastAsia="宋体"/>
                <w:sz w:val="16"/>
              </w:rPr>
              <w:t>61.15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EAEBB">
            <w:pPr>
              <w:jc w:val="center"/>
            </w:pPr>
            <w:r>
              <w:rPr>
                <w:rFonts w:ascii="宋体" w:hAnsi="宋体" w:eastAsia="宋体"/>
                <w:sz w:val="16"/>
              </w:rPr>
              <w:t>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D8D50">
            <w:pPr>
              <w:jc w:val="center"/>
            </w:pPr>
            <w:r>
              <w:rPr>
                <w:rFonts w:ascii="宋体" w:hAnsi="宋体" w:eastAsia="宋体"/>
                <w:sz w:val="16"/>
              </w:rPr>
              <w:t>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7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D0C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9B3D0">
            <w:pPr>
              <w:jc w:val="center"/>
            </w:pPr>
            <w:r>
              <w:rPr>
                <w:rFonts w:ascii="宋体" w:hAnsi="宋体" w:eastAsia="宋体"/>
                <w:sz w:val="16"/>
              </w:rPr>
              <w:t>-</w:t>
            </w:r>
          </w:p>
        </w:tc>
      </w:tr>
      <w:tr w14:paraId="3040A1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A772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EBCA3F">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44B23">
            <w:pPr>
              <w:jc w:val="center"/>
            </w:pPr>
            <w:r>
              <w:rPr>
                <w:rFonts w:ascii="宋体" w:hAnsi="宋体" w:eastAsia="宋体"/>
                <w:sz w:val="16"/>
              </w:rPr>
              <w:t>609.32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B6062">
            <w:pPr>
              <w:jc w:val="center"/>
            </w:pPr>
            <w:r>
              <w:rPr>
                <w:rFonts w:ascii="宋体" w:hAnsi="宋体" w:eastAsia="宋体"/>
                <w:sz w:val="16"/>
              </w:rPr>
              <w:t>601.29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44F10">
            <w:pPr>
              <w:jc w:val="center"/>
            </w:pPr>
            <w:r>
              <w:rPr>
                <w:rFonts w:ascii="宋体" w:hAnsi="宋体" w:eastAsia="宋体"/>
                <w:sz w:val="16"/>
              </w:rPr>
              <w:t>601.29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A1D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02D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AD347">
            <w:pPr>
              <w:jc w:val="center"/>
            </w:pPr>
            <w:r>
              <w:rPr>
                <w:rFonts w:ascii="宋体" w:hAnsi="宋体" w:eastAsia="宋体"/>
                <w:sz w:val="16"/>
              </w:rPr>
              <w:t>-</w:t>
            </w:r>
          </w:p>
        </w:tc>
      </w:tr>
      <w:tr w14:paraId="39A1CE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13A0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B64E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7F217">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83D1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9375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4744B5B">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64285C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4CBDEDC2">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1C83BB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6C50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0F6B3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B0EAF5">
            <w:pPr>
              <w:jc w:val="center"/>
            </w:pPr>
            <w:r>
              <w:rPr>
                <w:rFonts w:ascii="宋体" w:hAnsi="宋体" w:eastAsia="宋体"/>
                <w:sz w:val="16"/>
              </w:rPr>
              <w:t>实际完成情况</w:t>
            </w:r>
          </w:p>
        </w:tc>
      </w:tr>
      <w:tr w14:paraId="1EB864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31853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5E4917">
            <w:pPr>
              <w:jc w:val="both"/>
            </w:pPr>
            <w:r>
              <w:rPr>
                <w:rFonts w:ascii="宋体" w:hAnsi="宋体" w:eastAsia="宋体"/>
                <w:sz w:val="16"/>
              </w:rPr>
              <w:t>目标1：根据司法局一般公共预算基本支出情况，不断加强人民调解员业务培训，提高人民参与和促进法治工作水平，发挥人民调解员职能优势，将矛盾纠纷化解在基层；依法推进社区矫正等司法业务工作。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贯彻执行国家、县有关司法行政工作的法律法规和方针政策，组织、管理全县社区矫正工作，管理乡镇司法所工作，管理、协调和指导基层法律服务工作，配合人民法院做好人民陪审员工作，负责全县司法行政系统思想政治工作和队伍建设。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目标3：开展法律援助和人民调解工作，对案件及时办结。</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306EEB">
            <w:pPr>
              <w:jc w:val="both"/>
            </w:pPr>
            <w:r>
              <w:rPr>
                <w:rFonts w:ascii="宋体" w:hAnsi="宋体" w:eastAsia="宋体"/>
                <w:sz w:val="16"/>
              </w:rPr>
              <w:t>根据</w:t>
            </w:r>
            <w:bookmarkStart w:id="0" w:name="_GoBack"/>
            <w:r>
              <w:rPr>
                <w:rFonts w:ascii="宋体" w:hAnsi="宋体" w:eastAsia="宋体"/>
                <w:sz w:val="16"/>
              </w:rPr>
              <w:t>我单位</w:t>
            </w:r>
            <w:bookmarkEnd w:id="0"/>
            <w:r>
              <w:rPr>
                <w:rFonts w:ascii="宋体" w:hAnsi="宋体" w:eastAsia="宋体"/>
                <w:sz w:val="16"/>
              </w:rPr>
              <w:t>一般公共预算基本支出情况，按时发放在职27人和退休24人的基本工资津贴补贴、奖金、绩效工资、机关事业单位基本养老保险缴费、职业年金缴费、职工基本医疗保险缴费、其他社会保障缴费、住房公积金、医疗费、其他工资福利支出、其他对个人和家庭的补助等费用。贯彻执行国家、县有关司法行政工作的法律法规和方针政策，组织、管理全县社区矫正工作，组织开展国家统一法律职业资格考试，开展法律培训30期，法治宣传教育活动60期。保障单位日常工作的正常运转对费用支出落实到位。</w:t>
            </w:r>
          </w:p>
        </w:tc>
      </w:tr>
      <w:tr w14:paraId="5B89CDF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7424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C192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A6A9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D95C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C0E4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464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AA93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29E57">
            <w:pPr>
              <w:jc w:val="center"/>
            </w:pPr>
            <w:r>
              <w:rPr>
                <w:rFonts w:ascii="宋体" w:hAnsi="宋体" w:eastAsia="宋体"/>
                <w:sz w:val="16"/>
              </w:rPr>
              <w:t>得分</w:t>
            </w:r>
          </w:p>
        </w:tc>
      </w:tr>
      <w:tr w14:paraId="76C292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72D3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8636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8983E">
            <w:pPr>
              <w:jc w:val="center"/>
            </w:pPr>
            <w:r>
              <w:rPr>
                <w:rFonts w:ascii="宋体" w:hAnsi="宋体" w:eastAsia="宋体"/>
                <w:sz w:val="16"/>
              </w:rPr>
              <w:t>重点领域行政执法案卷评查次数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714D3">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C895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C42D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E5294">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EE726">
            <w:pPr>
              <w:jc w:val="center"/>
            </w:pPr>
            <w:r>
              <w:rPr>
                <w:rFonts w:ascii="宋体" w:hAnsi="宋体" w:eastAsia="宋体"/>
                <w:sz w:val="16"/>
              </w:rPr>
              <w:t>15</w:t>
            </w:r>
          </w:p>
        </w:tc>
      </w:tr>
      <w:tr w14:paraId="632425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1E41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AD64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D2278">
            <w:pPr>
              <w:jc w:val="center"/>
            </w:pPr>
            <w:r>
              <w:rPr>
                <w:rFonts w:ascii="宋体" w:hAnsi="宋体" w:eastAsia="宋体"/>
                <w:sz w:val="16"/>
              </w:rPr>
              <w:t>全县开展法律培训活动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6397D">
            <w:pPr>
              <w:jc w:val="center"/>
            </w:pPr>
            <w:r>
              <w:rPr>
                <w:rFonts w:ascii="宋体" w:hAnsi="宋体" w:eastAsia="宋体"/>
                <w:sz w:val="16"/>
              </w:rPr>
              <w:t>&gt;=30期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EEC5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1875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7E135">
            <w:pPr>
              <w:jc w:val="center"/>
            </w:pPr>
            <w:r>
              <w:rPr>
                <w:rFonts w:ascii="宋体" w:hAnsi="宋体" w:eastAsia="宋体"/>
                <w:sz w:val="16"/>
              </w:rPr>
              <w:t>30期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FACE5">
            <w:pPr>
              <w:jc w:val="center"/>
            </w:pPr>
            <w:r>
              <w:rPr>
                <w:rFonts w:ascii="宋体" w:hAnsi="宋体" w:eastAsia="宋体"/>
                <w:sz w:val="16"/>
              </w:rPr>
              <w:t>15</w:t>
            </w:r>
          </w:p>
        </w:tc>
      </w:tr>
      <w:tr w14:paraId="61DA51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2C27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2FD2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C86CE">
            <w:pPr>
              <w:jc w:val="center"/>
            </w:pPr>
            <w:r>
              <w:rPr>
                <w:rFonts w:ascii="宋体" w:hAnsi="宋体" w:eastAsia="宋体"/>
                <w:sz w:val="16"/>
              </w:rPr>
              <w:t>全县开展法治宣传教育活动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4626C">
            <w:pPr>
              <w:jc w:val="center"/>
            </w:pPr>
            <w:r>
              <w:rPr>
                <w:rFonts w:ascii="宋体" w:hAnsi="宋体" w:eastAsia="宋体"/>
                <w:sz w:val="16"/>
              </w:rPr>
              <w:t>&gt;=60期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D60D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9898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4A815">
            <w:pPr>
              <w:jc w:val="center"/>
            </w:pPr>
            <w:r>
              <w:rPr>
                <w:rFonts w:ascii="宋体" w:hAnsi="宋体" w:eastAsia="宋体"/>
                <w:sz w:val="16"/>
              </w:rPr>
              <w:t>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13281">
            <w:pPr>
              <w:jc w:val="center"/>
            </w:pPr>
            <w:r>
              <w:rPr>
                <w:rFonts w:ascii="宋体" w:hAnsi="宋体" w:eastAsia="宋体"/>
                <w:sz w:val="16"/>
              </w:rPr>
              <w:t>15</w:t>
            </w:r>
          </w:p>
        </w:tc>
      </w:tr>
      <w:tr w14:paraId="4DFBCC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0E2AF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39C9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2FB14">
            <w:pPr>
              <w:jc w:val="center"/>
            </w:pPr>
            <w:r>
              <w:rPr>
                <w:rFonts w:ascii="宋体" w:hAnsi="宋体" w:eastAsia="宋体"/>
                <w:sz w:val="16"/>
              </w:rPr>
              <w:t>受理法律援助案件数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8D0E4">
            <w:pPr>
              <w:jc w:val="center"/>
            </w:pPr>
            <w:r>
              <w:rPr>
                <w:rFonts w:ascii="宋体" w:hAnsi="宋体" w:eastAsia="宋体"/>
                <w:sz w:val="16"/>
              </w:rPr>
              <w:t>&gt;=50件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464B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DE498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6A33D">
            <w:pPr>
              <w:jc w:val="center"/>
            </w:pPr>
            <w:r>
              <w:rPr>
                <w:rFonts w:ascii="宋体" w:hAnsi="宋体" w:eastAsia="宋体"/>
                <w:sz w:val="16"/>
              </w:rPr>
              <w:t>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79ECF">
            <w:pPr>
              <w:jc w:val="center"/>
            </w:pPr>
            <w:r>
              <w:rPr>
                <w:rFonts w:ascii="宋体" w:hAnsi="宋体" w:eastAsia="宋体"/>
                <w:sz w:val="16"/>
              </w:rPr>
              <w:t>15</w:t>
            </w:r>
          </w:p>
        </w:tc>
      </w:tr>
      <w:tr w14:paraId="7EF0C5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AD6D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1C04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8CA24">
            <w:pPr>
              <w:jc w:val="center"/>
            </w:pPr>
            <w:r>
              <w:rPr>
                <w:rFonts w:ascii="宋体" w:hAnsi="宋体" w:eastAsia="宋体"/>
                <w:sz w:val="16"/>
              </w:rPr>
              <w:t>人民调解案件数量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085C8">
            <w:pPr>
              <w:jc w:val="center"/>
            </w:pPr>
            <w:r>
              <w:rPr>
                <w:rFonts w:ascii="宋体" w:hAnsi="宋体" w:eastAsia="宋体"/>
                <w:sz w:val="16"/>
              </w:rPr>
              <w:t>&gt;=1000件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71EC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6D8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A3ED7">
            <w:pPr>
              <w:jc w:val="center"/>
            </w:pPr>
            <w:r>
              <w:rPr>
                <w:rFonts w:ascii="宋体" w:hAnsi="宋体" w:eastAsia="宋体"/>
                <w:sz w:val="16"/>
              </w:rPr>
              <w:t>1000件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A06C9">
            <w:pPr>
              <w:jc w:val="center"/>
            </w:pPr>
            <w:r>
              <w:rPr>
                <w:rFonts w:ascii="宋体" w:hAnsi="宋体" w:eastAsia="宋体"/>
                <w:sz w:val="16"/>
              </w:rPr>
              <w:t>10</w:t>
            </w:r>
          </w:p>
        </w:tc>
      </w:tr>
      <w:tr w14:paraId="40EE0F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3F19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679B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5D4F5">
            <w:pPr>
              <w:jc w:val="center"/>
            </w:pPr>
            <w:r>
              <w:rPr>
                <w:rFonts w:ascii="宋体" w:hAnsi="宋体" w:eastAsia="宋体"/>
                <w:sz w:val="16"/>
              </w:rPr>
              <w:t>行政执法人员业务知识培训课时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CD684">
            <w:pPr>
              <w:jc w:val="center"/>
            </w:pPr>
            <w:r>
              <w:rPr>
                <w:rFonts w:ascii="宋体" w:hAnsi="宋体" w:eastAsia="宋体"/>
                <w:sz w:val="16"/>
              </w:rPr>
              <w:t>&gt;=60课时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8D6B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932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F3347">
            <w:pPr>
              <w:jc w:val="center"/>
            </w:pPr>
            <w:r>
              <w:rPr>
                <w:rFonts w:ascii="宋体" w:hAnsi="宋体" w:eastAsia="宋体"/>
                <w:sz w:val="16"/>
              </w:rPr>
              <w:t>60课时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E93B2">
            <w:pPr>
              <w:jc w:val="center"/>
            </w:pPr>
            <w:r>
              <w:rPr>
                <w:rFonts w:ascii="宋体" w:hAnsi="宋体" w:eastAsia="宋体"/>
                <w:sz w:val="16"/>
              </w:rPr>
              <w:t>10</w:t>
            </w:r>
          </w:p>
        </w:tc>
      </w:tr>
      <w:tr w14:paraId="5CD053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44F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AA42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FE5BC">
            <w:pPr>
              <w:jc w:val="center"/>
            </w:pPr>
            <w:r>
              <w:rPr>
                <w:rFonts w:ascii="宋体" w:hAnsi="宋体" w:eastAsia="宋体"/>
                <w:sz w:val="16"/>
              </w:rPr>
              <w:t>受理案件办结率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5F3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C02F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24C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3D7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92F9E">
            <w:pPr>
              <w:jc w:val="center"/>
            </w:pPr>
            <w:r>
              <w:rPr>
                <w:rFonts w:ascii="宋体" w:hAnsi="宋体" w:eastAsia="宋体"/>
                <w:sz w:val="16"/>
              </w:rPr>
              <w:t>10</w:t>
            </w:r>
          </w:p>
        </w:tc>
      </w:tr>
    </w:tbl>
    <w:p w14:paraId="28A84D05">
      <w:r>
        <w:br w:type="page"/>
      </w:r>
    </w:p>
    <w:p w14:paraId="34E4E4B0">
      <w:pPr>
        <w:spacing w:line="640" w:lineRule="exact"/>
        <w:ind w:firstLine="640"/>
        <w:jc w:val="both"/>
        <w:outlineLvl w:val="2"/>
      </w:pPr>
      <w:r>
        <w:rPr>
          <w:rFonts w:ascii="黑体" w:hAnsi="黑体" w:eastAsia="黑体"/>
          <w:sz w:val="32"/>
        </w:rPr>
        <w:t>十二、其他需说明的事项</w:t>
      </w:r>
    </w:p>
    <w:p w14:paraId="59F9BA64">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不公开</w:t>
      </w:r>
      <w:r>
        <w:rPr>
          <w:rFonts w:ascii="仿宋_GB2312" w:hAnsi="仿宋_GB2312" w:eastAsia="仿宋_GB2312"/>
          <w:b w:val="0"/>
          <w:sz w:val="32"/>
        </w:rPr>
        <w:t>项目2个，全年预算数95.15万元，全年执行数95.15万元。</w:t>
      </w:r>
    </w:p>
    <w:p w14:paraId="7E792C19">
      <w:r>
        <w:br w:type="page"/>
      </w:r>
    </w:p>
    <w:p w14:paraId="566736C2">
      <w:pPr>
        <w:spacing w:line="240" w:lineRule="auto"/>
        <w:jc w:val="center"/>
        <w:outlineLvl w:val="1"/>
      </w:pPr>
      <w:r>
        <w:rPr>
          <w:rFonts w:ascii="黑体" w:hAnsi="黑体" w:eastAsia="黑体"/>
          <w:sz w:val="32"/>
        </w:rPr>
        <w:t>第三部分 专业名词解释</w:t>
      </w:r>
    </w:p>
    <w:p w14:paraId="5B1EB2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DA07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D01DB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030FF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7363D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8691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A826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A3E3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3949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54ED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82995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BBF8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734D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0BFEE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919573">
      <w:r>
        <w:br w:type="page"/>
      </w:r>
    </w:p>
    <w:p w14:paraId="4A727E19">
      <w:pPr>
        <w:spacing w:line="240" w:lineRule="auto"/>
        <w:jc w:val="center"/>
        <w:outlineLvl w:val="1"/>
      </w:pPr>
      <w:r>
        <w:rPr>
          <w:rFonts w:ascii="黑体" w:hAnsi="黑体" w:eastAsia="黑体"/>
          <w:sz w:val="32"/>
        </w:rPr>
        <w:t>第四部分 部门决算报表（见附表）</w:t>
      </w:r>
    </w:p>
    <w:p w14:paraId="13B6BF22">
      <w:pPr>
        <w:spacing w:line="240" w:lineRule="auto"/>
        <w:ind w:firstLine="640"/>
        <w:jc w:val="both"/>
      </w:pPr>
      <w:r>
        <w:rPr>
          <w:rFonts w:ascii="仿宋_GB2312" w:hAnsi="仿宋_GB2312" w:eastAsia="仿宋_GB2312"/>
          <w:b w:val="0"/>
          <w:sz w:val="32"/>
        </w:rPr>
        <w:t>一、《收入支出决算总表》</w:t>
      </w:r>
    </w:p>
    <w:p w14:paraId="0C88D211">
      <w:pPr>
        <w:spacing w:line="240" w:lineRule="auto"/>
        <w:ind w:firstLine="640"/>
        <w:jc w:val="both"/>
      </w:pPr>
      <w:r>
        <w:rPr>
          <w:rFonts w:ascii="仿宋_GB2312" w:hAnsi="仿宋_GB2312" w:eastAsia="仿宋_GB2312"/>
          <w:b w:val="0"/>
          <w:sz w:val="32"/>
        </w:rPr>
        <w:t>二、《收入决算表》</w:t>
      </w:r>
    </w:p>
    <w:p w14:paraId="797F1B1D">
      <w:pPr>
        <w:spacing w:line="240" w:lineRule="auto"/>
        <w:ind w:firstLine="640"/>
        <w:jc w:val="both"/>
      </w:pPr>
      <w:r>
        <w:rPr>
          <w:rFonts w:ascii="仿宋_GB2312" w:hAnsi="仿宋_GB2312" w:eastAsia="仿宋_GB2312"/>
          <w:b w:val="0"/>
          <w:sz w:val="32"/>
        </w:rPr>
        <w:t>三、《支出决算表》</w:t>
      </w:r>
    </w:p>
    <w:p w14:paraId="3AD9009B">
      <w:pPr>
        <w:spacing w:line="240" w:lineRule="auto"/>
        <w:ind w:firstLine="640"/>
        <w:jc w:val="both"/>
      </w:pPr>
      <w:r>
        <w:rPr>
          <w:rFonts w:ascii="仿宋_GB2312" w:hAnsi="仿宋_GB2312" w:eastAsia="仿宋_GB2312"/>
          <w:b w:val="0"/>
          <w:sz w:val="32"/>
        </w:rPr>
        <w:t>四、《财政拨款收入支出决算总表》</w:t>
      </w:r>
    </w:p>
    <w:p w14:paraId="3B1A709E">
      <w:pPr>
        <w:spacing w:line="240" w:lineRule="auto"/>
        <w:ind w:firstLine="640"/>
        <w:jc w:val="both"/>
      </w:pPr>
      <w:r>
        <w:rPr>
          <w:rFonts w:ascii="仿宋_GB2312" w:hAnsi="仿宋_GB2312" w:eastAsia="仿宋_GB2312"/>
          <w:b w:val="0"/>
          <w:sz w:val="32"/>
        </w:rPr>
        <w:t>五、《一般公共预算财政拨款支出决算表》</w:t>
      </w:r>
    </w:p>
    <w:p w14:paraId="44B8F0B9">
      <w:pPr>
        <w:spacing w:line="240" w:lineRule="auto"/>
        <w:ind w:firstLine="640"/>
        <w:jc w:val="both"/>
      </w:pPr>
      <w:r>
        <w:rPr>
          <w:rFonts w:ascii="仿宋_GB2312" w:hAnsi="仿宋_GB2312" w:eastAsia="仿宋_GB2312"/>
          <w:b w:val="0"/>
          <w:sz w:val="32"/>
        </w:rPr>
        <w:t>六、《一般公共预算财政拨款基本支出决算表》</w:t>
      </w:r>
    </w:p>
    <w:p w14:paraId="15115B13">
      <w:pPr>
        <w:spacing w:line="240" w:lineRule="auto"/>
        <w:ind w:firstLine="640"/>
        <w:jc w:val="both"/>
      </w:pPr>
      <w:r>
        <w:rPr>
          <w:rFonts w:ascii="仿宋_GB2312" w:hAnsi="仿宋_GB2312" w:eastAsia="仿宋_GB2312"/>
          <w:b w:val="0"/>
          <w:sz w:val="32"/>
        </w:rPr>
        <w:t>七、《政府性基金预算财政拨款收入支出决算表》</w:t>
      </w:r>
    </w:p>
    <w:p w14:paraId="72734224">
      <w:pPr>
        <w:spacing w:line="240" w:lineRule="auto"/>
        <w:ind w:firstLine="640"/>
        <w:jc w:val="both"/>
      </w:pPr>
      <w:r>
        <w:rPr>
          <w:rFonts w:ascii="仿宋_GB2312" w:hAnsi="仿宋_GB2312" w:eastAsia="仿宋_GB2312"/>
          <w:b w:val="0"/>
          <w:sz w:val="32"/>
        </w:rPr>
        <w:t>八、《国有资本经营预算财政拨款收入支出决算表》</w:t>
      </w:r>
    </w:p>
    <w:p w14:paraId="1DC36743">
      <w:pPr>
        <w:spacing w:line="240" w:lineRule="auto"/>
        <w:ind w:firstLine="640"/>
        <w:jc w:val="both"/>
      </w:pPr>
      <w:r>
        <w:rPr>
          <w:rFonts w:ascii="仿宋_GB2312" w:hAnsi="仿宋_GB2312" w:eastAsia="仿宋_GB2312"/>
          <w:b w:val="0"/>
          <w:sz w:val="32"/>
        </w:rPr>
        <w:t>九、《财政拨款“三公”经费支出决算表》</w:t>
      </w:r>
    </w:p>
    <w:p w14:paraId="3D6BED4D">
      <w:pPr>
        <w:spacing w:line="240" w:lineRule="auto"/>
        <w:ind w:firstLine="640"/>
        <w:jc w:val="both"/>
      </w:pPr>
    </w:p>
    <w:p w14:paraId="46A9584B">
      <w:pPr>
        <w:spacing w:line="240" w:lineRule="auto"/>
        <w:ind w:firstLine="640"/>
        <w:jc w:val="both"/>
      </w:pPr>
    </w:p>
    <w:p w14:paraId="392F19FF">
      <w:pPr>
        <w:spacing w:line="240" w:lineRule="auto"/>
        <w:ind w:firstLine="640"/>
        <w:jc w:val="both"/>
      </w:pPr>
    </w:p>
    <w:p w14:paraId="349EA584">
      <w:pPr>
        <w:spacing w:line="240" w:lineRule="auto"/>
        <w:ind w:firstLine="640"/>
        <w:jc w:val="both"/>
      </w:pPr>
    </w:p>
    <w:p w14:paraId="7488B90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A209E5-2732-435C-8734-3F761EE2C0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4865EB3-221D-43F5-9249-52AB7CC9C47E}"/>
  </w:font>
  <w:font w:name="仿宋_GB2312">
    <w:panose1 w:val="02010609030101010101"/>
    <w:charset w:val="86"/>
    <w:family w:val="modern"/>
    <w:pitch w:val="default"/>
    <w:sig w:usb0="00000001" w:usb1="080E0000" w:usb2="00000000" w:usb3="00000000" w:csb0="00040000" w:csb1="00000000"/>
    <w:embedRegular r:id="rId3" w:fontKey="{49B8152E-C5CF-462F-8FAA-A9BC36154218}"/>
  </w:font>
  <w:font w:name="楷体_GB2312">
    <w:panose1 w:val="02010609030101010101"/>
    <w:charset w:val="86"/>
    <w:family w:val="auto"/>
    <w:pitch w:val="default"/>
    <w:sig w:usb0="00000001" w:usb1="080E0000" w:usb2="00000000" w:usb3="00000000" w:csb0="00040000" w:csb1="00000000"/>
    <w:embedRegular r:id="rId4" w:fontKey="{E651EC39-94BF-47A8-BAE2-3B27627552D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C9CD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167D7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5167D7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A03CDE"/>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4546DF"/>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780B12"/>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42379630-5584-478e-9860-51c24dc49ed0</errorID>
      <errorWord>法律、法规</errorWord>
      <group>L1_Word</group>
      <groupName>字词问题</groupName>
      <ability>L2_Typo</ability>
      <abilityName>字词错误</abilityName>
      <candidateList>
        <item>法律法规</item>
      </candidateList>
      <explain/>
      <paraID>4CE64361</paraID>
      <start>31</start>
      <end>35</end>
      <status>modified</status>
      <modifiedWord>法律法规</modifiedWord>
      <trackRevisions>false</trackRevisions>
    </reviewItem>
    <reviewItem>
      <errorID>fb4a84a1-9bcd-4e57-8249-6e43ebadf95d</errorID>
      <errorWord>安置帮教</errorWord>
      <group>L1_Sensitive</group>
      <groupName>敏感问题</groupName>
      <ability>L2_UserSensitive</ability>
      <abilityName>自定义敏感词</abilityName>
      <candidateList/>
      <explain>来自自定义敏感词库。</explain>
      <paraID>6C55E467</paraID>
      <start>19</start>
      <end>23</end>
      <status>unmodified</status>
      <modifiedWord/>
      <trackRevisions>false</trackRevisions>
    </reviewItem>
    <reviewItem>
      <errorID>357ed26d-cc1f-4663-a954-6b4d25ed1bab</errorID>
      <errorWord>刑满释放</errorWord>
      <group>L1_Sensitive</group>
      <groupName>敏感问题</groupName>
      <ability>L2_UserSensitive</ability>
      <abilityName>自定义敏感词</abilityName>
      <candidateList/>
      <explain>来自自定义敏感词库。</explain>
      <paraID>6C55E467</paraID>
      <start>39</start>
      <end>43</end>
      <status>unmodified</status>
      <modifiedWord/>
      <trackRevisions>false</trackRevisions>
    </reviewItem>
    <reviewItem>
      <errorID>f7d29982-ad59-427c-9af6-60560f2d694f</errorID>
      <errorWord>,</errorWord>
      <group>L1_Format</group>
      <groupName>格式问题</groupName>
      <ability>L2_HalfPunc</ability>
      <abilityName>全半角检查</abilityName>
      <candidateList>
        <item>，</item>
      </candidateList>
      <explain>文本全半角错误。</explain>
      <paraID>301A262C</paraID>
      <start>56</start>
      <end>57</end>
      <status>unmodified</status>
      <modifiedWord/>
      <trackRevisions>false</trackRevisions>
    </reviewItem>
    <reviewItem>
      <errorID>e0d7ab15-5af6-4a74-a416-e7b85e88990f</errorID>
      <errorWord>,</errorWord>
      <group>L1_Format</group>
      <groupName>格式问题</groupName>
      <ability>L2_HalfPunc</ability>
      <abilityName>全半角检查</abilityName>
      <candidateList>
        <item>，</item>
      </candidateList>
      <explain>文本全半角错误。</explain>
      <paraID>522ED142</paraID>
      <start>124</start>
      <end>125</end>
      <status>unmodified</status>
      <modifiedWord/>
      <trackRevisions>false</trackRevisions>
    </reviewItem>
    <reviewItem>
      <errorID>9c9764ee-a67c-46a1-a84a-32b7b57afdab</errorID>
      <errorWord>,</errorWord>
      <group>L1_Format</group>
      <groupName>格式问题</groupName>
      <ability>L2_HalfPunc</ability>
      <abilityName>全半角检查</abilityName>
      <candidateList>
        <item>，</item>
      </candidateList>
      <explain>文本全半角错误。</explain>
      <paraID>5AC1065D</paraID>
      <start>19</start>
      <end>20</end>
      <status>unmodified</status>
      <modifiedWord/>
      <trackRevisions>false</trackRevisions>
    </reviewItem>
    <reviewItem>
      <errorID>cc64b72e-fd24-40f8-8dd4-1b8bf23bd882</errorID>
      <errorWord>,</errorWord>
      <group>L1_Format</group>
      <groupName>格式问题</groupName>
      <ability>L2_HalfPunc</ability>
      <abilityName>全半角检查</abilityName>
      <candidateList>
        <item>，</item>
      </candidateList>
      <explain>文本全半角错误。</explain>
      <paraID>1C1ADB31</paraID>
      <start>21</start>
      <end>22</end>
      <status>unmodified</status>
      <modifiedWord/>
      <trackRevisions>false</trackRevisions>
    </reviewItem>
    <reviewItem>
      <errorID>e078a98e-daf8-458b-9ba7-f5f0d97a7619</errorID>
      <errorWord>,</errorWord>
      <group>L1_Format</group>
      <groupName>格式问题</groupName>
      <ability>L2_HalfPunc</ability>
      <abilityName>全半角检查</abilityName>
      <candidateList>
        <item>，</item>
      </candidateList>
      <explain>文本全半角错误。</explain>
      <paraID>3942F0C6</paraID>
      <start>18</start>
      <end>19</end>
      <status>unmodified</status>
      <modifiedWord/>
      <trackRevisions>false</trackRevisions>
    </reviewItem>
    <reviewItem>
      <errorID>88ddd241-7665-490d-89eb-22024f8a8dcd</errorID>
      <errorWord>,</errorWord>
      <group>L1_Format</group>
      <groupName>格式问题</groupName>
      <ability>L2_HalfPunc</ability>
      <abilityName>全半角检查</abilityName>
      <candidateList>
        <item>，</item>
      </candidateList>
      <explain>文本全半角错误。</explain>
      <paraID>298BF8D1</paraID>
      <start>18</start>
      <end>19</end>
      <status>unmodified</status>
      <modifiedWord/>
      <trackRevisions>false</trackRevisions>
    </reviewItem>
    <reviewItem>
      <errorID>27e6ce05-377a-4dea-80e0-48d2baf7cefd</errorID>
      <errorWord>:</errorWord>
      <group>L1_Format</group>
      <groupName>格式问题</groupName>
      <ability>L2_HalfPunc</ability>
      <abilityName>全半角检查</abilityName>
      <candidateList>
        <item>：</item>
      </candidateList>
      <explain>文本全半角错误。</explain>
      <paraID>3585A4F4</paraID>
      <start>23</start>
      <end>24</end>
      <status>unmodified</status>
      <modifiedWord/>
      <trackRevisions>false</trackRevisions>
    </reviewItem>
    <reviewItem>
      <errorID>c68c151a-fa16-47a1-933b-cfb04662c411</errorID>
      <errorWord>,</errorWord>
      <group>L1_Format</group>
      <groupName>格式问题</groupName>
      <ability>L2_HalfPunc</ability>
      <abilityName>全半角检查</abilityName>
      <candidateList>
        <item>，</item>
      </candidateList>
      <explain>文本全半角错误。</explain>
      <paraID>3585A4F4</paraID>
      <start>62</start>
      <end>63</end>
      <status>unmodified</status>
      <modifiedWord/>
      <trackRevisions>false</trackRevisions>
    </reviewItem>
    <reviewItem>
      <errorID>d07871ef-9e34-4875-bc51-fd40281c162e</errorID>
      <errorWord>:</errorWord>
      <group>L1_Format</group>
      <groupName>格式问题</groupName>
      <ability>L2_HalfPunc</ability>
      <abilityName>全半角检查</abilityName>
      <candidateList>
        <item>：</item>
      </candidateList>
      <explain>文本全半角错误。</explain>
      <paraID>6C558540</paraID>
      <start>23</start>
      <end>24</end>
      <status>unmodified</status>
      <modifiedWord/>
      <trackRevisions>false</trackRevisions>
    </reviewItem>
    <reviewItem>
      <errorID>de896534-50fd-4517-97fc-e77fe410fda6</errorID>
      <errorWord>,</errorWord>
      <group>L1_Format</group>
      <groupName>格式问题</groupName>
      <ability>L2_HalfPunc</ability>
      <abilityName>全半角检查</abilityName>
      <candidateList>
        <item>，</item>
      </candidateList>
      <explain>文本全半角错误。</explain>
      <paraID>6C558540</paraID>
      <start>60</start>
      <end>61</end>
      <status>unmodified</status>
      <modifiedWord/>
      <trackRevisions>false</trackRevisions>
    </reviewItem>
    <reviewItem>
      <errorID>a37a4c4f-7d40-4c20-a4a5-62eb8e9b7cd4</errorID>
      <errorWord>:</errorWord>
      <group>L1_Format</group>
      <groupName>格式问题</groupName>
      <ability>L2_HalfPunc</ability>
      <abilityName>全半角检查</abilityName>
      <candidateList>
        <item>：</item>
      </candidateList>
      <explain>文本全半角错误。</explain>
      <paraID>72C24686</paraID>
      <start>25</start>
      <end>26</end>
      <status>unmodified</status>
      <modifiedWord/>
      <trackRevisions>false</trackRevisions>
    </reviewItem>
    <reviewItem>
      <errorID>df9f5cff-0718-4131-89e3-906a3bb86d61</errorID>
      <errorWord>,</errorWord>
      <group>L1_Format</group>
      <groupName>格式问题</groupName>
      <ability>L2_HalfPunc</ability>
      <abilityName>全半角检查</abilityName>
      <candidateList>
        <item>，</item>
      </candidateList>
      <explain>文本全半角错误。</explain>
      <paraID>72C24686</paraID>
      <start>63</start>
      <end>64</end>
      <status>unmodified</status>
      <modifiedWord/>
      <trackRevisions>false</trackRevisions>
    </reviewItem>
    <reviewItem>
      <errorID>6e866fb1-5495-4d86-959b-c1680547d0e8</errorID>
      <errorWord>:</errorWord>
      <group>L1_Format</group>
      <groupName>格式问题</groupName>
      <ability>L2_HalfPunc</ability>
      <abilityName>全半角检查</abilityName>
      <candidateList>
        <item>：</item>
      </candidateList>
      <explain>文本全半角错误。</explain>
      <paraID> B6AAEF1</paraID>
      <start>33</start>
      <end>34</end>
      <status>unmodified</status>
      <modifiedWord/>
      <trackRevisions>false</trackRevisions>
    </reviewItem>
    <reviewItem>
      <errorID>3c5ae36d-6459-46ef-8fb7-7190a801a228</errorID>
      <errorWord>,</errorWord>
      <group>L1_Format</group>
      <groupName>格式问题</groupName>
      <ability>L2_HalfPunc</ability>
      <abilityName>全半角检查</abilityName>
      <candidateList>
        <item>，</item>
      </candidateList>
      <explain>文本全半角错误。</explain>
      <paraID> B6AAEF1</paraID>
      <start>70</start>
      <end>71</end>
      <status>unmodified</status>
      <modifiedWord/>
      <trackRevisions>false</trackRevisions>
    </reviewItem>
    <reviewItem>
      <errorID>0167284e-c094-4d4f-8e8e-07a6bccaa1c6</errorID>
      <errorWord>:</errorWord>
      <group>L1_Format</group>
      <groupName>格式问题</groupName>
      <ability>L2_HalfPunc</ability>
      <abilityName>全半角检查</abilityName>
      <candidateList>
        <item>：</item>
      </candidateList>
      <explain>文本全半角错误。</explain>
      <paraID>44334204</paraID>
      <start>37</start>
      <end>38</end>
      <status>unmodified</status>
      <modifiedWord/>
      <trackRevisions>false</trackRevisions>
    </reviewItem>
    <reviewItem>
      <errorID>87cdba57-699a-443c-a56c-7c3a85f59e78</errorID>
      <errorWord>,</errorWord>
      <group>L1_Format</group>
      <groupName>格式问题</groupName>
      <ability>L2_HalfPunc</ability>
      <abilityName>全半角检查</abilityName>
      <candidateList>
        <item>，</item>
      </candidateList>
      <explain>文本全半角错误。</explain>
      <paraID>44334204</paraID>
      <start>74</start>
      <end>75</end>
      <status>unmodified</status>
      <modifiedWord/>
      <trackRevisions>false</trackRevisions>
    </reviewItem>
    <reviewItem>
      <errorID>0bbc2e52-354b-4dae-b195-aa4ecbf53222</errorID>
      <errorWord>:</errorWord>
      <group>L1_Format</group>
      <groupName>格式问题</groupName>
      <ability>L2_HalfPunc</ability>
      <abilityName>全半角检查</abilityName>
      <candidateList>
        <item>：</item>
      </candidateList>
      <explain>文本全半角错误。</explain>
      <paraID>27C924B8</paraID>
      <start>46</start>
      <end>47</end>
      <status>unmodified</status>
      <modifiedWord/>
      <trackRevisions>false</trackRevisions>
    </reviewItem>
    <reviewItem>
      <errorID>d8b0f72b-4d09-4acb-905e-c25f7248bc0f</errorID>
      <errorWord>,</errorWord>
      <group>L1_Format</group>
      <groupName>格式问题</groupName>
      <ability>L2_HalfPunc</ability>
      <abilityName>全半角检查</abilityName>
      <candidateList>
        <item>，</item>
      </candidateList>
      <explain>文本全半角错误。</explain>
      <paraID>27C924B8</paraID>
      <start>83</start>
      <end>84</end>
      <status>unmodified</status>
      <modifiedWord/>
      <trackRevisions>false</trackRevisions>
    </reviewItem>
    <reviewItem>
      <errorID>7cdfbc72-56cb-4db1-8b45-33ae085cb2e4</errorID>
      <errorWord>:</errorWord>
      <group>L1_Format</group>
      <groupName>格式问题</groupName>
      <ability>L2_HalfPunc</ability>
      <abilityName>全半角检查</abilityName>
      <candidateList>
        <item>：</item>
      </candidateList>
      <explain>文本全半角错误。</explain>
      <paraID>370895BD</paraID>
      <start>44</start>
      <end>45</end>
      <status>unmodified</status>
      <modifiedWord/>
      <trackRevisions>false</trackRevisions>
    </reviewItem>
    <reviewItem>
      <errorID>45b2b14b-53fc-4586-8741-f2677f693b88</errorID>
      <errorWord>,</errorWord>
      <group>L1_Format</group>
      <groupName>格式问题</groupName>
      <ability>L2_HalfPunc</ability>
      <abilityName>全半角检查</abilityName>
      <candidateList>
        <item>，</item>
      </candidateList>
      <explain>文本全半角错误。</explain>
      <paraID>370895BD</paraID>
      <start>81</start>
      <end>82</end>
      <status>unmodified</status>
      <modifiedWord/>
      <trackRevisions>false</trackRevisions>
    </reviewItem>
    <reviewItem>
      <errorID>9458ee3a-0514-4d96-91f2-a2ef2beb5647</errorID>
      <errorWord>:</errorWord>
      <group>L1_Format</group>
      <groupName>格式问题</groupName>
      <ability>L2_HalfPunc</ability>
      <abilityName>全半角检查</abilityName>
      <candidateList>
        <item>：</item>
      </candidateList>
      <explain>文本全半角错误。</explain>
      <paraID>567A2F36</paraID>
      <start>31</start>
      <end>32</end>
      <status>unmodified</status>
      <modifiedWord/>
      <trackRevisions>false</trackRevisions>
    </reviewItem>
    <reviewItem>
      <errorID>931d24d0-6790-45e7-9777-6725f48255ce</errorID>
      <errorWord>,</errorWord>
      <group>L1_Format</group>
      <groupName>格式问题</groupName>
      <ability>L2_HalfPunc</ability>
      <abilityName>全半角检查</abilityName>
      <candidateList>
        <item>，</item>
      </candidateList>
      <explain>文本全半角错误。</explain>
      <paraID>567A2F36</paraID>
      <start>68</start>
      <end>69</end>
      <status>unmodified</status>
      <modifiedWord/>
      <trackRevisions>false</trackRevisions>
    </reviewItem>
    <reviewItem>
      <errorID>dbac3668-a7d7-488f-818e-b481f4773e0a</errorID>
      <errorWord>:</errorWord>
      <group>L1_Format</group>
      <groupName>格式问题</groupName>
      <ability>L2_HalfPunc</ability>
      <abilityName>全半角检查</abilityName>
      <candidateList>
        <item>：</item>
      </candidateList>
      <explain>文本全半角错误。</explain>
      <paraID> 9FAB5D5</paraID>
      <start>32</start>
      <end>33</end>
      <status>unmodified</status>
      <modifiedWord/>
      <trackRevisions>false</trackRevisions>
    </reviewItem>
    <reviewItem>
      <errorID>8aa649e7-2a22-4f41-9241-3f3bd66331a7</errorID>
      <errorWord>,</errorWord>
      <group>L1_Format</group>
      <groupName>格式问题</groupName>
      <ability>L2_HalfPunc</ability>
      <abilityName>全半角检查</abilityName>
      <candidateList>
        <item>，</item>
      </candidateList>
      <explain>文本全半角错误。</explain>
      <paraID> 9FAB5D5</paraID>
      <start>68</start>
      <end>69</end>
      <status>unmodified</status>
      <modifiedWord/>
      <trackRevisions>false</trackRevisions>
    </reviewItem>
    <reviewItem>
      <errorID>2b47c92e-35e7-42dc-b2a4-d5fd7d61bbcd</errorID>
      <errorWord>:</errorWord>
      <group>L1_Format</group>
      <groupName>格式问题</groupName>
      <ability>L2_HalfPunc</ability>
      <abilityName>全半角检查</abilityName>
      <candidateList>
        <item>：</item>
      </candidateList>
      <explain>文本全半角错误。</explain>
      <paraID>4CD846A6</paraID>
      <start>29</start>
      <end>30</end>
      <status>unmodified</status>
      <modifiedWord/>
      <trackRevisions>false</trackRevisions>
    </reviewItem>
    <reviewItem>
      <errorID>049875e6-c9b6-48fe-a777-9b5a3c589beb</errorID>
      <errorWord>,</errorWord>
      <group>L1_Format</group>
      <groupName>格式问题</groupName>
      <ability>L2_HalfPunc</ability>
      <abilityName>全半角检查</abilityName>
      <candidateList>
        <item>，</item>
      </candidateList>
      <explain>文本全半角错误。</explain>
      <paraID>4CD846A6</paraID>
      <start>66</start>
      <end>67</end>
      <status>unmodified</status>
      <modifiedWord/>
      <trackRevisions>false</trackRevisions>
    </reviewItem>
    <reviewItem>
      <errorID>babaca10-9774-439c-b54d-8e5b6c3e2f4a</errorID>
      <errorWord>:</errorWord>
      <group>L1_Format</group>
      <groupName>格式问题</groupName>
      <ability>L2_HalfPunc</ability>
      <abilityName>全半角检查</abilityName>
      <candidateList>
        <item>：</item>
      </candidateList>
      <explain>文本全半角错误。</explain>
      <paraID>  28E23A</paraID>
      <start>29</start>
      <end>30</end>
      <status>unmodified</status>
      <modifiedWord/>
      <trackRevisions>false</trackRevisions>
    </reviewItem>
    <reviewItem>
      <errorID>b93cda27-903e-47bf-9ca5-e0f19a160ad1</errorID>
      <errorWord>,</errorWord>
      <group>L1_Format</group>
      <groupName>格式问题</groupName>
      <ability>L2_HalfPunc</ability>
      <abilityName>全半角检查</abilityName>
      <candidateList>
        <item>，</item>
      </candidateList>
      <explain>文本全半角错误。</explain>
      <paraID>  28E23A</paraID>
      <start>66</start>
      <end>67</end>
      <status>unmodified</status>
      <modifiedWord/>
      <trackRevisions>false</trackRevisions>
    </reviewItem>
    <reviewItem>
      <errorID>6a51e4e0-1ae4-4030-8e04-9bfd2173e23b</errorID>
      <errorWord>截止2024</errorWord>
      <group>L1_Word</group>
      <groupName>字词问题</groupName>
      <ability>L2_Typo</ability>
      <abilityName>字词错误</abilityName>
      <candidateList>
        <item>截至2024</item>
      </candidateList>
      <explain/>
      <paraID>7EFC8357</paraID>
      <start>0</start>
      <end>6</end>
      <status>modified</status>
      <modifiedWord>截至2024</modifiedWord>
      <trackRevisions>false</trackRevisions>
    </reviewItem>
    <reviewItem>
      <errorID>4a7de1a7-3964-439b-b707-e6999e514824</errorID>
      <errorWord>:</errorWord>
      <group>L1_Format</group>
      <groupName>格式问题</groupName>
      <ability>L2_HalfPunc</ability>
      <abilityName>全半角检查</abilityName>
      <candidateList>
        <item>：</item>
      </candidateList>
      <explain>文本全半角错误。</explain>
      <paraID>71B8D8A9</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a2014-1d42-4d72-b538-b5dd558d78a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1272</Words>
  <Characters>1300</Characters>
  <Lines>0</Lines>
  <Paragraphs>0</Paragraphs>
  <TotalTime>19</TotalTime>
  <ScaleCrop>false</ScaleCrop>
  <LinksUpToDate>false</LinksUpToDate>
  <CharactersWithSpaces>1308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