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F01168A">
      <w:r>
        <w:br w:type="page"/>
      </w:r>
    </w:p>
    <w:p w14:paraId="1242BC57">
      <w:pPr>
        <w:spacing w:line="640" w:lineRule="exact"/>
        <w:jc w:val="center"/>
        <w:outlineLvl w:val="1"/>
      </w:pPr>
      <w:r>
        <w:rPr>
          <w:rFonts w:ascii="黑体" w:hAnsi="黑体" w:eastAsia="黑体"/>
          <w:sz w:val="32"/>
        </w:rPr>
        <w:t>第一部分 单位概况</w:t>
      </w:r>
    </w:p>
    <w:p w14:paraId="49FEAF69">
      <w:pPr>
        <w:spacing w:line="640" w:lineRule="exact"/>
        <w:ind w:firstLine="640"/>
        <w:jc w:val="both"/>
        <w:outlineLvl w:val="2"/>
      </w:pPr>
      <w:r>
        <w:rPr>
          <w:rFonts w:ascii="黑体" w:hAnsi="黑体" w:eastAsia="黑体"/>
          <w:sz w:val="32"/>
        </w:rPr>
        <w:t>一、主要职能</w:t>
      </w:r>
    </w:p>
    <w:p w14:paraId="0C64928C">
      <w:pPr>
        <w:spacing w:line="580" w:lineRule="exact"/>
        <w:ind w:firstLine="640"/>
        <w:jc w:val="both"/>
      </w:pPr>
      <w:r>
        <w:rPr>
          <w:rFonts w:ascii="仿宋_GB2312" w:hAnsi="仿宋_GB2312" w:eastAsia="仿宋_GB2312"/>
          <w:sz w:val="32"/>
        </w:rPr>
        <w:t>（一）贯彻实施国家、自治区和地区医疗保险、生育保险、医疗保障救助等医疗保障制度，落实医疗保障相关政策、规划和标准并组织实施；实施医疗保险、人身意外伤害保险、大额医疗补助、公务员医疗补助、企事业单位补充医疗保险、享受</w:t>
      </w:r>
      <w:r>
        <w:rPr>
          <w:rFonts w:hint="eastAsia" w:ascii="仿宋_GB2312" w:hAnsi="仿宋_GB2312" w:eastAsia="仿宋_GB2312"/>
          <w:sz w:val="32"/>
          <w:lang w:eastAsia="zh-CN"/>
        </w:rPr>
        <w:t>国务院政府特殊津贴</w:t>
      </w:r>
      <w:r>
        <w:rPr>
          <w:rFonts w:ascii="仿宋_GB2312" w:hAnsi="仿宋_GB2312" w:eastAsia="仿宋_GB2312"/>
          <w:sz w:val="32"/>
        </w:rPr>
        <w:t>专家、</w:t>
      </w:r>
      <w:r>
        <w:rPr>
          <w:rFonts w:hint="eastAsia" w:ascii="仿宋_GB2312" w:hAnsi="仿宋_GB2312" w:eastAsia="仿宋_GB2312"/>
          <w:sz w:val="32"/>
          <w:lang w:eastAsia="zh-CN"/>
        </w:rPr>
        <w:t>离退</w:t>
      </w:r>
      <w:r>
        <w:rPr>
          <w:rFonts w:ascii="仿宋_GB2312" w:hAnsi="仿宋_GB2312" w:eastAsia="仿宋_GB2312"/>
          <w:sz w:val="32"/>
        </w:rPr>
        <w:t>休人员和优抚对象医疗保障政策、管理办法并组织实施。</w:t>
      </w:r>
    </w:p>
    <w:p w14:paraId="2B749763">
      <w:pPr>
        <w:spacing w:line="580" w:lineRule="exact"/>
        <w:ind w:firstLine="640"/>
        <w:jc w:val="both"/>
      </w:pPr>
      <w:r>
        <w:rPr>
          <w:rFonts w:ascii="仿宋_GB2312" w:hAnsi="仿宋_GB2312" w:eastAsia="仿宋_GB2312"/>
          <w:sz w:val="32"/>
        </w:rPr>
        <w:t>（二）组织拟订并实施医疗保障基金监督管理办法，建立健全医疗保障基金安全防控机制，承担推进医疗保障基金支付方式改革工作，编制全县医疗保障基金预决算草案。</w:t>
      </w:r>
    </w:p>
    <w:p w14:paraId="23C58E2A">
      <w:pPr>
        <w:spacing w:line="580" w:lineRule="exact"/>
        <w:ind w:firstLine="640"/>
        <w:jc w:val="both"/>
      </w:pPr>
      <w:r>
        <w:rPr>
          <w:rFonts w:ascii="仿宋_GB2312" w:hAnsi="仿宋_GB2312" w:eastAsia="仿宋_GB2312"/>
          <w:sz w:val="32"/>
        </w:rPr>
        <w:t>（三）组织拟订医疗保障筹资和待遇政策，完善动态调整和区域调剂平衡机制，统筹城乡医疗保障待遇标准，建立健全与筹资水平相适应的待遇调整机制。拟订贯彻长期护理保险制度改革的方案并组织实施。</w:t>
      </w:r>
    </w:p>
    <w:p w14:paraId="0EFFA838">
      <w:pPr>
        <w:spacing w:line="580" w:lineRule="exact"/>
        <w:ind w:firstLine="640"/>
        <w:jc w:val="both"/>
      </w:pPr>
      <w:r>
        <w:rPr>
          <w:rFonts w:ascii="仿宋_GB2312" w:hAnsi="仿宋_GB2312" w:eastAsia="仿宋_GB2312"/>
          <w:sz w:val="32"/>
        </w:rPr>
        <w:t>（四）组织拟订药品、医用耗材价格和医疗服务项目、医疗服务设施收费等政策并监督实施，执行自治区、地区制定的药品、医用耗材的招标</w:t>
      </w:r>
      <w:r>
        <w:rPr>
          <w:rFonts w:hint="eastAsia" w:ascii="仿宋_GB2312" w:hAnsi="仿宋_GB2312" w:eastAsia="仿宋_GB2312"/>
          <w:sz w:val="32"/>
          <w:lang w:eastAsia="zh-CN"/>
        </w:rPr>
        <w:t>采购</w:t>
      </w:r>
      <w:r>
        <w:rPr>
          <w:rFonts w:ascii="仿宋_GB2312" w:hAnsi="仿宋_GB2312" w:eastAsia="仿宋_GB2312"/>
          <w:sz w:val="32"/>
        </w:rPr>
        <w:t>政策并监督实施，建立医保支付医药服务价格合理确定和动态调整机制，建立市场主导的社会医药服务价格形成机制，建立医药服务价格信息监测和信息发布制度，指导药品、医用耗材招标采购平台建设。</w:t>
      </w:r>
    </w:p>
    <w:p w14:paraId="5CDECE80">
      <w:pPr>
        <w:spacing w:line="580" w:lineRule="exact"/>
        <w:ind w:firstLine="640"/>
        <w:jc w:val="both"/>
      </w:pPr>
      <w:r>
        <w:rPr>
          <w:rFonts w:ascii="仿宋_GB2312" w:hAnsi="仿宋_GB2312" w:eastAsia="仿宋_GB2312"/>
          <w:sz w:val="32"/>
        </w:rPr>
        <w:t>（五）组织实施药品、医用耗材、医疗服务项目、医疗服务设施等医保目录和支付标准，建立动态调整机制。</w:t>
      </w:r>
    </w:p>
    <w:p w14:paraId="6828900B">
      <w:pPr>
        <w:spacing w:line="580" w:lineRule="exact"/>
        <w:ind w:firstLine="640"/>
        <w:jc w:val="both"/>
      </w:pPr>
      <w:r>
        <w:rPr>
          <w:rFonts w:ascii="仿宋_GB2312" w:hAnsi="仿宋_GB2312" w:eastAsia="仿宋_GB2312"/>
          <w:sz w:val="32"/>
        </w:rPr>
        <w:t>（六）制定定点医药机构协议和支付管理办法并组织实施，建立健全医疗保障信用评价体系和信息披露制度，监督管理纳入医保范围内的医疗服务行为和医疗费用，依法查处医疗保障、生育保险领域违法违规行为。</w:t>
      </w:r>
    </w:p>
    <w:p w14:paraId="76208326">
      <w:pPr>
        <w:spacing w:line="580" w:lineRule="exact"/>
        <w:ind w:firstLine="640"/>
        <w:jc w:val="both"/>
      </w:pPr>
      <w:r>
        <w:rPr>
          <w:rFonts w:ascii="仿宋_GB2312" w:hAnsi="仿宋_GB2312" w:eastAsia="仿宋_GB2312"/>
          <w:sz w:val="32"/>
        </w:rPr>
        <w:t>（七）负责医疗保障经办管理、公共服务体系和信息化建设。贯彻落实国家和自治区跨省异地就医管理和费用结算政策，贯彻落实</w:t>
      </w:r>
      <w:r>
        <w:rPr>
          <w:rFonts w:hint="eastAsia" w:ascii="仿宋_GB2312" w:hAnsi="仿宋_GB2312" w:eastAsia="仿宋_GB2312"/>
          <w:sz w:val="32"/>
          <w:lang w:eastAsia="zh-CN"/>
        </w:rPr>
        <w:t>全疆</w:t>
      </w:r>
      <w:r>
        <w:rPr>
          <w:rFonts w:ascii="仿宋_GB2312" w:hAnsi="仿宋_GB2312" w:eastAsia="仿宋_GB2312"/>
          <w:sz w:val="32"/>
        </w:rPr>
        <w:t>异地就医和费用结算政策。建立健全医疗保障关系转移接续制度。</w:t>
      </w:r>
    </w:p>
    <w:p w14:paraId="60442587">
      <w:pPr>
        <w:spacing w:line="640" w:lineRule="exact"/>
        <w:ind w:firstLine="640"/>
        <w:jc w:val="both"/>
        <w:outlineLvl w:val="2"/>
      </w:pPr>
      <w:r>
        <w:rPr>
          <w:rFonts w:ascii="黑体" w:hAnsi="黑体" w:eastAsia="黑体"/>
          <w:sz w:val="32"/>
        </w:rPr>
        <w:t>二、机构设置及人员情况</w:t>
      </w:r>
    </w:p>
    <w:p w14:paraId="3CCAE0EB">
      <w:pPr>
        <w:spacing w:line="580" w:lineRule="exact"/>
        <w:ind w:firstLine="640"/>
        <w:jc w:val="both"/>
      </w:pPr>
      <w:r>
        <w:rPr>
          <w:rFonts w:ascii="仿宋_GB2312" w:hAnsi="仿宋_GB2312" w:eastAsia="仿宋_GB2312"/>
          <w:sz w:val="32"/>
        </w:rPr>
        <w:t>裕民县医疗保障局2024年度，实有人数21人，其中：在职人员18人，减少2人；离休人员0人，增加0人；退休人员3人,增加2人。</w:t>
      </w:r>
    </w:p>
    <w:p w14:paraId="10D1A9B2">
      <w:pPr>
        <w:spacing w:line="580" w:lineRule="exact"/>
        <w:ind w:firstLine="640"/>
        <w:jc w:val="both"/>
      </w:pPr>
      <w:r>
        <w:rPr>
          <w:rFonts w:ascii="仿宋_GB2312" w:hAnsi="仿宋_GB2312" w:eastAsia="仿宋_GB2312"/>
          <w:sz w:val="32"/>
        </w:rPr>
        <w:t>裕民县医疗保障局无下属预算单位，下设6个科室，分别是：办公室、财务室、稽核科、征缴科、待遇科、复核科。</w:t>
      </w:r>
    </w:p>
    <w:p w14:paraId="3D149AF2">
      <w:r>
        <w:br w:type="page"/>
      </w:r>
    </w:p>
    <w:p w14:paraId="1755BBBC">
      <w:pPr>
        <w:spacing w:line="240" w:lineRule="auto"/>
        <w:jc w:val="center"/>
        <w:outlineLvl w:val="1"/>
      </w:pPr>
      <w:r>
        <w:rPr>
          <w:rFonts w:ascii="黑体" w:hAnsi="黑体" w:eastAsia="黑体"/>
          <w:sz w:val="32"/>
        </w:rPr>
        <w:t>第二部分 部门决算情况说明</w:t>
      </w:r>
    </w:p>
    <w:p w14:paraId="4E28E32C">
      <w:pPr>
        <w:spacing w:line="640" w:lineRule="exact"/>
        <w:ind w:firstLine="640"/>
        <w:jc w:val="both"/>
        <w:outlineLvl w:val="2"/>
      </w:pPr>
      <w:r>
        <w:rPr>
          <w:rFonts w:ascii="黑体" w:hAnsi="黑体" w:eastAsia="黑体"/>
          <w:sz w:val="32"/>
        </w:rPr>
        <w:t>一、收入支出决算总体情况说明</w:t>
      </w:r>
    </w:p>
    <w:p w14:paraId="102C42C4">
      <w:pPr>
        <w:spacing w:line="580" w:lineRule="exact"/>
        <w:ind w:firstLine="640"/>
        <w:jc w:val="both"/>
      </w:pPr>
      <w:r>
        <w:rPr>
          <w:rFonts w:ascii="仿宋_GB2312" w:hAnsi="仿宋_GB2312" w:eastAsia="仿宋_GB2312"/>
          <w:b/>
          <w:sz w:val="32"/>
        </w:rPr>
        <w:t>2024年度收入总计337.13万元，</w:t>
      </w:r>
      <w:r>
        <w:rPr>
          <w:rFonts w:ascii="仿宋_GB2312" w:hAnsi="仿宋_GB2312" w:eastAsia="仿宋_GB2312"/>
          <w:b w:val="0"/>
          <w:sz w:val="32"/>
        </w:rPr>
        <w:t>其中：本年收入合计337.13万元，使用非财政拨款结余（含专用结余）0.00万元，年初结转和结余0.00万元。</w:t>
      </w:r>
    </w:p>
    <w:p w14:paraId="136E585E">
      <w:pPr>
        <w:spacing w:line="580" w:lineRule="exact"/>
        <w:ind w:firstLine="640"/>
        <w:jc w:val="both"/>
      </w:pPr>
      <w:r>
        <w:rPr>
          <w:rFonts w:ascii="仿宋_GB2312" w:hAnsi="仿宋_GB2312" w:eastAsia="仿宋_GB2312"/>
          <w:b/>
          <w:sz w:val="32"/>
        </w:rPr>
        <w:t>2024年度支出总计337.13万元，</w:t>
      </w:r>
      <w:r>
        <w:rPr>
          <w:rFonts w:ascii="仿宋_GB2312" w:hAnsi="仿宋_GB2312" w:eastAsia="仿宋_GB2312"/>
          <w:b w:val="0"/>
          <w:sz w:val="32"/>
        </w:rPr>
        <w:t>其中：本年支出合计337.13万元，结余分配0.00万元，年末结转和结余0.00万元。</w:t>
      </w:r>
    </w:p>
    <w:p w14:paraId="7D3248D3">
      <w:pPr>
        <w:spacing w:line="580" w:lineRule="exact"/>
        <w:ind w:firstLine="640"/>
        <w:jc w:val="both"/>
      </w:pPr>
      <w:r>
        <w:rPr>
          <w:rFonts w:ascii="仿宋_GB2312" w:hAnsi="仿宋_GB2312" w:eastAsia="仿宋_GB2312"/>
          <w:b w:val="0"/>
          <w:sz w:val="32"/>
        </w:rPr>
        <w:t>收入支出总体与上年相比，减少13.37万元，下降3.81%，主要原因是：</w:t>
      </w:r>
      <w:r>
        <w:rPr>
          <w:rFonts w:hint="eastAsia" w:ascii="仿宋_GB2312" w:hAnsi="仿宋_GB2312" w:eastAsia="仿宋_GB2312"/>
          <w:b w:val="0"/>
          <w:sz w:val="32"/>
          <w:lang w:val="en-US" w:eastAsia="zh-CN"/>
        </w:rPr>
        <w:t>一是本年在职人员减少，相应人员经费较上年减少；二是</w:t>
      </w:r>
      <w:r>
        <w:rPr>
          <w:rFonts w:ascii="仿宋_GB2312" w:hAnsi="仿宋_GB2312" w:eastAsia="仿宋_GB2312"/>
          <w:b w:val="0"/>
          <w:sz w:val="32"/>
        </w:rPr>
        <w:t>本年减少2023年中央财政医疗服务与保障能力提升补助资金项目。</w:t>
      </w:r>
    </w:p>
    <w:p w14:paraId="5F683CED">
      <w:pPr>
        <w:spacing w:line="640" w:lineRule="exact"/>
        <w:ind w:firstLine="640"/>
        <w:jc w:val="both"/>
        <w:outlineLvl w:val="2"/>
      </w:pPr>
      <w:r>
        <w:rPr>
          <w:rFonts w:ascii="黑体" w:hAnsi="黑体" w:eastAsia="黑体"/>
          <w:sz w:val="32"/>
        </w:rPr>
        <w:t>二、收入决算情况说明</w:t>
      </w:r>
    </w:p>
    <w:p w14:paraId="498E8B3B">
      <w:pPr>
        <w:spacing w:line="580" w:lineRule="exact"/>
        <w:ind w:firstLine="640"/>
        <w:jc w:val="both"/>
      </w:pPr>
      <w:r>
        <w:rPr>
          <w:rFonts w:ascii="仿宋_GB2312" w:hAnsi="仿宋_GB2312" w:eastAsia="仿宋_GB2312"/>
          <w:b/>
          <w:sz w:val="32"/>
        </w:rPr>
        <w:t>本年收入337.13万元，</w:t>
      </w:r>
      <w:r>
        <w:rPr>
          <w:rFonts w:ascii="仿宋_GB2312" w:hAnsi="仿宋_GB2312" w:eastAsia="仿宋_GB2312"/>
          <w:b w:val="0"/>
          <w:sz w:val="32"/>
        </w:rPr>
        <w:t>其中：财政拨款收入337.13万元，占100.00%；上级补助收入0.00万元，占0.00%；事业收入0.00万元，占0.00%；经营收入0.00万元，占0.00%；附属单位上缴收入0.00万元，占0.00%；其他收入0.00万元，占0.00%。</w:t>
      </w:r>
    </w:p>
    <w:p w14:paraId="116E763A">
      <w:pPr>
        <w:spacing w:line="640" w:lineRule="exact"/>
        <w:ind w:firstLine="640"/>
        <w:jc w:val="both"/>
        <w:outlineLvl w:val="2"/>
      </w:pPr>
      <w:r>
        <w:rPr>
          <w:rFonts w:ascii="黑体" w:hAnsi="黑体" w:eastAsia="黑体"/>
          <w:sz w:val="32"/>
        </w:rPr>
        <w:t>三、支出决算情况说明</w:t>
      </w:r>
    </w:p>
    <w:p w14:paraId="59D79BB4">
      <w:pPr>
        <w:spacing w:line="580" w:lineRule="exact"/>
        <w:ind w:firstLine="640"/>
        <w:jc w:val="both"/>
      </w:pPr>
      <w:r>
        <w:rPr>
          <w:rFonts w:ascii="仿宋_GB2312" w:hAnsi="仿宋_GB2312" w:eastAsia="仿宋_GB2312"/>
          <w:b/>
          <w:sz w:val="32"/>
        </w:rPr>
        <w:t>本年支出337.13万元，</w:t>
      </w:r>
      <w:r>
        <w:rPr>
          <w:rFonts w:ascii="仿宋_GB2312" w:hAnsi="仿宋_GB2312" w:eastAsia="仿宋_GB2312"/>
          <w:b w:val="0"/>
          <w:sz w:val="32"/>
        </w:rPr>
        <w:t>其中：基本支出334.13万元，占99.11%；项目支出3.00万元，占0.89%；上缴上级支出0.00万元，占0.00%；经营支出0.00万元，占0.00%；对附属单位补助支出0.00万元，占0.00%。</w:t>
      </w:r>
    </w:p>
    <w:p w14:paraId="50682642">
      <w:pPr>
        <w:spacing w:line="640" w:lineRule="exact"/>
        <w:ind w:firstLine="640"/>
        <w:jc w:val="both"/>
        <w:outlineLvl w:val="2"/>
      </w:pPr>
      <w:r>
        <w:rPr>
          <w:rFonts w:ascii="黑体" w:hAnsi="黑体" w:eastAsia="黑体"/>
          <w:sz w:val="32"/>
        </w:rPr>
        <w:t>四、财政拨款收入支出决算总体情况说明</w:t>
      </w:r>
    </w:p>
    <w:p w14:paraId="3FB6254A">
      <w:pPr>
        <w:spacing w:line="580" w:lineRule="exact"/>
        <w:ind w:firstLine="640"/>
        <w:jc w:val="both"/>
      </w:pPr>
      <w:r>
        <w:rPr>
          <w:rFonts w:ascii="仿宋_GB2312" w:hAnsi="仿宋_GB2312" w:eastAsia="仿宋_GB2312"/>
          <w:b/>
          <w:sz w:val="32"/>
        </w:rPr>
        <w:t>2024年度财政拨款收入总计337.13万元，</w:t>
      </w:r>
      <w:r>
        <w:rPr>
          <w:rFonts w:ascii="仿宋_GB2312" w:hAnsi="仿宋_GB2312" w:eastAsia="仿宋_GB2312"/>
          <w:b w:val="0"/>
          <w:sz w:val="32"/>
        </w:rPr>
        <w:t>其中：年初财政拨款结转和结余0.00万元，本年财政拨款收入337.13万元。</w:t>
      </w:r>
      <w:r>
        <w:rPr>
          <w:rFonts w:ascii="仿宋_GB2312" w:hAnsi="仿宋_GB2312" w:eastAsia="仿宋_GB2312"/>
          <w:b/>
          <w:sz w:val="32"/>
        </w:rPr>
        <w:t>财政拨款支出总计337.13万元，</w:t>
      </w:r>
      <w:r>
        <w:rPr>
          <w:rFonts w:ascii="仿宋_GB2312" w:hAnsi="仿宋_GB2312" w:eastAsia="仿宋_GB2312"/>
          <w:b w:val="0"/>
          <w:sz w:val="32"/>
        </w:rPr>
        <w:t>其中：年末财政拨款结转和结余0.00万元，本年财政拨款支出337.13万元。</w:t>
      </w:r>
    </w:p>
    <w:p w14:paraId="114DE9E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减少13.37万元，下降3.81%，主要原因是：</w:t>
      </w:r>
      <w:r>
        <w:rPr>
          <w:rFonts w:hint="eastAsia" w:ascii="仿宋_GB2312" w:hAnsi="仿宋_GB2312" w:eastAsia="仿宋_GB2312"/>
          <w:b w:val="0"/>
          <w:sz w:val="32"/>
          <w:lang w:val="en-US" w:eastAsia="zh-CN"/>
        </w:rPr>
        <w:t>一是本年在职人员减少，相应人员经费较上年减少；二是</w:t>
      </w:r>
      <w:r>
        <w:rPr>
          <w:rFonts w:ascii="仿宋_GB2312" w:hAnsi="仿宋_GB2312" w:eastAsia="仿宋_GB2312"/>
          <w:b w:val="0"/>
          <w:sz w:val="32"/>
        </w:rPr>
        <w:t>本年减少2023年中央财政医疗服务与保障能力提升补助资金项目。</w:t>
      </w:r>
      <w:r>
        <w:rPr>
          <w:rFonts w:ascii="仿宋_GB2312" w:hAnsi="仿宋_GB2312" w:eastAsia="仿宋_GB2312"/>
          <w:b/>
          <w:sz w:val="32"/>
        </w:rPr>
        <w:t>与年初预算相比，</w:t>
      </w:r>
      <w:r>
        <w:rPr>
          <w:rFonts w:ascii="仿宋_GB2312" w:hAnsi="仿宋_GB2312" w:eastAsia="仿宋_GB2312"/>
          <w:b w:val="0"/>
          <w:sz w:val="32"/>
        </w:rPr>
        <w:t>年初预算数398.19万元，决算数337.13万元，预决算差异率-15.33%，主要原因是：本年在职人员减少2人，年中调减人员经费，导致预决算存在差异。</w:t>
      </w:r>
    </w:p>
    <w:p w14:paraId="7471E3AB">
      <w:pPr>
        <w:spacing w:line="640" w:lineRule="exact"/>
        <w:ind w:firstLine="640"/>
        <w:jc w:val="both"/>
        <w:outlineLvl w:val="2"/>
      </w:pPr>
      <w:r>
        <w:rPr>
          <w:rFonts w:ascii="黑体" w:hAnsi="黑体" w:eastAsia="黑体"/>
          <w:sz w:val="32"/>
        </w:rPr>
        <w:t>五、一般公共预算财政拨款支出决算情况说明</w:t>
      </w:r>
    </w:p>
    <w:p w14:paraId="067C10B4">
      <w:pPr>
        <w:spacing w:line="640" w:lineRule="exact"/>
        <w:ind w:firstLine="640"/>
        <w:jc w:val="both"/>
        <w:outlineLvl w:val="3"/>
      </w:pPr>
      <w:r>
        <w:rPr>
          <w:rFonts w:ascii="楷体_GB2312" w:hAnsi="楷体_GB2312" w:eastAsia="楷体_GB2312"/>
          <w:b/>
          <w:sz w:val="32"/>
        </w:rPr>
        <w:t>（一）一般公共预算财政拨款支出决算总体情况</w:t>
      </w:r>
    </w:p>
    <w:p w14:paraId="7E04EC6B">
      <w:pPr>
        <w:spacing w:line="580" w:lineRule="exact"/>
        <w:ind w:firstLine="640"/>
        <w:jc w:val="both"/>
      </w:pPr>
      <w:r>
        <w:rPr>
          <w:rFonts w:ascii="仿宋_GB2312" w:hAnsi="仿宋_GB2312" w:eastAsia="仿宋_GB2312"/>
          <w:b/>
          <w:sz w:val="32"/>
        </w:rPr>
        <w:t>2024年度一般公共预算财政拨款支出337.13万元，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减少13.37万元，下降3.81%，主要原因是：</w:t>
      </w:r>
      <w:r>
        <w:rPr>
          <w:rFonts w:hint="eastAsia" w:ascii="仿宋_GB2312" w:hAnsi="仿宋_GB2312" w:eastAsia="仿宋_GB2312"/>
          <w:b w:val="0"/>
          <w:sz w:val="32"/>
          <w:lang w:val="en-US" w:eastAsia="zh-CN"/>
        </w:rPr>
        <w:t>一是本年在职人员减少，相应人员经费较上年减少；二是</w:t>
      </w:r>
      <w:r>
        <w:rPr>
          <w:rFonts w:ascii="仿宋_GB2312" w:hAnsi="仿宋_GB2312" w:eastAsia="仿宋_GB2312"/>
          <w:b w:val="0"/>
          <w:sz w:val="32"/>
        </w:rPr>
        <w:t>本年减少2023年中央财政医疗服务与保障能力提升补助资金项目。</w:t>
      </w:r>
      <w:r>
        <w:rPr>
          <w:rFonts w:ascii="仿宋_GB2312" w:hAnsi="仿宋_GB2312" w:eastAsia="仿宋_GB2312"/>
          <w:b/>
          <w:sz w:val="32"/>
        </w:rPr>
        <w:t>与年初预算相比,</w:t>
      </w:r>
      <w:r>
        <w:rPr>
          <w:rFonts w:ascii="仿宋_GB2312" w:hAnsi="仿宋_GB2312" w:eastAsia="仿宋_GB2312"/>
          <w:b w:val="0"/>
          <w:sz w:val="32"/>
        </w:rPr>
        <w:t>年初预算数398.19万元，决算数337.13万元，预决算差异率-15.33%，主要原因是：本年在职人员减少2人，年中调减人员经费，导致预决算存在差异。</w:t>
      </w:r>
    </w:p>
    <w:p w14:paraId="6FE15003">
      <w:pPr>
        <w:spacing w:line="640" w:lineRule="exact"/>
        <w:ind w:firstLine="640"/>
        <w:jc w:val="both"/>
        <w:outlineLvl w:val="3"/>
      </w:pPr>
      <w:r>
        <w:rPr>
          <w:rFonts w:ascii="楷体_GB2312" w:hAnsi="楷体_GB2312" w:eastAsia="楷体_GB2312"/>
          <w:b/>
          <w:sz w:val="32"/>
        </w:rPr>
        <w:t>（二）一般公共预算财政拨款支出决算结构情况</w:t>
      </w:r>
    </w:p>
    <w:p w14:paraId="0EC0CAFD">
      <w:pPr>
        <w:spacing w:line="580" w:lineRule="exact"/>
        <w:ind w:firstLine="640"/>
        <w:jc w:val="both"/>
      </w:pPr>
      <w:r>
        <w:rPr>
          <w:rFonts w:ascii="仿宋_GB2312" w:hAnsi="仿宋_GB2312" w:eastAsia="仿宋_GB2312"/>
          <w:b w:val="0"/>
          <w:sz w:val="32"/>
        </w:rPr>
        <w:t>1.社会保障和就业支出(类)49.15万元,占14.58%。</w:t>
      </w:r>
    </w:p>
    <w:p w14:paraId="5417EF25">
      <w:pPr>
        <w:spacing w:line="580" w:lineRule="exact"/>
        <w:ind w:firstLine="640"/>
        <w:jc w:val="both"/>
      </w:pPr>
      <w:r>
        <w:rPr>
          <w:rFonts w:ascii="仿宋_GB2312" w:hAnsi="仿宋_GB2312" w:eastAsia="仿宋_GB2312"/>
          <w:b w:val="0"/>
          <w:sz w:val="32"/>
        </w:rPr>
        <w:t>2.卫生健康支出(类)263.41万元,占78.13%。</w:t>
      </w:r>
    </w:p>
    <w:p w14:paraId="1D6737B9">
      <w:pPr>
        <w:spacing w:line="580" w:lineRule="exact"/>
        <w:ind w:firstLine="640"/>
        <w:jc w:val="both"/>
      </w:pPr>
      <w:r>
        <w:rPr>
          <w:rFonts w:ascii="仿宋_GB2312" w:hAnsi="仿宋_GB2312" w:eastAsia="仿宋_GB2312"/>
          <w:b w:val="0"/>
          <w:sz w:val="32"/>
        </w:rPr>
        <w:t>3.住房保障支出(类)24.56万元,占7.29%。</w:t>
      </w:r>
    </w:p>
    <w:p w14:paraId="6801ED5C">
      <w:pPr>
        <w:spacing w:line="640" w:lineRule="exact"/>
        <w:ind w:firstLine="640"/>
        <w:jc w:val="both"/>
        <w:outlineLvl w:val="3"/>
      </w:pPr>
      <w:r>
        <w:rPr>
          <w:rFonts w:ascii="楷体_GB2312" w:hAnsi="楷体_GB2312" w:eastAsia="楷体_GB2312"/>
          <w:b/>
          <w:sz w:val="32"/>
        </w:rPr>
        <w:t>（三）一般公共预算财政拨款支出决算具体情况</w:t>
      </w:r>
    </w:p>
    <w:p w14:paraId="48BFD78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1.社会保障和就业支出(类)行政事业单位养老支出(款)行政单位离退休(项):支出决算数为1.37万元，比上年决算增加0.78万元，增长132.20%,主要原因是：本年退休人员增加，退休费支出增加</w:t>
      </w:r>
      <w:bookmarkStart w:id="0" w:name="_GoBack"/>
      <w:bookmarkEnd w:id="0"/>
      <w:r>
        <w:rPr>
          <w:rFonts w:ascii="仿宋_GB2312" w:hAnsi="仿宋_GB2312" w:eastAsia="仿宋_GB2312"/>
          <w:b w:val="0"/>
          <w:sz w:val="32"/>
        </w:rPr>
        <w:t>。</w:t>
      </w:r>
    </w:p>
    <w:p w14:paraId="7248044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29.75万元，比上年决算增加2.24万元，增长8.14%,主要原因是：本年在职人员工资基数调增，养老缴费基数上涨，相应支出增加。</w:t>
      </w:r>
    </w:p>
    <w:p w14:paraId="6ED1446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3.社会保障和就业支出(类)行政事业单位养老支出(款)机关事业单位职业年金缴费支出(项):支出决算数为18.03万元，比上年决算增加18.03万元，增长100.00%,主要原因是：本年新增退休人员，职业年金缴费支出增加。</w:t>
      </w:r>
    </w:p>
    <w:p w14:paraId="75BF812E">
      <w:pPr>
        <w:spacing w:line="580" w:lineRule="exact"/>
        <w:ind w:firstLine="640"/>
        <w:jc w:val="both"/>
      </w:pPr>
      <w:r>
        <w:rPr>
          <w:rFonts w:ascii="仿宋_GB2312" w:hAnsi="仿宋_GB2312" w:eastAsia="仿宋_GB2312"/>
          <w:b w:val="0"/>
          <w:sz w:val="32"/>
        </w:rPr>
        <w:t>4.卫生健康支出(类)行政事业单位医疗(款)行政单位医疗(项):支出决算数为21.11万元，比上年决算增加3.95万元，增长23.02%,主要原因是：本年在职人员工资基数调增，医疗缴费基数上涨，相应支出增加。</w:t>
      </w:r>
    </w:p>
    <w:p w14:paraId="336F7E98">
      <w:pPr>
        <w:spacing w:line="580" w:lineRule="exact"/>
        <w:ind w:firstLine="640"/>
        <w:jc w:val="both"/>
      </w:pPr>
      <w:r>
        <w:rPr>
          <w:rFonts w:ascii="仿宋_GB2312" w:hAnsi="仿宋_GB2312" w:eastAsia="仿宋_GB2312"/>
          <w:b w:val="0"/>
          <w:sz w:val="32"/>
        </w:rPr>
        <w:t>5.卫生健康支出(类)行政事业单位医疗(款)公务员医疗补助(项):支出决算数为2.32万元，比上年决算增加0.08万元，增长3.57%,主要原因是：本年在职人员工资基数调增，医疗缴费基数上涨，相应支出增加。</w:t>
      </w:r>
    </w:p>
    <w:p w14:paraId="71AE6F13">
      <w:pPr>
        <w:spacing w:line="580" w:lineRule="exact"/>
        <w:ind w:firstLine="640"/>
        <w:jc w:val="both"/>
      </w:pPr>
      <w:r>
        <w:rPr>
          <w:rFonts w:ascii="仿宋_GB2312" w:hAnsi="仿宋_GB2312" w:eastAsia="仿宋_GB2312"/>
          <w:b w:val="0"/>
          <w:sz w:val="32"/>
        </w:rPr>
        <w:t>6.卫生健康支出(类)优抚对象医疗(款)其他优抚对象医疗支出(项):支出决算数为4.87万元，比上年决算减少24.06万元，下降83.17%,主要原因是：本年伤残军人医疗费支出减少。</w:t>
      </w:r>
    </w:p>
    <w:p w14:paraId="65ECBE76">
      <w:pPr>
        <w:spacing w:line="580" w:lineRule="exact"/>
        <w:ind w:firstLine="640"/>
        <w:jc w:val="both"/>
      </w:pPr>
      <w:r>
        <w:rPr>
          <w:rFonts w:ascii="仿宋_GB2312" w:hAnsi="仿宋_GB2312" w:eastAsia="仿宋_GB2312"/>
          <w:b w:val="0"/>
          <w:sz w:val="32"/>
        </w:rPr>
        <w:t>7.卫生健康支出(类)医疗保障管理事务(款)行政运行(项):支出决算数为232.12万元，比上年决算减少4.91万元，下降2.07%,主要原因是：</w:t>
      </w:r>
      <w:r>
        <w:rPr>
          <w:rFonts w:hint="eastAsia" w:ascii="仿宋_GB2312" w:hAnsi="仿宋_GB2312" w:eastAsia="仿宋_GB2312"/>
          <w:b w:val="0"/>
          <w:sz w:val="32"/>
        </w:rPr>
        <w:t>本年在职人员减少，相应人员经费较上年减少</w:t>
      </w:r>
      <w:r>
        <w:rPr>
          <w:rFonts w:ascii="仿宋_GB2312" w:hAnsi="仿宋_GB2312" w:eastAsia="仿宋_GB2312"/>
          <w:b w:val="0"/>
          <w:sz w:val="32"/>
        </w:rPr>
        <w:t>。</w:t>
      </w:r>
    </w:p>
    <w:p w14:paraId="4EC59837">
      <w:pPr>
        <w:spacing w:line="580" w:lineRule="exact"/>
        <w:ind w:firstLine="640"/>
        <w:jc w:val="both"/>
      </w:pPr>
      <w:r>
        <w:rPr>
          <w:rFonts w:ascii="仿宋_GB2312" w:hAnsi="仿宋_GB2312" w:eastAsia="仿宋_GB2312"/>
          <w:b w:val="0"/>
          <w:sz w:val="32"/>
        </w:rPr>
        <w:t>8.卫生健康支出(类)医疗保障管理事务(款)医疗保障政策管理(项):支出决算数为0.00万元，比上年决算减少10.00万元，下降100.00%,主要原因是：本年减少2023年中央财政医疗服务与保障能力提升补助资金项目。</w:t>
      </w:r>
    </w:p>
    <w:p w14:paraId="2374B389">
      <w:pPr>
        <w:spacing w:line="580" w:lineRule="exact"/>
        <w:ind w:firstLine="640"/>
        <w:jc w:val="both"/>
      </w:pPr>
      <w:r>
        <w:rPr>
          <w:rFonts w:ascii="仿宋_GB2312" w:hAnsi="仿宋_GB2312" w:eastAsia="仿宋_GB2312"/>
          <w:b w:val="0"/>
          <w:sz w:val="32"/>
        </w:rPr>
        <w:t>9.卫生健康支出(类)医疗保障管理事务(款)医疗保障经办事务(项):支出决算数为3.00万元，比上年决算增加1.00万元，增长50.00%,主要原因是：2024年自治区财政全民参保及医疗服务经费项目比上年增加。</w:t>
      </w:r>
    </w:p>
    <w:p w14:paraId="429B6EEC">
      <w:pPr>
        <w:spacing w:line="580" w:lineRule="exact"/>
        <w:ind w:firstLine="640"/>
        <w:jc w:val="both"/>
      </w:pPr>
      <w:r>
        <w:rPr>
          <w:rFonts w:ascii="仿宋_GB2312" w:hAnsi="仿宋_GB2312" w:eastAsia="仿宋_GB2312"/>
          <w:b w:val="0"/>
          <w:sz w:val="32"/>
        </w:rPr>
        <w:t>10.住房保障支出(类)住房改革支出(款)住房公积金(项):支出决算数为24.56万元，比上年决算减少0.48万元，下降1.92%,主要原因是：本年在职人员减少，住房公积金支出减少。</w:t>
      </w:r>
    </w:p>
    <w:p w14:paraId="6B841EF7">
      <w:pPr>
        <w:spacing w:line="640" w:lineRule="exact"/>
        <w:ind w:firstLine="640"/>
        <w:jc w:val="both"/>
        <w:outlineLvl w:val="2"/>
      </w:pPr>
      <w:r>
        <w:rPr>
          <w:rFonts w:ascii="黑体" w:hAnsi="黑体" w:eastAsia="黑体"/>
          <w:sz w:val="32"/>
        </w:rPr>
        <w:t>六、一般公共预算财政拨款基本支出决算情况说明</w:t>
      </w:r>
    </w:p>
    <w:p w14:paraId="67245376">
      <w:pPr>
        <w:spacing w:line="580" w:lineRule="exact"/>
        <w:ind w:firstLine="640"/>
        <w:jc w:val="both"/>
      </w:pPr>
      <w:r>
        <w:rPr>
          <w:rFonts w:ascii="仿宋_GB2312" w:hAnsi="仿宋_GB2312" w:eastAsia="仿宋_GB2312"/>
          <w:b w:val="0"/>
          <w:sz w:val="32"/>
        </w:rPr>
        <w:t>2024年度一般公共预算财政拨款基本支出334.13万元，其中：</w:t>
      </w:r>
      <w:r>
        <w:rPr>
          <w:rFonts w:ascii="仿宋_GB2312" w:hAnsi="仿宋_GB2312" w:eastAsia="仿宋_GB2312"/>
          <w:b/>
          <w:sz w:val="32"/>
        </w:rPr>
        <w:t>人员经费312.57万元，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包括：基本工资、津贴补贴、奖金、绩效工资、机关事业单位基本养老保险缴费、职业年金缴费、职工基本医疗保险缴费、公务员医疗补助缴费、其他社会保障缴费、住房公积金、退休费、医疗费补助、奖励金。</w:t>
      </w:r>
    </w:p>
    <w:p w14:paraId="0A7E1D68">
      <w:pPr>
        <w:spacing w:line="580" w:lineRule="exact"/>
        <w:ind w:firstLine="640"/>
        <w:jc w:val="both"/>
      </w:pPr>
      <w:r>
        <w:rPr>
          <w:rFonts w:ascii="仿宋_GB2312" w:hAnsi="仿宋_GB2312" w:eastAsia="仿宋_GB2312"/>
          <w:b/>
          <w:sz w:val="32"/>
        </w:rPr>
        <w:t>公用经费21.56万元，</w:t>
      </w:r>
      <w:r>
        <w:rPr>
          <w:rFonts w:ascii="仿宋_GB2312" w:hAnsi="仿宋_GB2312" w:eastAsia="仿宋_GB2312"/>
          <w:b w:val="0"/>
          <w:sz w:val="32"/>
        </w:rPr>
        <w:t>包括：办公费、水费、电费、邮电费、取暖费、差旅费、维修（护）费、工会经费、公务用车运行维护费。</w:t>
      </w:r>
    </w:p>
    <w:p w14:paraId="6341EFAC">
      <w:pPr>
        <w:spacing w:line="640" w:lineRule="exact"/>
        <w:ind w:firstLine="640"/>
        <w:jc w:val="both"/>
        <w:outlineLvl w:val="2"/>
      </w:pPr>
      <w:r>
        <w:rPr>
          <w:rFonts w:ascii="黑体" w:hAnsi="黑体" w:eastAsia="黑体"/>
          <w:sz w:val="32"/>
        </w:rPr>
        <w:t>七、政府性基金预算财政拨款收入支出决算情况说明</w:t>
      </w:r>
    </w:p>
    <w:p w14:paraId="7B3A696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367F94">
      <w:pPr>
        <w:spacing w:line="640" w:lineRule="exact"/>
        <w:ind w:firstLine="640"/>
        <w:jc w:val="both"/>
        <w:outlineLvl w:val="2"/>
      </w:pPr>
      <w:r>
        <w:rPr>
          <w:rFonts w:ascii="黑体" w:hAnsi="黑体" w:eastAsia="黑体"/>
          <w:sz w:val="32"/>
        </w:rPr>
        <w:t>八、国有资本经营预算财政拨款收入支出决算情况说明</w:t>
      </w:r>
    </w:p>
    <w:p w14:paraId="02B442A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E210FD">
      <w:pPr>
        <w:spacing w:line="640" w:lineRule="exact"/>
        <w:ind w:firstLine="640"/>
        <w:jc w:val="both"/>
        <w:outlineLvl w:val="2"/>
      </w:pPr>
      <w:r>
        <w:rPr>
          <w:rFonts w:ascii="黑体" w:hAnsi="黑体" w:eastAsia="黑体"/>
          <w:sz w:val="32"/>
        </w:rPr>
        <w:t>九、财政拨款“三公”经费支出决算情况说明</w:t>
      </w:r>
    </w:p>
    <w:p w14:paraId="60D69DA2">
      <w:pPr>
        <w:spacing w:line="580" w:lineRule="exact"/>
        <w:ind w:firstLine="640"/>
        <w:jc w:val="both"/>
      </w:pPr>
      <w:r>
        <w:rPr>
          <w:rFonts w:ascii="仿宋_GB2312" w:hAnsi="仿宋_GB2312" w:eastAsia="仿宋_GB2312"/>
          <w:b/>
          <w:sz w:val="32"/>
        </w:rPr>
        <w:t>2024年度财政拨款“三公”经费支出0.66万元，</w:t>
      </w:r>
      <w:r>
        <w:rPr>
          <w:rFonts w:ascii="仿宋_GB2312" w:hAnsi="仿宋_GB2312" w:eastAsia="仿宋_GB2312"/>
          <w:b w:val="0"/>
          <w:sz w:val="32"/>
        </w:rPr>
        <w:t>比上年增加0.37万元，增长127.59%，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0.66万元，占100.00%，比上年增加0.37万元，增长127.59%，主要原因是：本单位公务用车日渐老化，维修维护成本增加，导致公务用车运行维护费较上年增加。公务接待费支出0.00万元，占0.00%，比上年增加0.00万元，增长0.00%，主要原因是：2023年与2024年均未安排公务接待费支出。</w:t>
      </w:r>
    </w:p>
    <w:p w14:paraId="425C2052">
      <w:pPr>
        <w:spacing w:line="580" w:lineRule="exact"/>
        <w:ind w:firstLine="640"/>
        <w:jc w:val="both"/>
      </w:pPr>
      <w:r>
        <w:rPr>
          <w:rFonts w:ascii="仿宋_GB2312" w:hAnsi="仿宋_GB2312" w:eastAsia="仿宋_GB2312"/>
          <w:b/>
          <w:sz w:val="32"/>
        </w:rPr>
        <w:t>具体情况如下：</w:t>
      </w:r>
    </w:p>
    <w:p w14:paraId="62768F0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38FA1B">
      <w:pPr>
        <w:spacing w:line="580" w:lineRule="exact"/>
        <w:ind w:firstLine="640"/>
        <w:jc w:val="both"/>
      </w:pPr>
      <w:r>
        <w:rPr>
          <w:rFonts w:ascii="仿宋_GB2312" w:hAnsi="仿宋_GB2312" w:eastAsia="仿宋_GB2312"/>
          <w:b w:val="0"/>
          <w:sz w:val="32"/>
        </w:rPr>
        <w:t>公务用车购置及运行维护费0.66万元，其中：公务用车购置费0.00万元，公务用车运行维护费0.66万元。公务用车运行维护费开支内容包括车辆维修费、保险费、加油费。公务用车购置数0辆，公务用车保有量1辆。国有资产占用情况中固定资产车辆1辆，与公务用车保有量差异原因是：本单位固定资产车辆与公务用车保有量一致无差异。</w:t>
      </w:r>
    </w:p>
    <w:p w14:paraId="6F62C9C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416747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0.66万元，预决算差异率-67.00%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0.66万元，预决算差异率-67.00%，主要原因是：严格落实中央八项规定精神，厉行节约，减少经费支出。公务接待费全年预算数0.00万元，决算数0.00万元，预决算差异率0.00%，主要原因是：本单位无公务接待费。</w:t>
      </w:r>
    </w:p>
    <w:p w14:paraId="3C518E6F">
      <w:pPr>
        <w:spacing w:line="640" w:lineRule="exact"/>
        <w:ind w:firstLine="640"/>
        <w:jc w:val="both"/>
        <w:outlineLvl w:val="2"/>
      </w:pPr>
      <w:r>
        <w:rPr>
          <w:rFonts w:ascii="黑体" w:hAnsi="黑体" w:eastAsia="黑体"/>
          <w:sz w:val="32"/>
        </w:rPr>
        <w:t>十、其他重要事项的情况说明</w:t>
      </w:r>
    </w:p>
    <w:p w14:paraId="177A81FF">
      <w:pPr>
        <w:spacing w:line="640" w:lineRule="exact"/>
        <w:ind w:firstLine="640"/>
        <w:jc w:val="both"/>
        <w:outlineLvl w:val="3"/>
      </w:pPr>
      <w:r>
        <w:rPr>
          <w:rFonts w:ascii="楷体_GB2312" w:hAnsi="楷体_GB2312" w:eastAsia="楷体_GB2312"/>
          <w:b/>
          <w:sz w:val="32"/>
        </w:rPr>
        <w:t>（一）机关运行经费及公用经费支出情况</w:t>
      </w:r>
    </w:p>
    <w:p w14:paraId="2D1850D0">
      <w:pPr>
        <w:spacing w:line="580" w:lineRule="exact"/>
        <w:ind w:firstLine="640"/>
        <w:jc w:val="both"/>
      </w:pPr>
      <w:r>
        <w:rPr>
          <w:rFonts w:ascii="仿宋_GB2312" w:hAnsi="仿宋_GB2312" w:eastAsia="仿宋_GB2312"/>
          <w:b w:val="0"/>
          <w:sz w:val="32"/>
        </w:rPr>
        <w:t>2024年度裕民县医疗保障局（行政单位和参照公务员法管理事业单位）机关运行经费支出21.56万元，比上年增加6.48万元，增长42.97%，主要原因是：本年度</w:t>
      </w:r>
      <w:r>
        <w:rPr>
          <w:rFonts w:hint="eastAsia" w:ascii="仿宋_GB2312" w:hAnsi="仿宋_GB2312" w:eastAsia="仿宋_GB2312"/>
          <w:b w:val="0"/>
          <w:sz w:val="32"/>
          <w:lang w:val="en-US" w:eastAsia="zh-CN"/>
        </w:rPr>
        <w:t>业务量增加，</w:t>
      </w:r>
      <w:r>
        <w:rPr>
          <w:rFonts w:ascii="仿宋_GB2312" w:hAnsi="仿宋_GB2312" w:eastAsia="仿宋_GB2312"/>
          <w:b w:val="0"/>
          <w:sz w:val="32"/>
        </w:rPr>
        <w:t>增加办公费支出。</w:t>
      </w:r>
    </w:p>
    <w:p w14:paraId="18A65053">
      <w:pPr>
        <w:spacing w:line="640" w:lineRule="exact"/>
        <w:ind w:firstLine="640"/>
        <w:jc w:val="both"/>
        <w:outlineLvl w:val="3"/>
      </w:pPr>
      <w:r>
        <w:rPr>
          <w:rFonts w:ascii="楷体_GB2312" w:hAnsi="楷体_GB2312" w:eastAsia="楷体_GB2312"/>
          <w:b/>
          <w:sz w:val="32"/>
        </w:rPr>
        <w:t>（二）政府采购情况</w:t>
      </w:r>
    </w:p>
    <w:p w14:paraId="2E8B60FA">
      <w:pPr>
        <w:spacing w:line="580" w:lineRule="exact"/>
        <w:ind w:firstLine="640"/>
        <w:jc w:val="both"/>
      </w:pPr>
      <w:r>
        <w:rPr>
          <w:rFonts w:ascii="仿宋_GB2312" w:hAnsi="仿宋_GB2312" w:eastAsia="仿宋_GB2312"/>
          <w:b w:val="0"/>
          <w:sz w:val="32"/>
        </w:rPr>
        <w:t>2024年度政府采购支出总额0.70万元，其中：政府采购货物支出0.43万元、政府采购工程支出0.00万元、政府采购服务支出0.28万元。</w:t>
      </w:r>
    </w:p>
    <w:p w14:paraId="48635115">
      <w:pPr>
        <w:spacing w:line="580" w:lineRule="exact"/>
        <w:ind w:firstLine="640"/>
        <w:jc w:val="both"/>
      </w:pPr>
      <w:r>
        <w:rPr>
          <w:rFonts w:ascii="仿宋_GB2312" w:hAnsi="仿宋_GB2312" w:eastAsia="仿宋_GB2312"/>
          <w:b w:val="0"/>
          <w:sz w:val="32"/>
        </w:rPr>
        <w:t>授予中小企业合同金额0.70万元，占政府采购支出总额的100.00%，其中：授予小微企业合同金额0.70万元，占政府采购支出总额的100.00%。</w:t>
      </w:r>
    </w:p>
    <w:p w14:paraId="2FF455F5">
      <w:pPr>
        <w:spacing w:line="640" w:lineRule="exact"/>
        <w:ind w:firstLine="640"/>
        <w:jc w:val="both"/>
        <w:outlineLvl w:val="3"/>
      </w:pPr>
      <w:r>
        <w:rPr>
          <w:rFonts w:ascii="楷体_GB2312" w:hAnsi="楷体_GB2312" w:eastAsia="楷体_GB2312"/>
          <w:b/>
          <w:sz w:val="32"/>
        </w:rPr>
        <w:t>（三）国有资产占用情况说明</w:t>
      </w:r>
    </w:p>
    <w:p w14:paraId="31D61F18">
      <w:pPr>
        <w:spacing w:line="580" w:lineRule="exact"/>
        <w:ind w:firstLine="640"/>
        <w:jc w:val="both"/>
      </w:pPr>
      <w:r>
        <w:rPr>
          <w:rFonts w:ascii="仿宋_GB2312" w:hAnsi="仿宋_GB2312" w:eastAsia="仿宋_GB2312"/>
          <w:b w:val="0"/>
          <w:sz w:val="32"/>
        </w:rPr>
        <w:t>截至2024年12月31日，房屋0.00平方米，价值0.00万元。车辆1辆，价值15.98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6D36E15">
      <w:pPr>
        <w:spacing w:line="640" w:lineRule="exact"/>
        <w:ind w:firstLine="640"/>
        <w:jc w:val="both"/>
        <w:outlineLvl w:val="2"/>
      </w:pPr>
      <w:r>
        <w:rPr>
          <w:rFonts w:ascii="黑体" w:hAnsi="黑体" w:eastAsia="黑体"/>
          <w:sz w:val="32"/>
        </w:rPr>
        <w:t>十一、预算绩效的情况说明</w:t>
      </w:r>
    </w:p>
    <w:p w14:paraId="23CE893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352.17万元，实际执行总额337.13万元；预算绩效评价项目1个，全年预算数3.00万元，全年执行数3.00万元。预算绩效管理取得的成效：一是资金使用效率大幅提升。二是公共服务质量显著优化。发现的问题及原因：一是相关绩效管理方面专业知识的系统性学习有待加强。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绩效工作人员流动频繁，造成工作衔接不到位的情况。下一步改进措施：一是加强效管理工作方面的培训，提高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23578F5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399"/>
        <w:gridCol w:w="811"/>
        <w:gridCol w:w="1389"/>
        <w:gridCol w:w="821"/>
        <w:gridCol w:w="1105"/>
        <w:gridCol w:w="1105"/>
      </w:tblGrid>
      <w:tr w14:paraId="089254C4">
        <w:tblPrEx>
          <w:tblCellMar>
            <w:top w:w="0" w:type="dxa"/>
            <w:left w:w="108" w:type="dxa"/>
            <w:bottom w:w="0" w:type="dxa"/>
            <w:right w:w="108" w:type="dxa"/>
          </w:tblCellMar>
        </w:tblPrEx>
        <w:tc>
          <w:tcPr>
            <w:tcW w:w="8840" w:type="dxa"/>
            <w:gridSpan w:val="8"/>
            <w:vAlign w:val="center"/>
          </w:tcPr>
          <w:p w14:paraId="239CAAA6">
            <w:pPr>
              <w:jc w:val="center"/>
            </w:pPr>
            <w:r>
              <w:rPr>
                <w:rFonts w:ascii="宋体" w:hAnsi="宋体" w:eastAsia="宋体"/>
                <w:sz w:val="24"/>
              </w:rPr>
              <w:t>单位整体支出绩效自评表</w:t>
            </w:r>
          </w:p>
        </w:tc>
      </w:tr>
      <w:tr w14:paraId="780F873A">
        <w:tblPrEx>
          <w:tblCellMar>
            <w:top w:w="0" w:type="dxa"/>
            <w:left w:w="108" w:type="dxa"/>
            <w:bottom w:w="0" w:type="dxa"/>
            <w:right w:w="108" w:type="dxa"/>
          </w:tblCellMar>
        </w:tblPrEx>
        <w:tc>
          <w:tcPr>
            <w:tcW w:w="8840" w:type="dxa"/>
            <w:gridSpan w:val="8"/>
            <w:vAlign w:val="center"/>
          </w:tcPr>
          <w:p w14:paraId="39303805">
            <w:pPr>
              <w:jc w:val="center"/>
            </w:pPr>
            <w:r>
              <w:rPr>
                <w:rFonts w:ascii="宋体" w:hAnsi="宋体" w:eastAsia="宋体"/>
                <w:sz w:val="24"/>
              </w:rPr>
              <w:t>（2024年度）</w:t>
            </w:r>
          </w:p>
        </w:tc>
      </w:tr>
      <w:tr w14:paraId="5D8F249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6C78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6DD18">
            <w:pPr>
              <w:jc w:val="center"/>
            </w:pPr>
            <w:r>
              <w:rPr>
                <w:rFonts w:ascii="宋体" w:hAnsi="宋体" w:eastAsia="宋体"/>
                <w:sz w:val="16"/>
              </w:rPr>
              <w:t>裕民县医疗保障局</w:t>
            </w:r>
          </w:p>
        </w:tc>
      </w:tr>
      <w:tr w14:paraId="16F9517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43AE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D964F">
            <w:pPr>
              <w:jc w:val="center"/>
            </w:pPr>
            <w:r>
              <w:rPr>
                <w:rFonts w:ascii="宋体" w:hAnsi="宋体" w:eastAsia="宋体"/>
                <w:sz w:val="16"/>
              </w:rPr>
              <w:t>资金来源</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1DBC7490">
            <w:pPr>
              <w:jc w:val="center"/>
            </w:pPr>
            <w:r>
              <w:rPr>
                <w:rFonts w:ascii="宋体" w:hAnsi="宋体" w:eastAsia="宋体"/>
                <w:sz w:val="16"/>
              </w:rPr>
              <w:t>年初预算数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E57023D">
            <w:pPr>
              <w:jc w:val="center"/>
            </w:pPr>
            <w:r>
              <w:rPr>
                <w:rFonts w:ascii="宋体" w:hAnsi="宋体" w:eastAsia="宋体"/>
                <w:sz w:val="16"/>
              </w:rPr>
              <w:t>全年预算数</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45FCD07D">
            <w:pPr>
              <w:jc w:val="center"/>
            </w:pPr>
            <w:r>
              <w:rPr>
                <w:rFonts w:ascii="宋体" w:hAnsi="宋体" w:eastAsia="宋体"/>
                <w:sz w:val="16"/>
              </w:rPr>
              <w:t>全年执行数</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65B0170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BF36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F398A">
            <w:pPr>
              <w:jc w:val="center"/>
            </w:pPr>
            <w:r>
              <w:rPr>
                <w:rFonts w:ascii="宋体" w:hAnsi="宋体" w:eastAsia="宋体"/>
                <w:sz w:val="16"/>
              </w:rPr>
              <w:t>得分</w:t>
            </w:r>
          </w:p>
        </w:tc>
      </w:tr>
      <w:tr w14:paraId="3E4E5F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CEDB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E4923">
            <w:pPr>
              <w:jc w:val="center"/>
            </w:pPr>
            <w:r>
              <w:rPr>
                <w:rFonts w:ascii="宋体" w:hAnsi="宋体" w:eastAsia="宋体"/>
                <w:sz w:val="16"/>
              </w:rPr>
              <w:t>年度总资金</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079EE571">
            <w:pPr>
              <w:jc w:val="center"/>
            </w:pPr>
            <w:r>
              <w:rPr>
                <w:rFonts w:ascii="宋体" w:hAnsi="宋体" w:eastAsia="宋体"/>
                <w:sz w:val="16"/>
              </w:rPr>
              <w:t>398.19</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2B50D8F4">
            <w:pPr>
              <w:jc w:val="center"/>
            </w:pPr>
            <w:r>
              <w:rPr>
                <w:rFonts w:ascii="宋体" w:hAnsi="宋体" w:eastAsia="宋体"/>
                <w:sz w:val="16"/>
              </w:rPr>
              <w:t>352.17</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117A2112">
            <w:pPr>
              <w:jc w:val="center"/>
            </w:pPr>
            <w:r>
              <w:rPr>
                <w:rFonts w:ascii="宋体" w:hAnsi="宋体" w:eastAsia="宋体"/>
                <w:sz w:val="16"/>
              </w:rPr>
              <w:t>337.13</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249CDEA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0FE31">
            <w:pPr>
              <w:jc w:val="center"/>
            </w:pPr>
            <w:r>
              <w:rPr>
                <w:rFonts w:ascii="宋体" w:hAnsi="宋体" w:eastAsia="宋体"/>
                <w:sz w:val="16"/>
              </w:rPr>
              <w:t>95.73%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6C045">
            <w:pPr>
              <w:jc w:val="center"/>
            </w:pPr>
            <w:r>
              <w:rPr>
                <w:rFonts w:ascii="宋体" w:hAnsi="宋体" w:eastAsia="宋体"/>
                <w:sz w:val="16"/>
              </w:rPr>
              <w:t>10</w:t>
            </w:r>
          </w:p>
        </w:tc>
      </w:tr>
      <w:tr w14:paraId="32399E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0A54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7A1F4">
            <w:pPr>
              <w:jc w:val="center"/>
            </w:pPr>
            <w:r>
              <w:rPr>
                <w:rFonts w:ascii="宋体" w:hAnsi="宋体" w:eastAsia="宋体"/>
                <w:sz w:val="16"/>
              </w:rPr>
              <w:t>其中:上级安排资金：（万元）</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41207FC4">
            <w:pPr>
              <w:jc w:val="center"/>
            </w:pPr>
            <w:r>
              <w:rPr>
                <w:rFonts w:ascii="宋体" w:hAnsi="宋体" w:eastAsia="宋体"/>
                <w:sz w:val="16"/>
              </w:rPr>
              <w:t>3.00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2DAF447">
            <w:pPr>
              <w:jc w:val="center"/>
            </w:pPr>
            <w:r>
              <w:rPr>
                <w:rFonts w:ascii="宋体" w:hAnsi="宋体" w:eastAsia="宋体"/>
                <w:sz w:val="16"/>
              </w:rPr>
              <w:t>3.00</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56D952D1">
            <w:pPr>
              <w:jc w:val="center"/>
            </w:pPr>
            <w:r>
              <w:rPr>
                <w:rFonts w:ascii="宋体" w:hAnsi="宋体" w:eastAsia="宋体"/>
                <w:sz w:val="16"/>
              </w:rPr>
              <w:t>3.00</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3A00BF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7EB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FDB7F">
            <w:pPr>
              <w:jc w:val="center"/>
            </w:pPr>
            <w:r>
              <w:rPr>
                <w:rFonts w:ascii="宋体" w:hAnsi="宋体" w:eastAsia="宋体"/>
                <w:sz w:val="16"/>
              </w:rPr>
              <w:t>-</w:t>
            </w:r>
          </w:p>
        </w:tc>
      </w:tr>
      <w:tr w14:paraId="164DA7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C7EE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13088">
            <w:pPr>
              <w:jc w:val="center"/>
            </w:pPr>
            <w:r>
              <w:rPr>
                <w:rFonts w:ascii="宋体" w:hAnsi="宋体" w:eastAsia="宋体"/>
                <w:sz w:val="16"/>
              </w:rPr>
              <w:t>本级安排资金：（万元）</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67B5BD6A">
            <w:pPr>
              <w:jc w:val="center"/>
            </w:pPr>
            <w:r>
              <w:rPr>
                <w:rFonts w:ascii="宋体" w:hAnsi="宋体" w:eastAsia="宋体"/>
                <w:sz w:val="16"/>
              </w:rPr>
              <w:t>395.19</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460BAC2">
            <w:pPr>
              <w:jc w:val="center"/>
            </w:pPr>
            <w:r>
              <w:rPr>
                <w:rFonts w:ascii="宋体" w:hAnsi="宋体" w:eastAsia="宋体"/>
                <w:sz w:val="16"/>
              </w:rPr>
              <w:t>349.17</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42A861CD">
            <w:pPr>
              <w:jc w:val="center"/>
            </w:pPr>
            <w:r>
              <w:rPr>
                <w:rFonts w:ascii="宋体" w:hAnsi="宋体" w:eastAsia="宋体"/>
                <w:sz w:val="16"/>
              </w:rPr>
              <w:t>334.13</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1D363E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C0E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90879">
            <w:pPr>
              <w:jc w:val="center"/>
            </w:pPr>
            <w:r>
              <w:rPr>
                <w:rFonts w:ascii="宋体" w:hAnsi="宋体" w:eastAsia="宋体"/>
                <w:sz w:val="16"/>
              </w:rPr>
              <w:t>-</w:t>
            </w:r>
          </w:p>
        </w:tc>
      </w:tr>
      <w:tr w14:paraId="2A44E4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3F7C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3C144">
            <w:pPr>
              <w:jc w:val="center"/>
            </w:pPr>
            <w:r>
              <w:rPr>
                <w:rFonts w:ascii="宋体" w:hAnsi="宋体" w:eastAsia="宋体"/>
                <w:sz w:val="16"/>
              </w:rPr>
              <w:t>其他资金</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046FEF3B">
            <w:pPr>
              <w:jc w:val="center"/>
            </w:pPr>
            <w:r>
              <w:rPr>
                <w:rFonts w:ascii="宋体" w:hAnsi="宋体" w:eastAsia="宋体"/>
                <w:sz w:val="16"/>
              </w:rPr>
              <w:t>0.00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63CBB11E">
            <w:pPr>
              <w:jc w:val="center"/>
            </w:pPr>
            <w:r>
              <w:rPr>
                <w:rFonts w:ascii="宋体" w:hAnsi="宋体" w:eastAsia="宋体"/>
                <w:sz w:val="16"/>
              </w:rPr>
              <w:t>0.00</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02D2D97B">
            <w:pPr>
              <w:jc w:val="center"/>
            </w:pPr>
            <w:r>
              <w:rPr>
                <w:rFonts w:ascii="宋体" w:hAnsi="宋体" w:eastAsia="宋体"/>
                <w:sz w:val="16"/>
              </w:rPr>
              <w:t>0.00</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5A27D3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58E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8F44B">
            <w:pPr>
              <w:jc w:val="center"/>
            </w:pPr>
            <w:r>
              <w:rPr>
                <w:rFonts w:ascii="宋体" w:hAnsi="宋体" w:eastAsia="宋体"/>
                <w:sz w:val="16"/>
              </w:rPr>
              <w:t>-</w:t>
            </w:r>
          </w:p>
        </w:tc>
      </w:tr>
      <w:tr w14:paraId="6EEFA6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6A1F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97881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A2B8D8">
            <w:pPr>
              <w:jc w:val="center"/>
            </w:pPr>
            <w:r>
              <w:rPr>
                <w:rFonts w:ascii="宋体" w:hAnsi="宋体" w:eastAsia="宋体"/>
                <w:sz w:val="16"/>
              </w:rPr>
              <w:t>实际完成情况</w:t>
            </w:r>
          </w:p>
        </w:tc>
      </w:tr>
      <w:tr w14:paraId="050AB5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D5421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3009BC">
            <w:pPr>
              <w:jc w:val="both"/>
            </w:pPr>
            <w:r>
              <w:rPr>
                <w:rFonts w:hint="eastAsia" w:ascii="宋体" w:hAnsi="宋体"/>
                <w:sz w:val="16"/>
                <w:lang w:eastAsia="zh-CN"/>
              </w:rPr>
              <w:t>1.</w:t>
            </w:r>
            <w:r>
              <w:rPr>
                <w:rFonts w:ascii="宋体" w:hAnsi="宋体" w:eastAsia="宋体"/>
                <w:sz w:val="16"/>
              </w:rPr>
              <w:t xml:space="preserve">提高城乡居民基本医疗保险全覆盖水平，完善城乡居民基本医疗保险缴费激励机制。 </w:t>
            </w:r>
            <w:r>
              <w:rPr>
                <w:rFonts w:ascii="宋体" w:hAnsi="宋体" w:eastAsia="宋体"/>
                <w:sz w:val="16"/>
              </w:rPr>
              <w:br w:type="textWrapping"/>
            </w:r>
            <w:r>
              <w:rPr>
                <w:rFonts w:ascii="宋体" w:hAnsi="宋体" w:eastAsia="宋体"/>
                <w:sz w:val="16"/>
              </w:rPr>
              <w:t xml:space="preserve">2：落实城乡居民基本医疗保险和大病医疗救助制度。                                                                                             </w:t>
            </w:r>
            <w:r>
              <w:rPr>
                <w:rFonts w:ascii="宋体" w:hAnsi="宋体" w:eastAsia="宋体"/>
                <w:sz w:val="16"/>
              </w:rPr>
              <w:br w:type="textWrapping"/>
            </w:r>
            <w:r>
              <w:rPr>
                <w:rFonts w:ascii="宋体" w:hAnsi="宋体" w:eastAsia="宋体"/>
                <w:sz w:val="16"/>
              </w:rPr>
              <w:t>3：广泛宣传医疗保险惠民政策知晓率95%，扩大医疗保险覆盖面完成参保率95%，确保“老有所养、病有所医”，提高人民群众的幸福感和获得感，参保群众满意度95%。</w:t>
            </w:r>
            <w:r>
              <w:rPr>
                <w:rFonts w:ascii="宋体" w:hAnsi="宋体" w:eastAsia="宋体"/>
                <w:sz w:val="16"/>
              </w:rPr>
              <w:br w:type="textWrapping"/>
            </w:r>
            <w:r>
              <w:rPr>
                <w:rFonts w:ascii="宋体" w:hAnsi="宋体" w:eastAsia="宋体"/>
                <w:sz w:val="16"/>
              </w:rPr>
              <w:t>4：通过构建覆盖城乡居民医疗补助项目，参与城镇居民医疗补助项目人员能够按方案获得医疗服务，减轻家庭医疗支出压力，促进社会和谐稳定。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1BE1C4">
            <w:pPr>
              <w:jc w:val="both"/>
            </w:pPr>
            <w:r>
              <w:rPr>
                <w:rFonts w:ascii="宋体" w:hAnsi="宋体" w:eastAsia="宋体"/>
                <w:sz w:val="16"/>
              </w:rPr>
              <w:t>1:本年医疗保险参保人数为4.61万人，已完成年初计划，完成率为100%。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2：组织医疗机构参加5次培训，不断提高医疗机构服务能力，增强了参保宣传力度，提高医保基金监管水平。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3：对定点医药机构现场检查4次，严格执行医保基金监管检查，守住群众医保基金。</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4：广泛宣传医疗保险惠民政策知晓率95%，扩大医疗保险覆盖面完成参保率95%，确保“老有所养、病有所医”，提高人民群众的幸福感和获得感，参保群众满意度95%。</w:t>
            </w:r>
          </w:p>
        </w:tc>
      </w:tr>
      <w:tr w14:paraId="598024B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9F68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CCF13">
            <w:pPr>
              <w:jc w:val="center"/>
            </w:pPr>
            <w:r>
              <w:rPr>
                <w:rFonts w:ascii="宋体" w:hAnsi="宋体" w:eastAsia="宋体"/>
                <w:sz w:val="16"/>
              </w:rPr>
              <w:t>二级指标</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3921435C">
            <w:pPr>
              <w:jc w:val="center"/>
            </w:pPr>
            <w:r>
              <w:rPr>
                <w:rFonts w:ascii="宋体" w:hAnsi="宋体" w:eastAsia="宋体"/>
                <w:sz w:val="16"/>
              </w:rPr>
              <w:t>三级指标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CAED4DC">
            <w:pPr>
              <w:jc w:val="center"/>
            </w:pPr>
            <w:r>
              <w:rPr>
                <w:rFonts w:ascii="宋体" w:hAnsi="宋体" w:eastAsia="宋体"/>
                <w:sz w:val="16"/>
              </w:rPr>
              <w:t>预期指标值</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50F10858">
            <w:pPr>
              <w:jc w:val="center"/>
            </w:pPr>
            <w:r>
              <w:rPr>
                <w:rFonts w:ascii="宋体" w:hAnsi="宋体" w:eastAsia="宋体"/>
                <w:sz w:val="16"/>
              </w:rPr>
              <w:t>指标值设定依据</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1CAD569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4FDE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E9B64">
            <w:pPr>
              <w:jc w:val="center"/>
            </w:pPr>
            <w:r>
              <w:rPr>
                <w:rFonts w:ascii="宋体" w:hAnsi="宋体" w:eastAsia="宋体"/>
                <w:sz w:val="16"/>
              </w:rPr>
              <w:t>得分</w:t>
            </w:r>
          </w:p>
        </w:tc>
      </w:tr>
      <w:tr w14:paraId="0D4E3B5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1D2C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6E996">
            <w:pPr>
              <w:jc w:val="center"/>
            </w:pPr>
            <w:r>
              <w:rPr>
                <w:rFonts w:ascii="宋体" w:hAnsi="宋体" w:eastAsia="宋体"/>
                <w:sz w:val="16"/>
              </w:rPr>
              <w:t>数量指标</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2D19C9BC">
            <w:pPr>
              <w:jc w:val="center"/>
            </w:pPr>
            <w:r>
              <w:rPr>
                <w:rFonts w:ascii="宋体" w:hAnsi="宋体" w:eastAsia="宋体"/>
                <w:sz w:val="16"/>
              </w:rPr>
              <w:t>医疗保险参保人数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74F6EE3">
            <w:pPr>
              <w:jc w:val="center"/>
            </w:pPr>
            <w:r>
              <w:rPr>
                <w:rFonts w:ascii="宋体" w:hAnsi="宋体" w:eastAsia="宋体"/>
                <w:sz w:val="16"/>
              </w:rPr>
              <w:t>&gt;=4万人</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4FC20D8A">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72C539D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66726">
            <w:pPr>
              <w:jc w:val="center"/>
            </w:pPr>
            <w:r>
              <w:rPr>
                <w:rFonts w:ascii="宋体" w:hAnsi="宋体" w:eastAsia="宋体"/>
                <w:sz w:val="16"/>
              </w:rPr>
              <w:t>4.61万人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C7963">
            <w:pPr>
              <w:jc w:val="center"/>
            </w:pPr>
            <w:r>
              <w:rPr>
                <w:rFonts w:ascii="宋体" w:hAnsi="宋体" w:eastAsia="宋体"/>
                <w:sz w:val="16"/>
              </w:rPr>
              <w:t>10</w:t>
            </w:r>
          </w:p>
        </w:tc>
      </w:tr>
      <w:tr w14:paraId="542BA5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AF81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5E0834"/>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236213D2">
            <w:pPr>
              <w:jc w:val="center"/>
            </w:pPr>
            <w:r>
              <w:rPr>
                <w:rFonts w:ascii="宋体" w:hAnsi="宋体" w:eastAsia="宋体"/>
                <w:sz w:val="16"/>
              </w:rPr>
              <w:t>在职职工人数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697DECD8">
            <w:pPr>
              <w:jc w:val="center"/>
            </w:pPr>
            <w:r>
              <w:rPr>
                <w:rFonts w:ascii="宋体" w:hAnsi="宋体" w:eastAsia="宋体"/>
                <w:sz w:val="16"/>
              </w:rPr>
              <w:t>=19人</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538D1865">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43BB84F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1E8EE">
            <w:pPr>
              <w:jc w:val="center"/>
            </w:pPr>
            <w:r>
              <w:rPr>
                <w:rFonts w:ascii="宋体" w:hAnsi="宋体" w:eastAsia="宋体"/>
                <w:sz w:val="16"/>
              </w:rPr>
              <w: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247B4">
            <w:pPr>
              <w:jc w:val="center"/>
            </w:pPr>
            <w:r>
              <w:rPr>
                <w:rFonts w:ascii="宋体" w:hAnsi="宋体" w:eastAsia="宋体"/>
                <w:sz w:val="16"/>
              </w:rPr>
              <w:t>9</w:t>
            </w:r>
          </w:p>
        </w:tc>
      </w:tr>
      <w:tr w14:paraId="23C8DE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05B73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83C055"/>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67861CBC">
            <w:pPr>
              <w:jc w:val="center"/>
            </w:pPr>
            <w:r>
              <w:rPr>
                <w:rFonts w:ascii="宋体" w:hAnsi="宋体" w:eastAsia="宋体"/>
                <w:sz w:val="16"/>
              </w:rPr>
              <w:t>组织医疗机构参加培训次数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C309E96">
            <w:pPr>
              <w:jc w:val="center"/>
            </w:pPr>
            <w:r>
              <w:rPr>
                <w:rFonts w:ascii="宋体" w:hAnsi="宋体" w:eastAsia="宋体"/>
                <w:sz w:val="16"/>
              </w:rPr>
              <w:t>&gt;=5次</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30BE84A8">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4317F9E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8E67C">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0F9F4">
            <w:pPr>
              <w:jc w:val="center"/>
            </w:pPr>
            <w:r>
              <w:rPr>
                <w:rFonts w:ascii="宋体" w:hAnsi="宋体" w:eastAsia="宋体"/>
                <w:sz w:val="16"/>
              </w:rPr>
              <w:t>15</w:t>
            </w:r>
          </w:p>
        </w:tc>
      </w:tr>
      <w:tr w14:paraId="6C990E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6EDCC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707ED7"/>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0757E0A3">
            <w:pPr>
              <w:jc w:val="center"/>
            </w:pPr>
            <w:r>
              <w:rPr>
                <w:rFonts w:ascii="宋体" w:hAnsi="宋体" w:eastAsia="宋体"/>
                <w:sz w:val="16"/>
              </w:rPr>
              <w:t>定点医药机构现场检查次数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4E8614D">
            <w:pPr>
              <w:jc w:val="center"/>
            </w:pPr>
            <w:r>
              <w:rPr>
                <w:rFonts w:ascii="宋体" w:hAnsi="宋体" w:eastAsia="宋体"/>
                <w:sz w:val="16"/>
              </w:rPr>
              <w:t>&gt;=4次</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16F9CE76">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1D13082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5F820">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6B833">
            <w:pPr>
              <w:jc w:val="center"/>
            </w:pPr>
            <w:r>
              <w:rPr>
                <w:rFonts w:ascii="宋体" w:hAnsi="宋体" w:eastAsia="宋体"/>
                <w:sz w:val="16"/>
              </w:rPr>
              <w:t>15</w:t>
            </w:r>
          </w:p>
        </w:tc>
      </w:tr>
      <w:tr w14:paraId="2E8567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2DB1B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54531C"/>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3C36C5FB">
            <w:pPr>
              <w:jc w:val="center"/>
            </w:pPr>
            <w:r>
              <w:rPr>
                <w:rFonts w:ascii="宋体" w:hAnsi="宋体" w:eastAsia="宋体"/>
                <w:sz w:val="16"/>
              </w:rPr>
              <w:t>药品集中带量采购品种</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601438F6">
            <w:pPr>
              <w:jc w:val="center"/>
            </w:pPr>
            <w:r>
              <w:rPr>
                <w:rFonts w:ascii="宋体" w:hAnsi="宋体" w:eastAsia="宋体"/>
                <w:sz w:val="16"/>
              </w:rPr>
              <w:t>&gt;=100种</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21D705BD">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20C94E1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F1F5F">
            <w:pPr>
              <w:jc w:val="center"/>
            </w:pPr>
            <w:r>
              <w:rPr>
                <w:rFonts w:ascii="宋体" w:hAnsi="宋体" w:eastAsia="宋体"/>
                <w:sz w:val="16"/>
              </w:rPr>
              <w:t>112种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40AF6">
            <w:pPr>
              <w:jc w:val="center"/>
            </w:pPr>
            <w:r>
              <w:rPr>
                <w:rFonts w:ascii="宋体" w:hAnsi="宋体" w:eastAsia="宋体"/>
                <w:sz w:val="16"/>
              </w:rPr>
              <w:t>15</w:t>
            </w:r>
          </w:p>
        </w:tc>
      </w:tr>
      <w:tr w14:paraId="51E920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1D6D9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0460A">
            <w:pPr>
              <w:jc w:val="center"/>
            </w:pPr>
            <w:r>
              <w:rPr>
                <w:rFonts w:ascii="宋体" w:hAnsi="宋体" w:eastAsia="宋体"/>
                <w:sz w:val="16"/>
              </w:rPr>
              <w:t>质量指标</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3377E9E5">
            <w:pPr>
              <w:jc w:val="center"/>
            </w:pPr>
            <w:r>
              <w:rPr>
                <w:rFonts w:ascii="宋体" w:hAnsi="宋体" w:eastAsia="宋体"/>
                <w:sz w:val="16"/>
              </w:rPr>
              <w:t>基本医疗保险参保率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D54B8D7">
            <w:pPr>
              <w:jc w:val="center"/>
            </w:pPr>
            <w:r>
              <w:rPr>
                <w:rFonts w:ascii="宋体" w:hAnsi="宋体" w:eastAsia="宋体"/>
                <w:sz w:val="16"/>
              </w:rPr>
              <w:t>&gt;=95%</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792BBAA2">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73F4CD3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585DD">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38219">
            <w:pPr>
              <w:jc w:val="center"/>
            </w:pPr>
            <w:r>
              <w:rPr>
                <w:rFonts w:ascii="宋体" w:hAnsi="宋体" w:eastAsia="宋体"/>
                <w:sz w:val="16"/>
              </w:rPr>
              <w:t>15</w:t>
            </w:r>
          </w:p>
        </w:tc>
      </w:tr>
      <w:tr w14:paraId="01591A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B0409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C6FA2C"/>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526E9896">
            <w:pPr>
              <w:jc w:val="center"/>
            </w:pPr>
            <w:r>
              <w:rPr>
                <w:rFonts w:ascii="宋体" w:hAnsi="宋体" w:eastAsia="宋体"/>
                <w:sz w:val="16"/>
              </w:rPr>
              <w:t>医保政策知晓率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2F94323">
            <w:pPr>
              <w:jc w:val="center"/>
            </w:pPr>
            <w:r>
              <w:rPr>
                <w:rFonts w:ascii="宋体" w:hAnsi="宋体" w:eastAsia="宋体"/>
                <w:sz w:val="16"/>
              </w:rPr>
              <w:t>&gt;=95%</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45D5DE6D">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60973D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60528">
            <w:pPr>
              <w:jc w:val="center"/>
            </w:pPr>
            <w:r>
              <w:rPr>
                <w:rFonts w:ascii="宋体" w:hAnsi="宋体" w:eastAsia="宋体"/>
                <w:sz w:val="16"/>
              </w:rPr>
              <w:t>95.3%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D12F4">
            <w:pPr>
              <w:jc w:val="center"/>
            </w:pPr>
            <w:r>
              <w:rPr>
                <w:rFonts w:ascii="宋体" w:hAnsi="宋体" w:eastAsia="宋体"/>
                <w:sz w:val="16"/>
              </w:rPr>
              <w:t>10</w:t>
            </w:r>
          </w:p>
        </w:tc>
      </w:tr>
    </w:tbl>
    <w:p w14:paraId="604380D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1"/>
        <w:gridCol w:w="624"/>
        <w:gridCol w:w="629"/>
        <w:gridCol w:w="626"/>
        <w:gridCol w:w="624"/>
        <w:gridCol w:w="626"/>
        <w:gridCol w:w="696"/>
        <w:gridCol w:w="776"/>
        <w:gridCol w:w="696"/>
        <w:gridCol w:w="631"/>
      </w:tblGrid>
      <w:tr w14:paraId="51CB51C7">
        <w:tblPrEx>
          <w:tblCellMar>
            <w:top w:w="0" w:type="dxa"/>
            <w:left w:w="108" w:type="dxa"/>
            <w:bottom w:w="0" w:type="dxa"/>
            <w:right w:w="108" w:type="dxa"/>
          </w:tblCellMar>
        </w:tblPrEx>
        <w:tc>
          <w:tcPr>
            <w:tcW w:w="8848" w:type="dxa"/>
            <w:gridSpan w:val="14"/>
            <w:vAlign w:val="center"/>
          </w:tcPr>
          <w:p w14:paraId="3B639573">
            <w:pPr>
              <w:jc w:val="center"/>
            </w:pPr>
            <w:r>
              <w:rPr>
                <w:rFonts w:ascii="宋体" w:hAnsi="宋体" w:eastAsia="宋体"/>
                <w:sz w:val="24"/>
              </w:rPr>
              <w:t>项目支出绩效自评表</w:t>
            </w:r>
          </w:p>
        </w:tc>
      </w:tr>
      <w:tr w14:paraId="5C79CF6F">
        <w:tblPrEx>
          <w:tblCellMar>
            <w:top w:w="0" w:type="dxa"/>
            <w:left w:w="108" w:type="dxa"/>
            <w:bottom w:w="0" w:type="dxa"/>
            <w:right w:w="108" w:type="dxa"/>
          </w:tblCellMar>
        </w:tblPrEx>
        <w:tc>
          <w:tcPr>
            <w:tcW w:w="8848" w:type="dxa"/>
            <w:gridSpan w:val="14"/>
            <w:vAlign w:val="center"/>
          </w:tcPr>
          <w:p w14:paraId="2ACF5717">
            <w:pPr>
              <w:jc w:val="center"/>
            </w:pPr>
            <w:r>
              <w:rPr>
                <w:rFonts w:ascii="宋体" w:hAnsi="宋体" w:eastAsia="宋体"/>
                <w:sz w:val="24"/>
              </w:rPr>
              <w:t>(2024年度)</w:t>
            </w:r>
          </w:p>
        </w:tc>
      </w:tr>
      <w:tr w14:paraId="204F13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EE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A20C0B">
            <w:pPr>
              <w:jc w:val="center"/>
            </w:pPr>
            <w:r>
              <w:rPr>
                <w:rFonts w:ascii="宋体" w:hAnsi="宋体" w:eastAsia="宋体"/>
                <w:sz w:val="16"/>
              </w:rPr>
              <w:t>2024年自治区财政全民参保及医疗服务经费</w:t>
            </w:r>
          </w:p>
        </w:tc>
      </w:tr>
      <w:tr w14:paraId="03A6FD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2B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938B04">
            <w:pPr>
              <w:jc w:val="center"/>
            </w:pPr>
            <w:r>
              <w:rPr>
                <w:rFonts w:ascii="宋体" w:hAnsi="宋体" w:eastAsia="宋体"/>
                <w:sz w:val="16"/>
              </w:rPr>
              <w:t>裕民县医疗保障局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D1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F713F1">
            <w:pPr>
              <w:jc w:val="center"/>
            </w:pPr>
            <w:r>
              <w:rPr>
                <w:rFonts w:ascii="宋体" w:hAnsi="宋体" w:eastAsia="宋体"/>
                <w:sz w:val="16"/>
              </w:rPr>
              <w:t>裕民县医疗保障局</w:t>
            </w:r>
          </w:p>
        </w:tc>
      </w:tr>
      <w:tr w14:paraId="72E77D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CB5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D8A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9C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669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FC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DDE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5DB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B958">
            <w:pPr>
              <w:jc w:val="center"/>
            </w:pPr>
            <w:r>
              <w:rPr>
                <w:rFonts w:ascii="宋体" w:hAnsi="宋体" w:eastAsia="宋体"/>
                <w:sz w:val="16"/>
              </w:rPr>
              <w:t>得分</w:t>
            </w:r>
          </w:p>
        </w:tc>
      </w:tr>
      <w:tr w14:paraId="39F36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8A5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016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DDE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724A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3FFE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88B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006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0C0C">
            <w:pPr>
              <w:jc w:val="center"/>
            </w:pPr>
            <w:r>
              <w:rPr>
                <w:rFonts w:ascii="宋体" w:hAnsi="宋体" w:eastAsia="宋体"/>
                <w:sz w:val="16"/>
              </w:rPr>
              <w:t>10.00</w:t>
            </w:r>
          </w:p>
        </w:tc>
      </w:tr>
      <w:tr w14:paraId="7DD79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840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58D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5C5B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27FA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230E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1EC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4F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09AB">
            <w:pPr>
              <w:jc w:val="center"/>
            </w:pPr>
            <w:r>
              <w:rPr>
                <w:rFonts w:ascii="宋体" w:hAnsi="宋体" w:eastAsia="宋体"/>
                <w:sz w:val="16"/>
              </w:rPr>
              <w:t>—</w:t>
            </w:r>
          </w:p>
        </w:tc>
      </w:tr>
      <w:tr w14:paraId="19468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E78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108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E82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3C5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11D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B87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ECC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88E4">
            <w:pPr>
              <w:jc w:val="center"/>
            </w:pPr>
            <w:r>
              <w:rPr>
                <w:rFonts w:ascii="宋体" w:hAnsi="宋体" w:eastAsia="宋体"/>
                <w:sz w:val="16"/>
              </w:rPr>
              <w:t>—</w:t>
            </w:r>
          </w:p>
        </w:tc>
      </w:tr>
      <w:tr w14:paraId="18A981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9315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43E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F455BB">
            <w:pPr>
              <w:jc w:val="center"/>
            </w:pPr>
            <w:r>
              <w:rPr>
                <w:rFonts w:ascii="宋体" w:hAnsi="宋体" w:eastAsia="宋体"/>
                <w:sz w:val="16"/>
              </w:rPr>
              <w:t>实际完成情况</w:t>
            </w:r>
          </w:p>
        </w:tc>
      </w:tr>
      <w:tr w14:paraId="76741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8DA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0633ED">
            <w:pPr>
              <w:jc w:val="both"/>
            </w:pPr>
            <w:r>
              <w:rPr>
                <w:rFonts w:ascii="宋体" w:hAnsi="宋体" w:eastAsia="宋体"/>
                <w:sz w:val="16"/>
              </w:rPr>
              <w:t>全民参保补助资金项目由自治区财政拨入3万元，用于2024年开展医疗保险全民参保及医疗服务工作。项目实施有效提高医疗保险参保率，使国家社保惠民的知晓率达到95%以上，群众的参保自觉性进一步提高，对于实现全民参</w:t>
            </w:r>
            <w:r>
              <w:rPr>
                <w:rFonts w:hint="eastAsia" w:ascii="宋体" w:hAnsi="宋体"/>
                <w:sz w:val="16"/>
                <w:lang w:eastAsia="zh-CN"/>
              </w:rPr>
              <w:t>保有</w:t>
            </w:r>
            <w:r>
              <w:rPr>
                <w:rFonts w:ascii="宋体" w:hAnsi="宋体" w:eastAsia="宋体"/>
                <w:sz w:val="16"/>
              </w:rPr>
              <w:t>巨大的现实意义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BDB487">
            <w:pPr>
              <w:jc w:val="both"/>
            </w:pPr>
            <w:r>
              <w:rPr>
                <w:rFonts w:hint="eastAsia" w:ascii="宋体" w:hAnsi="宋体"/>
                <w:sz w:val="16"/>
                <w:lang w:eastAsia="zh-CN"/>
              </w:rPr>
              <w:t>1.</w:t>
            </w:r>
            <w:r>
              <w:rPr>
                <w:rFonts w:ascii="宋体" w:hAnsi="宋体" w:eastAsia="宋体"/>
                <w:sz w:val="16"/>
              </w:rPr>
              <w:t xml:space="preserve">提高城乡居民基本医疗保险全覆盖水平，完善城乡居民基本医疗保险缴费激励机制。 </w:t>
            </w:r>
            <w:r>
              <w:rPr>
                <w:rFonts w:ascii="宋体" w:hAnsi="宋体" w:eastAsia="宋体"/>
                <w:sz w:val="16"/>
              </w:rPr>
              <w:br w:type="textWrapping"/>
            </w:r>
            <w:r>
              <w:rPr>
                <w:rFonts w:ascii="宋体" w:hAnsi="宋体" w:eastAsia="宋体"/>
                <w:sz w:val="16"/>
              </w:rPr>
              <w:t>2：广泛宣传医疗保险惠民政策知晓率95%，扩大医疗保险覆盖面完成参保率95%，确保“老有所养、病有所医”，提高人民群众的幸福感和获得感，参保群众满意度95%。定点医药机构现场检查次数不少于4次，医保政策宣传不少于2次。</w:t>
            </w:r>
            <w:r>
              <w:rPr>
                <w:rFonts w:ascii="宋体" w:hAnsi="宋体" w:eastAsia="宋体"/>
                <w:sz w:val="16"/>
              </w:rPr>
              <w:br w:type="textWrapping"/>
            </w:r>
            <w:r>
              <w:rPr>
                <w:rFonts w:ascii="宋体" w:hAnsi="宋体" w:eastAsia="宋体"/>
                <w:sz w:val="16"/>
              </w:rPr>
              <w:t>3：通过构建覆盖城乡居民医疗补助项目，参与城镇居民医疗补助项目人员能够按方案获得医疗服务，减轻家庭医疗支出压力，促进社会和谐稳定。</w:t>
            </w:r>
          </w:p>
        </w:tc>
      </w:tr>
      <w:tr w14:paraId="30E647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2DA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51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3E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6D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208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8D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37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9CC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0D6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C5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E3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56E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5E2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BFBA">
            <w:pPr>
              <w:jc w:val="center"/>
            </w:pPr>
            <w:r>
              <w:rPr>
                <w:rFonts w:ascii="宋体" w:hAnsi="宋体" w:eastAsia="宋体"/>
                <w:sz w:val="16"/>
              </w:rPr>
              <w:t>偏差原因分析及改进措施</w:t>
            </w:r>
          </w:p>
        </w:tc>
      </w:tr>
      <w:tr w14:paraId="6A682F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EDD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AAF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858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D15E">
            <w:pPr>
              <w:jc w:val="center"/>
            </w:pPr>
            <w:r>
              <w:rPr>
                <w:rFonts w:ascii="宋体" w:hAnsi="宋体" w:eastAsia="宋体"/>
                <w:sz w:val="16"/>
              </w:rPr>
              <w:t>生育保险参保人数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30E7">
            <w:pPr>
              <w:jc w:val="center"/>
            </w:pPr>
            <w:r>
              <w:rPr>
                <w:rFonts w:ascii="宋体" w:hAnsi="宋体" w:eastAsia="宋体"/>
                <w:sz w:val="16"/>
              </w:rPr>
              <w:t>&gt;=0.5万人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21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8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4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8D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87B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BB79">
            <w:pPr>
              <w:jc w:val="center"/>
            </w:pPr>
            <w:r>
              <w:rPr>
                <w:rFonts w:ascii="宋体" w:hAnsi="宋体" w:eastAsia="宋体"/>
                <w:sz w:val="16"/>
              </w:rPr>
              <w:t>0.61万人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576F">
            <w:pPr>
              <w:jc w:val="center"/>
            </w:pPr>
            <w:r>
              <w:rPr>
                <w:rFonts w:ascii="宋体" w:hAnsi="宋体" w:eastAsia="宋体"/>
                <w:sz w:val="16"/>
              </w:rPr>
              <w:t>122%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C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3B1D">
            <w:pPr>
              <w:jc w:val="center"/>
            </w:pPr>
            <w:r>
              <w:rPr>
                <w:rFonts w:ascii="宋体" w:hAnsi="宋体" w:eastAsia="宋体"/>
                <w:sz w:val="16"/>
              </w:rPr>
              <w:t>年初制定指标时过于保守，数额确定</w:t>
            </w:r>
            <w:r>
              <w:rPr>
                <w:rFonts w:hint="eastAsia" w:ascii="宋体" w:hAnsi="宋体"/>
                <w:sz w:val="16"/>
                <w:lang w:eastAsia="zh-CN"/>
              </w:rPr>
              <w:t>得</w:t>
            </w:r>
            <w:r>
              <w:rPr>
                <w:rFonts w:ascii="宋体" w:hAnsi="宋体" w:eastAsia="宋体"/>
                <w:sz w:val="16"/>
              </w:rPr>
              <w:t>较低；改进措施：在今后的工作中要敢于创新不断提高目标任务，再创佳绩。</w:t>
            </w:r>
          </w:p>
        </w:tc>
      </w:tr>
      <w:tr w14:paraId="31846E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6A9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3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98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76D2">
            <w:pPr>
              <w:jc w:val="center"/>
            </w:pPr>
            <w:r>
              <w:rPr>
                <w:rFonts w:ascii="宋体" w:hAnsi="宋体" w:eastAsia="宋体"/>
                <w:sz w:val="16"/>
              </w:rPr>
              <w:t>基本医疗保险参保人数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1EC6">
            <w:pPr>
              <w:jc w:val="center"/>
            </w:pPr>
            <w:r>
              <w:rPr>
                <w:rFonts w:ascii="宋体" w:hAnsi="宋体" w:eastAsia="宋体"/>
                <w:sz w:val="16"/>
              </w:rPr>
              <w:t>&gt;=4万人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F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E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36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5F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D9F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DC7D">
            <w:pPr>
              <w:jc w:val="center"/>
            </w:pPr>
            <w:r>
              <w:rPr>
                <w:rFonts w:ascii="宋体" w:hAnsi="宋体" w:eastAsia="宋体"/>
                <w:sz w:val="16"/>
              </w:rPr>
              <w:t>4.61万人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3215">
            <w:pPr>
              <w:jc w:val="center"/>
            </w:pPr>
            <w:r>
              <w:rPr>
                <w:rFonts w:ascii="宋体" w:hAnsi="宋体" w:eastAsia="宋体"/>
                <w:sz w:val="16"/>
              </w:rPr>
              <w:t>115.25%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71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3B5A">
            <w:pPr>
              <w:jc w:val="center"/>
            </w:pPr>
            <w:r>
              <w:rPr>
                <w:rFonts w:ascii="宋体" w:hAnsi="宋体" w:eastAsia="宋体"/>
                <w:sz w:val="16"/>
              </w:rPr>
              <w:t>年初制定指标时过于保守，数额确定</w:t>
            </w:r>
            <w:r>
              <w:rPr>
                <w:rFonts w:hint="eastAsia" w:ascii="宋体" w:hAnsi="宋体"/>
                <w:sz w:val="16"/>
                <w:lang w:eastAsia="zh-CN"/>
              </w:rPr>
              <w:t>得</w:t>
            </w:r>
            <w:r>
              <w:rPr>
                <w:rFonts w:ascii="宋体" w:hAnsi="宋体" w:eastAsia="宋体"/>
                <w:sz w:val="16"/>
              </w:rPr>
              <w:t>较低；改进措施：在今后的工作中要敢于创新不断提高目标任务，再创佳绩。</w:t>
            </w:r>
          </w:p>
        </w:tc>
      </w:tr>
      <w:tr w14:paraId="25EEC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A5F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F27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0D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559F">
            <w:pPr>
              <w:jc w:val="center"/>
            </w:pPr>
            <w:r>
              <w:rPr>
                <w:rFonts w:ascii="宋体" w:hAnsi="宋体" w:eastAsia="宋体"/>
                <w:sz w:val="16"/>
              </w:rPr>
              <w:t>基本医疗保险参保率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AA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BD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8A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7A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0E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55B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3C1A">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A165">
            <w:pPr>
              <w:jc w:val="center"/>
            </w:pPr>
            <w:r>
              <w:rPr>
                <w:rFonts w:ascii="宋体" w:hAnsi="宋体" w:eastAsia="宋体"/>
                <w:sz w:val="16"/>
              </w:rPr>
              <w:t>101.05%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C25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3272">
            <w:pPr>
              <w:jc w:val="center"/>
            </w:pPr>
            <w:r>
              <w:rPr>
                <w:rFonts w:ascii="宋体" w:hAnsi="宋体" w:eastAsia="宋体"/>
                <w:sz w:val="16"/>
              </w:rPr>
              <w:t>偏差较小与目标值保持一致。</w:t>
            </w:r>
          </w:p>
        </w:tc>
      </w:tr>
      <w:tr w14:paraId="1868F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7A3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6F4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FE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2C35">
            <w:pPr>
              <w:jc w:val="center"/>
            </w:pPr>
            <w:r>
              <w:rPr>
                <w:rFonts w:ascii="宋体" w:hAnsi="宋体" w:eastAsia="宋体"/>
                <w:sz w:val="16"/>
              </w:rPr>
              <w:t>按时报送各项社会保险基金季报数据及分析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37C9">
            <w:pPr>
              <w:jc w:val="center"/>
            </w:pPr>
            <w:r>
              <w:rPr>
                <w:rFonts w:ascii="宋体" w:hAnsi="宋体" w:eastAsia="宋体"/>
                <w:sz w:val="16"/>
              </w:rPr>
              <w:t>每季度结束后的15日内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D2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88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66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7D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811F">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AC4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BC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3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9110">
            <w:pPr>
              <w:jc w:val="center"/>
            </w:pPr>
          </w:p>
        </w:tc>
      </w:tr>
      <w:tr w14:paraId="5E2F2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283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25D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4A6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1FC3">
            <w:pPr>
              <w:jc w:val="center"/>
            </w:pPr>
            <w:r>
              <w:rPr>
                <w:rFonts w:ascii="宋体" w:hAnsi="宋体" w:eastAsia="宋体"/>
                <w:sz w:val="16"/>
              </w:rPr>
              <w:t>全民参保业务经办服务支出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F5A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C0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D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F1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AD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4FC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238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62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FF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A531">
            <w:pPr>
              <w:jc w:val="center"/>
            </w:pPr>
          </w:p>
        </w:tc>
      </w:tr>
      <w:tr w14:paraId="2D184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8EA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51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7E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280A">
            <w:pPr>
              <w:jc w:val="center"/>
            </w:pPr>
            <w:r>
              <w:rPr>
                <w:rFonts w:ascii="宋体" w:hAnsi="宋体" w:eastAsia="宋体"/>
                <w:sz w:val="16"/>
              </w:rPr>
              <w:t>全民参保宣传及能力提升支出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4549">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23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D9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D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B4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049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E77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70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10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ED08">
            <w:pPr>
              <w:jc w:val="center"/>
            </w:pPr>
          </w:p>
        </w:tc>
      </w:tr>
      <w:tr w14:paraId="10B8A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70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15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0C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C858">
            <w:pPr>
              <w:jc w:val="center"/>
            </w:pPr>
            <w:r>
              <w:rPr>
                <w:rFonts w:ascii="宋体" w:hAnsi="宋体" w:eastAsia="宋体"/>
                <w:sz w:val="16"/>
              </w:rPr>
              <w:t>医疗政策知晓率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30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CFD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CE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2E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FC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25E4">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BCC3">
            <w:pPr>
              <w:jc w:val="center"/>
            </w:pPr>
            <w:r>
              <w:rPr>
                <w:rFonts w:ascii="宋体" w:hAnsi="宋体" w:eastAsia="宋体"/>
                <w:sz w:val="16"/>
              </w:rPr>
              <w:t>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ED1E">
            <w:pPr>
              <w:jc w:val="center"/>
            </w:pPr>
            <w:r>
              <w:rPr>
                <w:rFonts w:ascii="宋体" w:hAnsi="宋体" w:eastAsia="宋体"/>
                <w:sz w:val="16"/>
              </w:rPr>
              <w:t>100.32%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1F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4340">
            <w:pPr>
              <w:jc w:val="center"/>
            </w:pPr>
          </w:p>
        </w:tc>
      </w:tr>
      <w:tr w14:paraId="15194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7A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26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9D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7508">
            <w:pPr>
              <w:jc w:val="center"/>
            </w:pPr>
            <w:r>
              <w:rPr>
                <w:rFonts w:ascii="宋体" w:hAnsi="宋体" w:eastAsia="宋体"/>
                <w:sz w:val="16"/>
              </w:rPr>
              <w:t>基本医疗保险参保群众满意度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D43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1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B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7E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89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7E2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2854">
            <w:pPr>
              <w:jc w:val="center"/>
            </w:pPr>
            <w:r>
              <w:rPr>
                <w:rFonts w:ascii="宋体" w:hAnsi="宋体" w:eastAsia="宋体"/>
                <w:sz w:val="16"/>
              </w:rPr>
              <w:t>91.67%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D5BB5">
            <w:pPr>
              <w:jc w:val="center"/>
            </w:pPr>
            <w:r>
              <w:rPr>
                <w:rFonts w:ascii="宋体" w:hAnsi="宋体" w:eastAsia="宋体"/>
                <w:sz w:val="16"/>
              </w:rPr>
              <w:t>101.85%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7D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2EDA">
            <w:pPr>
              <w:jc w:val="center"/>
            </w:pPr>
            <w:r>
              <w:rPr>
                <w:rFonts w:ascii="宋体" w:hAnsi="宋体" w:eastAsia="宋体"/>
                <w:sz w:val="16"/>
              </w:rPr>
              <w:t>偏差较小与目标值保持一致。</w:t>
            </w:r>
          </w:p>
        </w:tc>
      </w:tr>
      <w:tr w14:paraId="76DE0A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B870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9C4A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BF46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93E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2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600E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FA5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282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B3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B54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3A3C5F"/>
        </w:tc>
      </w:tr>
    </w:tbl>
    <w:p w14:paraId="63CB2E3B">
      <w:r>
        <w:br w:type="page"/>
      </w:r>
    </w:p>
    <w:p w14:paraId="26764D9F">
      <w:pPr>
        <w:spacing w:line="640" w:lineRule="exact"/>
        <w:ind w:firstLine="640"/>
        <w:jc w:val="both"/>
        <w:outlineLvl w:val="2"/>
      </w:pPr>
      <w:r>
        <w:rPr>
          <w:rFonts w:ascii="黑体" w:hAnsi="黑体" w:eastAsia="黑体"/>
          <w:sz w:val="32"/>
        </w:rPr>
        <w:t>十二、其他需说明的事项</w:t>
      </w:r>
    </w:p>
    <w:p w14:paraId="478DF454">
      <w:pPr>
        <w:spacing w:line="580" w:lineRule="exact"/>
        <w:ind w:firstLine="640"/>
        <w:jc w:val="both"/>
      </w:pPr>
      <w:r>
        <w:rPr>
          <w:rFonts w:ascii="仿宋_GB2312" w:hAnsi="仿宋_GB2312" w:eastAsia="仿宋_GB2312"/>
          <w:b w:val="0"/>
          <w:sz w:val="32"/>
        </w:rPr>
        <w:t>本单位无其他需说明的事项。</w:t>
      </w:r>
    </w:p>
    <w:p w14:paraId="1A0ED44D">
      <w:r>
        <w:br w:type="page"/>
      </w:r>
    </w:p>
    <w:p w14:paraId="673F3E02">
      <w:pPr>
        <w:spacing w:line="240" w:lineRule="auto"/>
        <w:jc w:val="center"/>
        <w:outlineLvl w:val="1"/>
      </w:pPr>
      <w:r>
        <w:rPr>
          <w:rFonts w:ascii="黑体" w:hAnsi="黑体" w:eastAsia="黑体"/>
          <w:sz w:val="32"/>
        </w:rPr>
        <w:t>第三部分 专业名词解释</w:t>
      </w:r>
    </w:p>
    <w:p w14:paraId="5107121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70C0E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1D8DAA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D8B2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23EE6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27AD0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1D46E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83AF46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8FB9A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F34A5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27F2A1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D61B6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40F0E7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AFB63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97B6AF6">
      <w:r>
        <w:br w:type="page"/>
      </w:r>
    </w:p>
    <w:p w14:paraId="444CAF7F">
      <w:pPr>
        <w:spacing w:line="240" w:lineRule="auto"/>
        <w:jc w:val="center"/>
        <w:outlineLvl w:val="1"/>
      </w:pPr>
      <w:r>
        <w:rPr>
          <w:rFonts w:ascii="黑体" w:hAnsi="黑体" w:eastAsia="黑体"/>
          <w:sz w:val="32"/>
        </w:rPr>
        <w:t>第四部分 部门决算报表（见附表）</w:t>
      </w:r>
    </w:p>
    <w:p w14:paraId="413D0599">
      <w:pPr>
        <w:spacing w:line="240" w:lineRule="auto"/>
        <w:ind w:firstLine="640"/>
        <w:jc w:val="both"/>
      </w:pPr>
      <w:r>
        <w:rPr>
          <w:rFonts w:ascii="仿宋_GB2312" w:hAnsi="仿宋_GB2312" w:eastAsia="仿宋_GB2312"/>
          <w:b w:val="0"/>
          <w:sz w:val="32"/>
        </w:rPr>
        <w:t>一、《收入支出决算总表》</w:t>
      </w:r>
    </w:p>
    <w:p w14:paraId="3B0A6C17">
      <w:pPr>
        <w:spacing w:line="240" w:lineRule="auto"/>
        <w:ind w:firstLine="640"/>
        <w:jc w:val="both"/>
      </w:pPr>
      <w:r>
        <w:rPr>
          <w:rFonts w:ascii="仿宋_GB2312" w:hAnsi="仿宋_GB2312" w:eastAsia="仿宋_GB2312"/>
          <w:b w:val="0"/>
          <w:sz w:val="32"/>
        </w:rPr>
        <w:t>二、《收入决算表》</w:t>
      </w:r>
    </w:p>
    <w:p w14:paraId="2859280D">
      <w:pPr>
        <w:spacing w:line="240" w:lineRule="auto"/>
        <w:ind w:firstLine="640"/>
        <w:jc w:val="both"/>
      </w:pPr>
      <w:r>
        <w:rPr>
          <w:rFonts w:ascii="仿宋_GB2312" w:hAnsi="仿宋_GB2312" w:eastAsia="仿宋_GB2312"/>
          <w:b w:val="0"/>
          <w:sz w:val="32"/>
        </w:rPr>
        <w:t>三、《支出决算表》</w:t>
      </w:r>
    </w:p>
    <w:p w14:paraId="1697FA76">
      <w:pPr>
        <w:spacing w:line="240" w:lineRule="auto"/>
        <w:ind w:firstLine="640"/>
        <w:jc w:val="both"/>
      </w:pPr>
      <w:r>
        <w:rPr>
          <w:rFonts w:ascii="仿宋_GB2312" w:hAnsi="仿宋_GB2312" w:eastAsia="仿宋_GB2312"/>
          <w:b w:val="0"/>
          <w:sz w:val="32"/>
        </w:rPr>
        <w:t>四、《财政拨款收入支出决算总表》</w:t>
      </w:r>
    </w:p>
    <w:p w14:paraId="438E9740">
      <w:pPr>
        <w:spacing w:line="240" w:lineRule="auto"/>
        <w:ind w:firstLine="640"/>
        <w:jc w:val="both"/>
      </w:pPr>
      <w:r>
        <w:rPr>
          <w:rFonts w:ascii="仿宋_GB2312" w:hAnsi="仿宋_GB2312" w:eastAsia="仿宋_GB2312"/>
          <w:b w:val="0"/>
          <w:sz w:val="32"/>
        </w:rPr>
        <w:t>五、《一般公共预算财政拨款支出决算表》</w:t>
      </w:r>
    </w:p>
    <w:p w14:paraId="4F8DD3AC">
      <w:pPr>
        <w:spacing w:line="240" w:lineRule="auto"/>
        <w:ind w:firstLine="640"/>
        <w:jc w:val="both"/>
      </w:pPr>
      <w:r>
        <w:rPr>
          <w:rFonts w:ascii="仿宋_GB2312" w:hAnsi="仿宋_GB2312" w:eastAsia="仿宋_GB2312"/>
          <w:b w:val="0"/>
          <w:sz w:val="32"/>
        </w:rPr>
        <w:t>六、《一般公共预算财政拨款基本支出决算表》</w:t>
      </w:r>
    </w:p>
    <w:p w14:paraId="4EEAB35F">
      <w:pPr>
        <w:spacing w:line="240" w:lineRule="auto"/>
        <w:ind w:firstLine="640"/>
        <w:jc w:val="both"/>
      </w:pPr>
      <w:r>
        <w:rPr>
          <w:rFonts w:ascii="仿宋_GB2312" w:hAnsi="仿宋_GB2312" w:eastAsia="仿宋_GB2312"/>
          <w:b w:val="0"/>
          <w:sz w:val="32"/>
        </w:rPr>
        <w:t>七、《政府性基金预算财政拨款收入支出决算表》</w:t>
      </w:r>
    </w:p>
    <w:p w14:paraId="657E8351">
      <w:pPr>
        <w:spacing w:line="240" w:lineRule="auto"/>
        <w:ind w:firstLine="640"/>
        <w:jc w:val="both"/>
      </w:pPr>
      <w:r>
        <w:rPr>
          <w:rFonts w:ascii="仿宋_GB2312" w:hAnsi="仿宋_GB2312" w:eastAsia="仿宋_GB2312"/>
          <w:b w:val="0"/>
          <w:sz w:val="32"/>
        </w:rPr>
        <w:t>八、《国有资本经营预算财政拨款收入支出决算表》</w:t>
      </w:r>
    </w:p>
    <w:p w14:paraId="32DEACDB">
      <w:pPr>
        <w:spacing w:line="240" w:lineRule="auto"/>
        <w:ind w:firstLine="640"/>
        <w:jc w:val="both"/>
      </w:pPr>
      <w:r>
        <w:rPr>
          <w:rFonts w:ascii="仿宋_GB2312" w:hAnsi="仿宋_GB2312" w:eastAsia="仿宋_GB2312"/>
          <w:b w:val="0"/>
          <w:sz w:val="32"/>
        </w:rPr>
        <w:t>九、《财政拨款“三公”经费支出决算表》</w:t>
      </w:r>
    </w:p>
    <w:p w14:paraId="7EDE407D">
      <w:pPr>
        <w:spacing w:line="240" w:lineRule="auto"/>
        <w:ind w:firstLine="640"/>
        <w:jc w:val="both"/>
      </w:pPr>
    </w:p>
    <w:p w14:paraId="6AAAC5A2">
      <w:pPr>
        <w:spacing w:line="240" w:lineRule="auto"/>
        <w:ind w:firstLine="640"/>
        <w:jc w:val="both"/>
      </w:pPr>
    </w:p>
    <w:p w14:paraId="3123F02C">
      <w:pPr>
        <w:spacing w:line="240" w:lineRule="auto"/>
        <w:ind w:firstLine="640"/>
        <w:jc w:val="both"/>
      </w:pPr>
    </w:p>
    <w:p w14:paraId="585F4643">
      <w:pPr>
        <w:spacing w:line="240" w:lineRule="auto"/>
        <w:ind w:firstLine="640"/>
        <w:jc w:val="both"/>
      </w:pPr>
    </w:p>
    <w:p w14:paraId="393104E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E23FD5"/>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1267EE"/>
    <w:rsid w:val="795A0A34"/>
    <w:rsid w:val="7A0D3BC7"/>
    <w:rsid w:val="7A3A3CDB"/>
    <w:rsid w:val="7CB225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95957d00-62d9-43fb-a822-6deb2427c75f</errorID>
      <errorWord>2月31日</errorWord>
      <group>L1_Sensitive</group>
      <groupName>敏感问题</groupName>
      <ability>L2_UserSensitive</ability>
      <abilityName>自定义敏感词</abilityName>
      <candidateList/>
      <explain>来自自定义敏感词库。</explain>
      <paraID>31D61F18</paraID>
      <start>8</start>
      <end>13</end>
      <status>ignored</status>
      <modifiedWord/>
      <trackRevisions>false</trackRevisions>
    </reviewItem>
    <reviewItem>
      <errorID>3417346d-81d8-4517-989c-339b8f86b7d5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6B3009BC</paraID>
      <start>0</start>
      <end>2</end>
      <status>modified</status>
      <modifiedWord>1.</modifiedWord>
      <trackRevisions>false</trackRevisions>
    </reviewItem>
    <reviewItem>
      <errorID>e76b4be4-da1d-4de3-979e-9b689094d8e8</errorID>
      <errorWord>医疗救助</errorWord>
      <group>L1_Sensitive</group>
      <groupName>敏感问题</groupName>
      <ability>L2_UserSensitive</ability>
      <abilityName>自定义敏感词</abilityName>
      <candidateList/>
      <explain>来自自定义敏感词库。</explain>
      <paraID>6B3009BC</paraID>
      <start>58</start>
      <end>62</end>
      <status>unmodified</status>
      <modifiedWord/>
      <trackRevisions>false</trackRevisions>
    </reviewItem>
    <reviewItem>
      <errorID>b18bbb74-2520-41e8-bb80-18af93aa325f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37BDB487</paraID>
      <start>0</start>
      <end>2</end>
      <status>modified</status>
      <modifiedWord>1.</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246524-1574-48f4-a41f-9c778fb66245}">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5118</Words>
  <Characters>5800</Characters>
  <Lines>0</Lines>
  <Paragraphs>0</Paragraphs>
  <TotalTime>12</TotalTime>
  <ScaleCrop>false</ScaleCrop>
  <LinksUpToDate>false</LinksUpToDate>
  <CharactersWithSpaces>5808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2025-12-02T10:24:31Z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