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5C1360"/>
    <w:p w14:paraId="7E322897">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3CD16FDB">
      <w:pPr>
        <w:spacing w:line="540" w:lineRule="exact"/>
        <w:jc w:val="center"/>
        <w:rPr>
          <w:rFonts w:ascii="华文中宋" w:hAnsi="华文中宋" w:eastAsia="华文中宋" w:cs="宋体"/>
          <w:b/>
          <w:kern w:val="0"/>
          <w:sz w:val="52"/>
          <w:szCs w:val="52"/>
        </w:rPr>
      </w:pPr>
    </w:p>
    <w:p w14:paraId="690CF75C">
      <w:pPr>
        <w:spacing w:line="540" w:lineRule="exact"/>
        <w:jc w:val="center"/>
        <w:rPr>
          <w:rFonts w:ascii="华文中宋" w:hAnsi="华文中宋" w:eastAsia="华文中宋" w:cs="宋体"/>
          <w:b/>
          <w:kern w:val="0"/>
          <w:sz w:val="52"/>
          <w:szCs w:val="52"/>
        </w:rPr>
      </w:pPr>
    </w:p>
    <w:p w14:paraId="0AD45ABE">
      <w:pPr>
        <w:spacing w:line="540" w:lineRule="exact"/>
        <w:jc w:val="center"/>
        <w:rPr>
          <w:rFonts w:ascii="华文中宋" w:hAnsi="华文中宋" w:eastAsia="华文中宋" w:cs="宋体"/>
          <w:b/>
          <w:kern w:val="0"/>
          <w:sz w:val="52"/>
          <w:szCs w:val="52"/>
        </w:rPr>
      </w:pPr>
    </w:p>
    <w:p w14:paraId="2A73B9DA">
      <w:pPr>
        <w:spacing w:line="540" w:lineRule="exact"/>
        <w:jc w:val="center"/>
        <w:rPr>
          <w:rFonts w:ascii="华文中宋" w:hAnsi="华文中宋" w:eastAsia="华文中宋" w:cs="宋体"/>
          <w:b/>
          <w:kern w:val="0"/>
          <w:sz w:val="52"/>
          <w:szCs w:val="52"/>
        </w:rPr>
      </w:pPr>
    </w:p>
    <w:p w14:paraId="507341E7">
      <w:pPr>
        <w:spacing w:line="540" w:lineRule="exact"/>
        <w:jc w:val="center"/>
        <w:rPr>
          <w:rFonts w:ascii="华文中宋" w:hAnsi="华文中宋" w:eastAsia="华文中宋" w:cs="宋体"/>
          <w:b/>
          <w:kern w:val="0"/>
          <w:sz w:val="52"/>
          <w:szCs w:val="52"/>
        </w:rPr>
      </w:pPr>
    </w:p>
    <w:p w14:paraId="2E114C47">
      <w:pPr>
        <w:spacing w:line="540" w:lineRule="exact"/>
        <w:jc w:val="center"/>
        <w:rPr>
          <w:rFonts w:ascii="华文中宋" w:hAnsi="华文中宋" w:eastAsia="华文中宋" w:cs="宋体"/>
          <w:b/>
          <w:kern w:val="0"/>
          <w:sz w:val="52"/>
          <w:szCs w:val="52"/>
        </w:rPr>
      </w:pPr>
    </w:p>
    <w:p w14:paraId="7A99418F">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3E02ED01">
      <w:pPr>
        <w:spacing w:line="540" w:lineRule="exact"/>
        <w:jc w:val="center"/>
        <w:rPr>
          <w:rFonts w:ascii="华文中宋" w:hAnsi="华文中宋" w:eastAsia="华文中宋" w:cs="宋体"/>
          <w:b/>
          <w:kern w:val="0"/>
          <w:sz w:val="52"/>
          <w:szCs w:val="52"/>
        </w:rPr>
      </w:pPr>
    </w:p>
    <w:p w14:paraId="6AB34493">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39CBFEB0">
      <w:pPr>
        <w:spacing w:line="540" w:lineRule="exact"/>
        <w:jc w:val="center"/>
        <w:rPr>
          <w:rFonts w:hAnsi="宋体" w:eastAsia="仿宋_GB2312" w:cs="宋体"/>
          <w:kern w:val="0"/>
          <w:sz w:val="30"/>
          <w:szCs w:val="30"/>
        </w:rPr>
      </w:pPr>
    </w:p>
    <w:p w14:paraId="674128D9">
      <w:pPr>
        <w:spacing w:line="540" w:lineRule="exact"/>
        <w:jc w:val="center"/>
        <w:rPr>
          <w:rFonts w:hAnsi="宋体" w:eastAsia="仿宋_GB2312" w:cs="宋体"/>
          <w:kern w:val="0"/>
          <w:sz w:val="30"/>
          <w:szCs w:val="30"/>
        </w:rPr>
      </w:pPr>
    </w:p>
    <w:p w14:paraId="21DB49CB">
      <w:pPr>
        <w:spacing w:line="540" w:lineRule="exact"/>
        <w:jc w:val="center"/>
        <w:rPr>
          <w:rFonts w:hAnsi="宋体" w:eastAsia="仿宋_GB2312" w:cs="宋体"/>
          <w:kern w:val="0"/>
          <w:sz w:val="30"/>
          <w:szCs w:val="30"/>
        </w:rPr>
      </w:pPr>
    </w:p>
    <w:p w14:paraId="60AE7B21">
      <w:pPr>
        <w:spacing w:line="540" w:lineRule="exact"/>
        <w:jc w:val="center"/>
        <w:rPr>
          <w:rFonts w:hAnsi="宋体" w:eastAsia="仿宋_GB2312" w:cs="宋体"/>
          <w:kern w:val="0"/>
          <w:sz w:val="30"/>
          <w:szCs w:val="30"/>
        </w:rPr>
      </w:pPr>
    </w:p>
    <w:p w14:paraId="43D462D4">
      <w:pPr>
        <w:spacing w:line="540" w:lineRule="exact"/>
        <w:jc w:val="center"/>
        <w:rPr>
          <w:rFonts w:hAnsi="宋体" w:eastAsia="仿宋_GB2312" w:cs="宋体"/>
          <w:kern w:val="0"/>
          <w:sz w:val="30"/>
          <w:szCs w:val="30"/>
        </w:rPr>
      </w:pPr>
    </w:p>
    <w:p w14:paraId="31C22D1C">
      <w:pPr>
        <w:spacing w:line="540" w:lineRule="exact"/>
        <w:jc w:val="center"/>
        <w:rPr>
          <w:rFonts w:hAnsi="宋体" w:eastAsia="仿宋_GB2312" w:cs="宋体"/>
          <w:kern w:val="0"/>
          <w:sz w:val="30"/>
          <w:szCs w:val="30"/>
        </w:rPr>
      </w:pPr>
    </w:p>
    <w:p w14:paraId="2703E50A">
      <w:pPr>
        <w:spacing w:line="540" w:lineRule="exact"/>
        <w:rPr>
          <w:rFonts w:hAnsi="宋体" w:eastAsia="仿宋_GB2312" w:cs="宋体"/>
          <w:kern w:val="0"/>
          <w:sz w:val="30"/>
          <w:szCs w:val="30"/>
        </w:rPr>
      </w:pPr>
    </w:p>
    <w:p w14:paraId="2A19B334">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67A5AA86">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2024年自治区财政全民参保及医疗服务经费</w:t>
      </w:r>
    </w:p>
    <w:p w14:paraId="69719F36">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32"/>
          <w:szCs w:val="32"/>
        </w:rPr>
        <w:t>裕民县医疗保障局</w:t>
      </w:r>
    </w:p>
    <w:p w14:paraId="136703CB">
      <w:pPr>
        <w:spacing w:line="540" w:lineRule="exact"/>
        <w:ind w:firstLine="900" w:firstLineChars="250"/>
        <w:rPr>
          <w:rStyle w:val="19"/>
          <w:rFonts w:hint="eastAsia" w:ascii="楷体" w:hAnsi="楷体" w:eastAsia="楷体"/>
          <w:spacing w:val="-4"/>
          <w:sz w:val="32"/>
          <w:szCs w:val="32"/>
        </w:rPr>
      </w:pPr>
      <w:r>
        <w:rPr>
          <w:rFonts w:hint="eastAsia" w:hAnsi="宋体" w:eastAsia="仿宋_GB2312" w:cs="宋体"/>
          <w:kern w:val="0"/>
          <w:sz w:val="36"/>
          <w:szCs w:val="36"/>
        </w:rPr>
        <w:t>主管部门（公章）：</w:t>
      </w:r>
      <w:r>
        <w:rPr>
          <w:rStyle w:val="19"/>
          <w:rFonts w:hint="eastAsia" w:ascii="楷体" w:hAnsi="楷体" w:eastAsia="楷体"/>
          <w:spacing w:val="-4"/>
          <w:sz w:val="32"/>
          <w:szCs w:val="32"/>
        </w:rPr>
        <w:t>裕民县医疗保障局</w:t>
      </w:r>
    </w:p>
    <w:p w14:paraId="12328B72">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吴晗</w:t>
      </w:r>
    </w:p>
    <w:p w14:paraId="3C7E112C">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2025年03月14日</w:t>
      </w:r>
    </w:p>
    <w:p w14:paraId="39D967C1">
      <w:pPr>
        <w:spacing w:line="700" w:lineRule="exact"/>
        <w:ind w:firstLine="708" w:firstLineChars="236"/>
        <w:jc w:val="left"/>
        <w:rPr>
          <w:rFonts w:hAnsi="宋体" w:eastAsia="仿宋_GB2312" w:cs="宋体"/>
          <w:kern w:val="0"/>
          <w:sz w:val="30"/>
          <w:szCs w:val="30"/>
        </w:rPr>
      </w:pPr>
    </w:p>
    <w:p w14:paraId="78608A68">
      <w:pPr>
        <w:spacing w:line="540" w:lineRule="exact"/>
        <w:rPr>
          <w:rStyle w:val="19"/>
          <w:rFonts w:ascii="黑体" w:hAnsi="黑体" w:eastAsia="黑体"/>
          <w:b w:val="0"/>
          <w:spacing w:val="-4"/>
          <w:sz w:val="32"/>
          <w:szCs w:val="32"/>
        </w:rPr>
      </w:pPr>
    </w:p>
    <w:p w14:paraId="43932BDD">
      <w:pPr>
        <w:spacing w:line="540" w:lineRule="exact"/>
        <w:ind w:firstLine="936" w:firstLineChars="30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7AC84B1B">
      <w:pPr>
        <w:spacing w:line="540" w:lineRule="exact"/>
        <w:ind w:firstLine="940" w:firstLineChars="300"/>
        <w:rPr>
          <w:rStyle w:val="19"/>
          <w:rFonts w:ascii="楷体" w:hAnsi="楷体" w:eastAsia="楷体"/>
          <w:spacing w:val="-4"/>
          <w:sz w:val="32"/>
          <w:szCs w:val="32"/>
        </w:rPr>
      </w:pPr>
      <w:r>
        <w:rPr>
          <w:rStyle w:val="19"/>
          <w:rFonts w:hint="eastAsia" w:ascii="楷体" w:hAnsi="楷体" w:eastAsia="楷体"/>
          <w:spacing w:val="-4"/>
          <w:sz w:val="32"/>
          <w:szCs w:val="32"/>
        </w:rPr>
        <w:t>（一）项目概况</w:t>
      </w:r>
    </w:p>
    <w:p w14:paraId="4897F795">
      <w:pPr>
        <w:spacing w:line="540" w:lineRule="exact"/>
        <w:ind w:left="319" w:leftChars="152" w:firstLine="530" w:firstLineChars="17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p>
    <w:p w14:paraId="47ABCBE0">
      <w:pPr>
        <w:spacing w:line="540" w:lineRule="exact"/>
        <w:ind w:left="319" w:leftChars="152" w:firstLine="530" w:firstLineChars="17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根据塔地财社[2023]111号文件设立了2024年自治区财政全民参保及医疗服务经费项目补助资金。此项目按照自治区全民参保计划部署要求，逐步提高统筹地区医疗保险参保率。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2.项目主要内容：</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项目主要内容：1、使本地基本医疗保险参保率达到95%以上。2、使国家社保惠民的知晓率达到95%以上，群众的参保自觉性进一步提高，对于实现全民参保巨大的现实意义。</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实施情况：2024年自治区财政全民参保及医疗服务经费项目持续做好全民参保登记工作完成了基本医疗95%的保险参保率，建立了数据动态更新机制，达到了继续巩固企业职工基本医疗保险全覆盖水平，完善覆盖所辖企业的社会保障体系，加快推进全民参保，确保全民参保政策家喻户晓，参保率达到95%以上。</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3.资金投入和使用情况</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（1）资金投入情况</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该项目年初预算数3万元，全年预算数3万元，该项目资金已全部落实到位，资金来源为财政拨款。</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（2）资金使用情况</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该项目年初预算数3万元，全年预算数3万元，全年执行数3万元，预算执行率为100%，主要用于：2024年开展医疗保险全民参保及医疗服务工作。订制医保政策宣传单，加大全民参保宣传力度，项目实施有效提高医疗保险参保率达到95%以上。基本医疗保险和生育保险人数分别达到4万人、0.5万人以上的参保目标。</w:t>
      </w:r>
    </w:p>
    <w:p w14:paraId="5DE396F0">
      <w:pPr>
        <w:spacing w:line="540" w:lineRule="exact"/>
        <w:ind w:firstLine="940" w:firstLineChars="300"/>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4586C9D6">
      <w:pPr>
        <w:spacing w:line="540" w:lineRule="exact"/>
        <w:ind w:firstLine="936" w:firstLineChars="3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1.总体目标</w:t>
      </w:r>
    </w:p>
    <w:p w14:paraId="2B32C64E">
      <w:pPr>
        <w:spacing w:line="540" w:lineRule="exact"/>
        <w:ind w:firstLine="936" w:firstLineChars="3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一是提高城乡居民基本医疗保险全覆盖水平，完善城乡居</w:t>
      </w:r>
    </w:p>
    <w:p w14:paraId="36B06B15">
      <w:pPr>
        <w:spacing w:line="540" w:lineRule="exact"/>
        <w:ind w:left="631" w:leftChars="152" w:hanging="312" w:hanging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 xml:space="preserve">民医疗保险缴费激励机制。 </w:t>
      </w:r>
    </w:p>
    <w:p w14:paraId="3C6B64D9">
      <w:pPr>
        <w:spacing w:line="540" w:lineRule="exact"/>
        <w:ind w:left="319" w:leftChars="152"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二是广泛宣传医疗保险惠民政策知晓率95%，扩大医疗保险覆盖面完成参保率95%，确保“老有所养、病有所医”，提高人民群众的幸福感和获得感，参保群众满意度95%。定点医药机构现场检查次数不少于4次，医保政策宣传不少于2次。</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三是通过构建覆盖城乡居民医疗补助项目，参与城镇居民医疗补助项目人员能够按方案获得医疗服务，减轻家庭医疗支出压力，促进社会和谐稳定。</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2.阶段性目标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2024年1月至12月按照2024年自治区财政全民参保及医疗服务经费项目实施计划，持续做好全民参保登记工作，完成了基本医疗保险参保率达到95%的目标任务。继续巩固企业职工基本医疗保险全覆盖水平，加快推进全民社保，要进一步加大宣传力度，确保全民参保登记政策家喻户晓，实现了参保率达到95%以上。</w:t>
      </w:r>
    </w:p>
    <w:p w14:paraId="363CAA59">
      <w:pPr>
        <w:spacing w:line="540" w:lineRule="exact"/>
        <w:ind w:firstLine="936" w:firstLineChars="30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4669666C">
      <w:pPr>
        <w:spacing w:line="540" w:lineRule="exact"/>
        <w:ind w:firstLine="940" w:firstLineChars="300"/>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4CA6C45B">
      <w:pPr>
        <w:spacing w:line="540" w:lineRule="exact"/>
        <w:ind w:left="319" w:leftChars="152"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1.绩效评价完整性</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cr/>
      </w:r>
    </w:p>
    <w:p w14:paraId="0E36640F">
      <w:pPr>
        <w:spacing w:line="540" w:lineRule="exact"/>
        <w:ind w:left="319" w:leftChars="152"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2.绩效评价的目的</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（1）评估项目实施效果</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通过对项目预算执行情况及各项绩效目标达成程度的系统性分析，全面、客观地评估项目在预定周期内的实施效果，包括社会效益等多维度指标，为项目后续的改进与优化提供科学依据。</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（2）提升资源利用效率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（3）强化项目管理责任</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（4）为决策提供支持</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（5）促进项目持续改进</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3.绩效评价的对象</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预算绩效评价报告的评价对象是2024年自治区财政全民参保及医疗服务经费项目及其预算执行情况。该项目由裕民县医疗保障局负责实施，旨在通过项目实施有效提高医疗保险参保率，使国家社保惠民的知晓率达到95%以上，群众的参保自觉性进一步提高，对于实现全民参保巨大的现实意义。项目预算涵盖从2024年1月1日至2024年12月31日的全部资金投入与支出，涉及资金总额为3万元。</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4.绩效评价的范围</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本项目预算绩效评价报告的评价范围广泛而全面，涵盖了从项目立项至评价时点期间的所有关键预算活动和财务流程。具体而言，评价范围包括但不限于以下几个方面：</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（1）项目预算编制与执行：全面审视项目预算的编制依据、合理性、科学性以及实际执行情况，包括预算调整的原因和效果。</w:t>
      </w:r>
    </w:p>
    <w:p w14:paraId="150B2269">
      <w:pPr>
        <w:spacing w:line="540" w:lineRule="exact"/>
        <w:ind w:left="319" w:leftChars="152"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（2）资金管理：深入分析项目资金的分配、使用和监管情况，确保资金使用的合规性、高效性和透明度。</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（3）项目实施进度与产出：评估项目是否按照既定计划顺利推进，各项任务是否按时完成，以及项目产出的数量、质量和时效性是否符合预期。</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社会、生态等影响：考察项目对社会、生态、经济等方面的综合影响。</w:t>
      </w:r>
    </w:p>
    <w:p w14:paraId="099DC870">
      <w:pPr>
        <w:spacing w:line="540" w:lineRule="exact"/>
        <w:ind w:left="319" w:leftChars="152"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114F1E17">
      <w:pPr>
        <w:spacing w:line="540" w:lineRule="exact"/>
        <w:ind w:firstLine="936" w:firstLineChars="3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p>
    <w:p w14:paraId="54EA6C12">
      <w:pPr>
        <w:spacing w:line="540" w:lineRule="exact"/>
        <w:ind w:firstLine="936" w:firstLineChars="3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本次项目绩效评价遵循以下基本原则：</w:t>
      </w:r>
    </w:p>
    <w:p w14:paraId="6AE4D240">
      <w:pPr>
        <w:numPr>
          <w:ilvl w:val="0"/>
          <w:numId w:val="0"/>
        </w:numPr>
        <w:spacing w:line="540" w:lineRule="exact"/>
        <w:ind w:left="319" w:leftChars="152"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1</w:t>
      </w:r>
      <w:r>
        <w:rPr>
          <w:rStyle w:val="19"/>
          <w:rFonts w:hint="eastAsia" w:ascii="楷体" w:hAnsi="楷体" w:eastAsia="楷体"/>
          <w:b w:val="0"/>
          <w:bCs w:val="0"/>
          <w:spacing w:val="-4"/>
          <w:sz w:val="32"/>
          <w:szCs w:val="32"/>
        </w:rPr>
        <w:t>）科学公正。绩效评价应当运用科学合理的方法，按照规范的程序，对项目绩效进行客观、公正的反映。</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（4）公开透明。绩效评价结果应依法依规公开，并自觉接受社会监督。</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2.评价指标体系</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绩效评价框架是开展绩效评价的核心。绩效评价框架包括评价准则、关键评价问题、评价指标、数据来源、数据收集方法等。指标体系建立过程如下：</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（1）确定评价指标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（2）确定权重</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确定各个指标相对于项目总体绩效的权重分值。在绩效评价指标体系中，项目决策权重为20分，项目过程权重为20分，项目产出权重为40分，项目效益权重为20分。</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（3）确定指标标准值</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指标标准值是绩效评价指标的尺度，既要反映同类项目的先进水平，又要符合项目的实际绩效水平。具体采用计划标准等确定此次绩效评价指标标准值。</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绩效评价总分值100分，根据综合评分结果，90（含）-100分为优、80（含）-90分为良、60（含）-80分为中、60分以下为差。</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具体评价指标体系详情见附件1</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3.绩效评价方法</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绩效评价从项目决策、项目过程、项目产出、项目效益四个维度进行评价。评价对象为项目目标实施情况，评价核心为资金的支出完成情况和项目的产出效益。</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本次评价指标中，既有定性指标又有定量指标，各类指标因考核内容不同和客观标准不同存在较大差异，因此核定具体指标时采用了不同方法，具体评价方法如下：</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 xml:space="preserve">（一）成本效益分析法。是指将投入与产出、效益进行关联性分析的方法。 </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（二）比较法。是指将实施情况与绩效目标、历史情况、不同部门和地区同类支出情况进行比较的方法。</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（三）因素分析法。是指综合分析影响绩效目标实现、实施效果的内外部因素的方法。</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4.评价标准</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绩效评价标准通常包括计划标准、行业标准、历史标准等，用于对绩效指标完成情况进行比较、分析、评价。本次评价主要采用了计划标准、行业标准、历史标准。</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（1）计划标准。指以预先制定的目标、计划、预算、定额等作为评价标准。</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（2）行业标准。指参照国家公布的行业指标数据制定的评价标准。</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p>
    <w:p w14:paraId="77ADF1D1">
      <w:pPr>
        <w:spacing w:line="540" w:lineRule="exact"/>
        <w:ind w:firstLine="940" w:firstLineChars="300"/>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14:paraId="3A5768F9">
      <w:pPr>
        <w:spacing w:line="540" w:lineRule="exact"/>
        <w:ind w:left="958" w:leftChars="456" w:firstLine="0" w:firstLineChars="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（1）前期准备与规划</w:t>
      </w:r>
    </w:p>
    <w:p w14:paraId="3FDC516B">
      <w:pPr>
        <w:spacing w:line="540" w:lineRule="exact"/>
        <w:ind w:left="319" w:leftChars="152"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在项目绩效评价工作启动之初，成立了专门的评价工作小组，小组成员由财务主管、项目管理人员及业务骨干组成，确保从多角度、全方位对项目绩效进行评价。同时，明确了评价工作的目标、范围、重点及时间安排，制定了详细的工作计划，为评价工作的顺利开展奠定了坚实基础。</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（2）指标体系构建</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（3）数据收集与整理</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（4）数据分析与评估</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（5）报告撰写与反馈</w:t>
      </w:r>
    </w:p>
    <w:p w14:paraId="22B54530">
      <w:pPr>
        <w:spacing w:line="540" w:lineRule="exact"/>
        <w:ind w:left="319" w:leftChars="152"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（6）后续跟踪与改进</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068F5652">
      <w:pPr>
        <w:spacing w:line="540" w:lineRule="exact"/>
        <w:ind w:firstLine="936" w:firstLineChars="30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7F9E5613">
      <w:pPr>
        <w:spacing w:line="540" w:lineRule="exact"/>
        <w:ind w:firstLine="936" w:firstLineChars="3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（一）评价情况</w:t>
      </w:r>
    </w:p>
    <w:p w14:paraId="6C98B06C">
      <w:pPr>
        <w:spacing w:line="540" w:lineRule="exact"/>
        <w:ind w:left="319" w:leftChars="152"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的综合评价基于对项目各方面绩效的深入分析与评估。从项目目标的达成情况来看，2024年自治区财政全民参保及医疗服务经费项目在基本医疗保险参保人数、基本医疗保险参保率等方面表现出色，达到了预期的标准与要求。同时，项目也在医疗政策知晓率取得了显著的成效，如基本医疗保险参保率达到95%、国家社保惠民的知晓率达到95%以上等。</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在项目管理方面，裕民县医疗保障局通过有效的规划、组织与协调，项目得以顺利实施，并在预算与时间上保持了良好的控制。</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从项目效益的角度来看，本项目实现了社会效益方面产生的积极影响。具体而言，在国家社保惠民的知晓率方面也有所提升，为项目的相关者带来了实实在在的利益。</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综上所述，2024年自治区财政全民参保及医疗服务经费项目在绩效评价中表现出色，达到了项目的预期目标，并在多个方面取得了显著的成效。</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（二）评价结论</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 20分，得分率为 100%。项目过程类指标权重为20分，得分为20分，得分率为 100%。项目产出类指标权重为40分，得分为40分，得分率为100%。项目效益类指标权重为20分，得分为20分，得分率为100%。具体打分情况详见：附件1综合评分表。</w:t>
      </w:r>
    </w:p>
    <w:p w14:paraId="74036AB1">
      <w:pPr>
        <w:spacing w:line="540" w:lineRule="exact"/>
        <w:ind w:left="638" w:leftChars="304"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表1综合评分表</w:t>
      </w:r>
    </w:p>
    <w:p w14:paraId="422C7A24">
      <w:pPr>
        <w:keepNext w:val="0"/>
        <w:keepLines w:val="0"/>
        <w:pageBreakBefore w:val="0"/>
        <w:widowControl w:val="0"/>
        <w:kinsoku/>
        <w:wordWrap/>
        <w:overflowPunct/>
        <w:topLinePunct w:val="0"/>
        <w:autoSpaceDE/>
        <w:autoSpaceDN/>
        <w:bidi w:val="0"/>
        <w:adjustRightInd/>
        <w:snapToGrid/>
        <w:spacing w:line="540" w:lineRule="exact"/>
        <w:ind w:left="0" w:leftChars="0" w:firstLine="1560" w:firstLineChars="500"/>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一级指标</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权重分</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得分</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得分率</w:t>
      </w:r>
    </w:p>
    <w:p w14:paraId="392599B8">
      <w:pPr>
        <w:keepNext w:val="0"/>
        <w:keepLines w:val="0"/>
        <w:pageBreakBefore w:val="0"/>
        <w:widowControl w:val="0"/>
        <w:kinsoku/>
        <w:wordWrap/>
        <w:overflowPunct/>
        <w:topLinePunct w:val="0"/>
        <w:autoSpaceDE/>
        <w:autoSpaceDN/>
        <w:bidi w:val="0"/>
        <w:adjustRightInd/>
        <w:snapToGrid/>
        <w:spacing w:line="540" w:lineRule="exact"/>
        <w:ind w:left="0" w:leftChars="0" w:firstLine="1560" w:firstLineChars="500"/>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项目决策</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p>
    <w:p w14:paraId="74D2E00A">
      <w:pPr>
        <w:keepNext w:val="0"/>
        <w:keepLines w:val="0"/>
        <w:pageBreakBefore w:val="0"/>
        <w:widowControl w:val="0"/>
        <w:kinsoku/>
        <w:wordWrap/>
        <w:overflowPunct/>
        <w:topLinePunct w:val="0"/>
        <w:autoSpaceDE/>
        <w:autoSpaceDN/>
        <w:bidi w:val="0"/>
        <w:adjustRightInd/>
        <w:snapToGrid/>
        <w:spacing w:line="540" w:lineRule="exact"/>
        <w:ind w:left="0" w:leftChars="0" w:firstLine="1560" w:firstLineChars="500"/>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项目过程</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100%</w:t>
      </w:r>
    </w:p>
    <w:p w14:paraId="40DE1211">
      <w:pPr>
        <w:keepNext w:val="0"/>
        <w:keepLines w:val="0"/>
        <w:pageBreakBefore w:val="0"/>
        <w:widowControl w:val="0"/>
        <w:kinsoku/>
        <w:wordWrap/>
        <w:overflowPunct/>
        <w:topLinePunct w:val="0"/>
        <w:autoSpaceDE/>
        <w:autoSpaceDN/>
        <w:bidi w:val="0"/>
        <w:adjustRightInd/>
        <w:snapToGrid/>
        <w:spacing w:line="540" w:lineRule="exact"/>
        <w:ind w:left="0" w:leftChars="0" w:firstLine="1560" w:firstLineChars="500"/>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项目产出</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40</w:t>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100%</w:t>
      </w:r>
    </w:p>
    <w:p w14:paraId="7275B379">
      <w:pPr>
        <w:keepNext w:val="0"/>
        <w:keepLines w:val="0"/>
        <w:pageBreakBefore w:val="0"/>
        <w:widowControl w:val="0"/>
        <w:kinsoku/>
        <w:wordWrap/>
        <w:overflowPunct/>
        <w:topLinePunct w:val="0"/>
        <w:autoSpaceDE/>
        <w:autoSpaceDN/>
        <w:bidi w:val="0"/>
        <w:adjustRightInd/>
        <w:snapToGrid/>
        <w:spacing w:line="540" w:lineRule="exact"/>
        <w:ind w:left="0" w:leftChars="0" w:firstLine="1560" w:firstLineChars="500"/>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项目效益</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p>
    <w:p w14:paraId="194F46BB">
      <w:pPr>
        <w:keepNext w:val="0"/>
        <w:keepLines w:val="0"/>
        <w:pageBreakBefore w:val="0"/>
        <w:widowControl w:val="0"/>
        <w:kinsoku/>
        <w:wordWrap/>
        <w:overflowPunct/>
        <w:topLinePunct w:val="0"/>
        <w:autoSpaceDE/>
        <w:autoSpaceDN/>
        <w:bidi w:val="0"/>
        <w:adjustRightInd/>
        <w:snapToGrid/>
        <w:spacing w:line="540" w:lineRule="exact"/>
        <w:ind w:left="0" w:leftChars="0" w:firstLine="1560" w:firstLineChars="500"/>
        <w:textAlignment w:val="auto"/>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合计</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100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100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p>
    <w:p w14:paraId="120AC514">
      <w:pPr>
        <w:spacing w:line="540" w:lineRule="exact"/>
        <w:ind w:firstLine="936" w:firstLineChars="30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157D5E9D">
      <w:pPr>
        <w:spacing w:line="540" w:lineRule="exact"/>
        <w:ind w:firstLine="940" w:firstLineChars="300"/>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18B1B1A6">
      <w:pPr>
        <w:tabs>
          <w:tab w:val="center" w:pos="4295"/>
        </w:tabs>
        <w:spacing w:line="540" w:lineRule="exact"/>
        <w:ind w:left="319" w:leftChars="152"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项目决策类指标包括项目立项、绩效目标和资金投入三方面的内容，由6个三级指标构成，权重分值为20分，实际得分20分，得分率为100%。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1.项目立项</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（1）立项依据充分性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（2）立项程序规范性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风险评估、绩效评估，保障了程序的规范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2.绩效目标</w:t>
      </w:r>
    </w:p>
    <w:p w14:paraId="5DA0E884">
      <w:pPr>
        <w:tabs>
          <w:tab w:val="center" w:pos="4295"/>
        </w:tabs>
        <w:spacing w:line="540" w:lineRule="exact"/>
        <w:ind w:left="319" w:leftChars="152"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（1）绩效目标合理性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263E5477">
      <w:pPr>
        <w:tabs>
          <w:tab w:val="center" w:pos="4295"/>
        </w:tabs>
        <w:spacing w:line="540" w:lineRule="exact"/>
        <w:ind w:left="638" w:leftChars="304"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（2）绩效指标明确性</w:t>
      </w:r>
    </w:p>
    <w:p w14:paraId="14221043">
      <w:pPr>
        <w:tabs>
          <w:tab w:val="center" w:pos="4295"/>
        </w:tabs>
        <w:spacing w:line="540" w:lineRule="exact"/>
        <w:ind w:left="319" w:leftChars="152"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项目设置了明确的预期产出效益和效果，将绩效目标细化分解为具体的绩效指标，绩效目标与项目目标任务数相对应，绩效目标设定的绩效指标清晰、细化、可衡量。</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3.资金投入</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（1）预算编制科学性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（2）资金分配合理性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3EDAEB80">
      <w:pPr>
        <w:tabs>
          <w:tab w:val="center" w:pos="4295"/>
        </w:tabs>
        <w:spacing w:line="540" w:lineRule="exact"/>
        <w:ind w:left="319" w:leftChars="152" w:firstLine="624" w:firstLineChars="200"/>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19"/>
          <w:rFonts w:hint="eastAsia" w:ascii="楷体" w:hAnsi="楷体" w:eastAsia="楷体"/>
          <w:b w:val="0"/>
          <w:bCs w:val="0"/>
          <w:spacing w:val="-4"/>
          <w:sz w:val="32"/>
          <w:szCs w:val="32"/>
          <w:lang w:eastAsia="zh-CN"/>
        </w:rPr>
        <w:tab/>
      </w:r>
    </w:p>
    <w:p w14:paraId="1159A120">
      <w:pPr>
        <w:spacing w:line="540" w:lineRule="exact"/>
        <w:ind w:firstLine="940" w:firstLineChars="300"/>
        <w:rPr>
          <w:rStyle w:val="19"/>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9"/>
          <w:rFonts w:hint="eastAsia" w:ascii="楷体" w:hAnsi="楷体" w:eastAsia="楷体"/>
          <w:spacing w:val="-4"/>
          <w:sz w:val="32"/>
          <w:szCs w:val="32"/>
        </w:rPr>
        <w:t>项目过程情况</w:t>
      </w:r>
    </w:p>
    <w:p w14:paraId="0C9C900F">
      <w:pPr>
        <w:spacing w:line="540" w:lineRule="exact"/>
        <w:ind w:left="319" w:leftChars="152"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项目过程类指标包括资金管理和组织实施两方面的内容，由5个三级指标构成，权重分值为20分，实际得分20分，得分率为100%。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1.资金管理</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（1）资金到位率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本项目总投资3万元，财政资金及时足额到位，到位率100%，预算资金按计划进度执行。</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（2）预算执行率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预算编制较为详细，项目资金支出总体能够按照预算执行，预算资金支出3万元，预算执行率为100%。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（3）资金使用合规性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本项目的资金使用严格遵循了国家相关法律法规与财务制度，确保了资金的合规性与安全性。在资金使用过程中，我们建立了完善的财务管理体系，对资金的流动进行了全程监控与记录。</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2DAC483C">
      <w:pPr>
        <w:numPr>
          <w:ilvl w:val="0"/>
          <w:numId w:val="1"/>
        </w:numPr>
        <w:spacing w:line="540" w:lineRule="exact"/>
        <w:ind w:left="319" w:leftChars="152"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组织实施</w:t>
      </w:r>
    </w:p>
    <w:p w14:paraId="030BBCF4">
      <w:pPr>
        <w:numPr>
          <w:ilvl w:val="0"/>
          <w:numId w:val="2"/>
        </w:numPr>
        <w:spacing w:line="540" w:lineRule="exact"/>
        <w:ind w:left="739" w:leftChars="352"/>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管理制度健全性</w:t>
      </w:r>
    </w:p>
    <w:p w14:paraId="0BFDC373">
      <w:pPr>
        <w:numPr>
          <w:ilvl w:val="0"/>
          <w:numId w:val="0"/>
        </w:numPr>
        <w:spacing w:line="540" w:lineRule="exact"/>
        <w:ind w:left="319" w:leftChars="152"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在制度设计上，我们注重了制度的科学性与可操作性，确保制度能够切实指导项目的执行与管理。</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（2）制度执行有效性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p>
    <w:p w14:paraId="6E2527E4">
      <w:pPr>
        <w:numPr>
          <w:ilvl w:val="0"/>
          <w:numId w:val="0"/>
        </w:numPr>
        <w:spacing w:line="540" w:lineRule="exact"/>
        <w:ind w:left="319" w:leftChars="152"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综上所述，本项目的管理制度在执行过程中表现出了高度的有效性，既确保了项目的顺利进行，又实现了项目目标的有效达成。</w:t>
      </w:r>
    </w:p>
    <w:p w14:paraId="0AE8C47E">
      <w:pPr>
        <w:spacing w:line="540" w:lineRule="exact"/>
        <w:ind w:firstLine="940" w:firstLineChars="300"/>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9"/>
          <w:rFonts w:hint="eastAsia" w:ascii="楷体" w:hAnsi="楷体" w:eastAsia="楷体"/>
          <w:spacing w:val="-4"/>
          <w:sz w:val="32"/>
          <w:szCs w:val="32"/>
        </w:rPr>
        <w:t>项目产出情况</w:t>
      </w:r>
    </w:p>
    <w:p w14:paraId="2F4DDFAA">
      <w:pPr>
        <w:spacing w:line="540" w:lineRule="exact"/>
        <w:ind w:left="319" w:leftChars="152"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项目产出类指标包括产出数量、产出质量、产出时效、产出成本四方面的内容，由6个三级指标构成，权重分为40分，实际得分40分，得分率为100%。具体产出指标完成情况如下：</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①数量指标：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指标1：生育保险参保人数 ，指标值：&gt;=0.5万人，实际完成值：0.61万人，指标完成率122%，偏差原因：年初制定指标时过于保守，数额确定的较低；改进措施：在今后的工作中要敢于创新不断提高目标任务，再创佳绩。</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指标2：基本医疗保险参保人数，指标值：4万人 ，实际完成值：4.61万人，指标完成率115.25%，偏差原因：年初制定指标时过于保守，数额确定的较低；改进措施：在今后的工作中要敢于创新不断提高目标任务，再创佳绩。</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②质量指标：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指标：基本医疗保险参保率，指标值：&gt;=95%，实际完成值：96%，指标完成率101%，偏差较小与目标值保持一致。</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③时效指标：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指标：按时报送各项社会保险基金季报数据及分析，指标值：每季度结束后的15日内，实际完成值：每季度结束后的15日内，指标完成率100%。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④成本指标：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指标1：全民参保业务经办服务支出，指标值：&gt;=2万元，实际完成值：2万元，指标完成率100%。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指标2：全民参保宣传及能力提升支出，指标值：&gt;=1万元，实际完成值：1万元，指标完成率100%。</w:t>
      </w:r>
    </w:p>
    <w:p w14:paraId="161C1B9D">
      <w:pPr>
        <w:spacing w:line="540" w:lineRule="exact"/>
        <w:ind w:firstLine="940" w:firstLineChars="300"/>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9"/>
          <w:rFonts w:hint="eastAsia" w:ascii="楷体" w:hAnsi="楷体" w:eastAsia="楷体"/>
          <w:spacing w:val="-4"/>
          <w:sz w:val="32"/>
          <w:szCs w:val="32"/>
        </w:rPr>
        <w:t>项目效益情况</w:t>
      </w:r>
    </w:p>
    <w:p w14:paraId="50D9A045">
      <w:pPr>
        <w:spacing w:line="540" w:lineRule="exact"/>
        <w:ind w:left="319" w:leftChars="152"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项目效益类指标包括项目实施效益和满意度两方面的内容，由2个三级指标构成，权重分为20分，实际得分20分，得分率为100%。具体效益指标及满意度指标完成情况如下：</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1.实施效益</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社会效益指标：医疗政策知晓率，指标值：95%，实际完成值：95.3%，指标完成率100.32%。</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2.满意度</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满意度指标：基本医疗保险参保群众满意度，指标值：90%，实际完成值：91.67%，指标完成率101.85.%。</w:t>
      </w:r>
    </w:p>
    <w:p w14:paraId="7E228747">
      <w:pPr>
        <w:spacing w:line="540" w:lineRule="exact"/>
        <w:ind w:firstLine="936" w:firstLineChars="300"/>
        <w:rPr>
          <w:rStyle w:val="19"/>
          <w:rFonts w:ascii="黑体" w:hAnsi="黑体" w:eastAsia="黑体"/>
          <w:b w:val="0"/>
          <w:spacing w:val="-4"/>
          <w:sz w:val="32"/>
          <w:szCs w:val="32"/>
        </w:rPr>
      </w:pPr>
      <w:r>
        <w:rPr>
          <w:rStyle w:val="19"/>
          <w:rFonts w:hint="eastAsia" w:ascii="黑体" w:hAnsi="黑体" w:eastAsia="黑体"/>
          <w:b w:val="0"/>
          <w:spacing w:val="-4"/>
          <w:sz w:val="32"/>
          <w:szCs w:val="32"/>
        </w:rPr>
        <w:t>五、预算执行进度与绩效指标偏差</w:t>
      </w:r>
    </w:p>
    <w:p w14:paraId="26E792D7">
      <w:pPr>
        <w:spacing w:line="540" w:lineRule="exact"/>
        <w:ind w:left="319" w:leftChars="152" w:firstLine="624" w:firstLineChars="200"/>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2024年自治区财政全民参保及医疗服务经费项目年初预算3万元，全年预算3万元，实际支出3万元，预算执行率为100%，项目绩效指标总体完成率为105.06%，总体偏差率为5.06%。偏差原因：年初制定指标时过于保守，数额确定的较低；改进措施：在今后的工作中要敢于创新不断提高目标任务，再创佳绩。</w:t>
      </w:r>
    </w:p>
    <w:p w14:paraId="4FBE11F7">
      <w:pPr>
        <w:spacing w:line="540" w:lineRule="exact"/>
        <w:ind w:firstLine="936" w:firstLineChars="300"/>
        <w:rPr>
          <w:rStyle w:val="19"/>
          <w:rFonts w:ascii="黑体" w:hAnsi="黑体" w:eastAsia="黑体"/>
          <w:b w:val="0"/>
          <w:spacing w:val="-4"/>
          <w:sz w:val="32"/>
          <w:szCs w:val="32"/>
        </w:rPr>
      </w:pPr>
      <w:r>
        <w:rPr>
          <w:rStyle w:val="19"/>
          <w:rFonts w:hint="eastAsia" w:ascii="黑体" w:hAnsi="黑体" w:eastAsia="黑体"/>
          <w:b w:val="0"/>
          <w:spacing w:val="-4"/>
          <w:sz w:val="32"/>
          <w:szCs w:val="32"/>
        </w:rPr>
        <w:t>六、主要经验及做法、存在的问题及原因分析</w:t>
      </w:r>
    </w:p>
    <w:p w14:paraId="19052252">
      <w:pPr>
        <w:spacing w:line="540" w:lineRule="exact"/>
        <w:ind w:left="638" w:leftChars="304"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（一）主要经验及做法</w:t>
      </w:r>
    </w:p>
    <w:p w14:paraId="38A6A205">
      <w:pPr>
        <w:spacing w:line="540" w:lineRule="exact"/>
        <w:ind w:left="319" w:leftChars="152" w:firstLine="624" w:firstLineChars="200"/>
        <w:rPr>
          <w:rStyle w:val="19"/>
          <w:rFonts w:hint="eastAsia" w:ascii="楷体" w:hAnsi="楷体" w:eastAsia="楷体"/>
          <w:b w:val="0"/>
          <w:bCs w:val="0"/>
          <w:spacing w:val="-4"/>
          <w:sz w:val="32"/>
          <w:szCs w:val="32"/>
          <w:lang w:val="en-US" w:eastAsia="zh-CN"/>
        </w:rPr>
      </w:pPr>
      <w:r>
        <w:rPr>
          <w:rStyle w:val="19"/>
          <w:rFonts w:hint="eastAsia" w:ascii="楷体" w:hAnsi="楷体" w:eastAsia="楷体"/>
          <w:b w:val="0"/>
          <w:bCs w:val="0"/>
          <w:spacing w:val="-4"/>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（二）存在的问题及原因分析</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1.相关绩效管理方面专业知识的系统性学习有待加强。各项指标的设置要进一步优化、完善，主要在细化、量化上改进。</w:t>
      </w:r>
      <w:r>
        <w:rPr>
          <w:rStyle w:val="19"/>
          <w:rFonts w:hint="eastAsia" w:ascii="楷体" w:hAnsi="楷体" w:eastAsia="楷体"/>
          <w:b w:val="0"/>
          <w:bCs w:val="0"/>
          <w:spacing w:val="-4"/>
          <w:sz w:val="32"/>
          <w:szCs w:val="32"/>
          <w:lang w:val="en-US" w:eastAsia="zh-CN"/>
        </w:rPr>
        <w:t xml:space="preserve">  </w:t>
      </w:r>
    </w:p>
    <w:p w14:paraId="49EA9667">
      <w:pPr>
        <w:spacing w:line="540" w:lineRule="exact"/>
        <w:ind w:left="319" w:leftChars="152" w:firstLine="624" w:firstLineChars="200"/>
        <w:rPr>
          <w:rFonts w:ascii="仿宋_GB2312" w:eastAsia="仿宋_GB2312"/>
          <w:spacing w:val="-4"/>
          <w:sz w:val="32"/>
          <w:szCs w:val="32"/>
        </w:rPr>
      </w:pPr>
      <w:r>
        <w:rPr>
          <w:rStyle w:val="19"/>
          <w:rFonts w:hint="eastAsia" w:ascii="楷体" w:hAnsi="楷体" w:eastAsia="楷体"/>
          <w:b w:val="0"/>
          <w:bCs w:val="0"/>
          <w:spacing w:val="-4"/>
          <w:sz w:val="32"/>
          <w:szCs w:val="32"/>
        </w:rPr>
        <w:t>在绩效自评过程中，由干部分人员缺乏相关绩效管理专业知识，自评价工作还存在自我审定的局限性，影响评价质量。</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2.因轮岗、调动等因素使我单位绩效工作人员流动频繁，造成工作衔接不到位的情况。</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加强绩效预算管理工作，按照预算编制相关制度要求，公用经费根据单位的人员编制和年度项目工作要求做好规划，本着“勤俭节约、保障运转”原则进行预算编制。编制范围（含政府采购预算）尽可能做到全面，提高工作科学性、合理性、严谨性和可控性。</w:t>
      </w:r>
    </w:p>
    <w:p w14:paraId="72285148">
      <w:pPr>
        <w:spacing w:line="540" w:lineRule="exact"/>
        <w:ind w:firstLine="936" w:firstLineChars="30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、有关建议</w:t>
      </w:r>
    </w:p>
    <w:p w14:paraId="65200A8F">
      <w:pPr>
        <w:spacing w:line="540" w:lineRule="exact"/>
        <w:ind w:left="319" w:leftChars="152" w:firstLine="624" w:firstLineChars="200"/>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1.多进行有关绩效管理工作方面的培训。积极组织第三方开展绩效管理工作培训，进一步夯实业务基础，提高我单位绩效人员水平。</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2.专门设定对绩效工作人员定职、定岗、定责等相关制度措施，进一步提升我单位绩效管理工作业务水平，扎实做好绩效管理工作。</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4.进一步完善项目评价过程中有关数据和资料的收集、整理、审核及分析。项目启动时同步做好档案的归纳与整理，及时整理、收集、汇总，健全档案资料。项目后续管理有待进一步加强和跟踪。</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22764EB6">
      <w:pPr>
        <w:spacing w:line="540" w:lineRule="exact"/>
        <w:ind w:firstLine="936" w:firstLineChars="30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八</w:t>
      </w:r>
      <w:r>
        <w:rPr>
          <w:rStyle w:val="19"/>
          <w:rFonts w:hint="eastAsia" w:ascii="黑体" w:hAnsi="黑体" w:eastAsia="黑体"/>
          <w:b w:val="0"/>
          <w:spacing w:val="-4"/>
          <w:sz w:val="32"/>
          <w:szCs w:val="32"/>
        </w:rPr>
        <w:t>、其他需要说明的问题</w:t>
      </w:r>
    </w:p>
    <w:p w14:paraId="56BA6A01">
      <w:pPr>
        <w:spacing w:line="540" w:lineRule="exact"/>
        <w:ind w:firstLine="936" w:firstLineChars="3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本项目无其他需说明的问题。</w:t>
      </w:r>
      <w:bookmarkStart w:id="0" w:name="_GoBack"/>
      <w:bookmarkEnd w:id="0"/>
    </w:p>
    <w:p w14:paraId="1A916FF5">
      <w:pPr>
        <w:spacing w:line="540" w:lineRule="exact"/>
        <w:rPr>
          <w:rStyle w:val="19"/>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5F6170E-0CDA-49F4-96EA-DB36334D5F6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2AA66F4B-6674-4428-9E87-6C8321DBB877}"/>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08BCA74E-AB3C-4146-8776-C8EDFA576D88}"/>
  </w:font>
  <w:font w:name="华文中宋">
    <w:panose1 w:val="02010600040101010101"/>
    <w:charset w:val="86"/>
    <w:family w:val="auto"/>
    <w:pitch w:val="default"/>
    <w:sig w:usb0="00000287" w:usb1="080F0000" w:usb2="00000000" w:usb3="00000000" w:csb0="0004009F" w:csb1="DFD70000"/>
    <w:embedRegular r:id="rId4" w:fontKey="{535ABF8E-5160-4CF8-88C5-BF14BA6C2BDE}"/>
  </w:font>
  <w:font w:name="方正小标宋_GBK">
    <w:panose1 w:val="02000000000000000000"/>
    <w:charset w:val="86"/>
    <w:family w:val="script"/>
    <w:pitch w:val="default"/>
    <w:sig w:usb0="A00002BF" w:usb1="38CF7CFA" w:usb2="00082016" w:usb3="00000000" w:csb0="00040001" w:csb1="00000000"/>
    <w:embedRegular r:id="rId5" w:fontKey="{4346DA8B-6D3F-4D67-A981-1B77F8E4430E}"/>
  </w:font>
  <w:font w:name="仿宋_GB2312">
    <w:panose1 w:val="02010609030101010101"/>
    <w:charset w:val="86"/>
    <w:family w:val="auto"/>
    <w:pitch w:val="default"/>
    <w:sig w:usb0="00000001" w:usb1="080E0000" w:usb2="00000000" w:usb3="00000000" w:csb0="00040000" w:csb1="00000000"/>
    <w:embedRegular r:id="rId6" w:fontKey="{D8709C81-4405-40A8-A221-97FBD5B6903D}"/>
  </w:font>
  <w:font w:name="楷体">
    <w:panose1 w:val="02010609060101010101"/>
    <w:charset w:val="86"/>
    <w:family w:val="modern"/>
    <w:pitch w:val="default"/>
    <w:sig w:usb0="800002BF" w:usb1="38CF7CFA" w:usb2="00000016" w:usb3="00000000" w:csb0="00040001" w:csb1="00000000"/>
    <w:embedRegular r:id="rId7" w:fontKey="{A38EB530-B65E-4AB7-BCB1-22A90AA15BD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2BFD01EC">
        <w:pPr>
          <w:pStyle w:val="12"/>
          <w:jc w:val="center"/>
        </w:pPr>
        <w:r>
          <w:fldChar w:fldCharType="begin"/>
        </w:r>
        <w:r>
          <w:instrText xml:space="preserve">PAGE   \* MERGEFORMAT</w:instrText>
        </w:r>
        <w:r>
          <w:fldChar w:fldCharType="separate"/>
        </w:r>
        <w:r>
          <w:rPr>
            <w:lang w:val="zh-CN"/>
          </w:rPr>
          <w:t>1</w:t>
        </w:r>
        <w:r>
          <w:fldChar w:fldCharType="end"/>
        </w:r>
      </w:p>
    </w:sdtContent>
  </w:sdt>
  <w:p w14:paraId="42D23936">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1"/>
      <w:numFmt w:val="decimal"/>
      <w:suff w:val="nothing"/>
      <w:lvlText w:val="（%1）"/>
      <w:lvlJc w:val="left"/>
    </w:lvl>
  </w:abstractNum>
  <w:abstractNum w:abstractNumId="1">
    <w:nsid w:val="0053208E"/>
    <w:multiLevelType w:val="singleLevel"/>
    <w:tmpl w:val="0053208E"/>
    <w:lvl w:ilvl="0" w:tentative="0">
      <w:start w:val="2"/>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7AC45CCA"/>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57DBCEFD8A8B44A28397D5FCCFAB60A5_13</vt:lpwstr>
  </property>
  <property fmtid="{D5CDD505-2E9C-101B-9397-08002B2CF9AE}" pid="4" name="KSOTemplateDocerSaveRecord">
    <vt:lpwstr>eyJoZGlkIjoiN2E3N2ExYzQ4Y2ZkM2M3YzkyYWJlNmM3ZmI1MTU5NzYiLCJ1c2VySWQiOiIxMTI0OTc0MjY4In0=</vt:lpwstr>
  </property>
</Properties>
</file>

<file path=customXml/itemProps1.xml><?xml version="1.0" encoding="utf-8"?>
<ds:datastoreItem xmlns:ds="http://schemas.openxmlformats.org/officeDocument/2006/customXml" ds:itemID="{309c9aef-4710-46ce-82c1-111d19d37061}">
  <ds:schemaRefs/>
</ds:datastoreItem>
</file>

<file path=docProps/app.xml><?xml version="1.0" encoding="utf-8"?>
<Properties xmlns="http://schemas.openxmlformats.org/officeDocument/2006/extended-properties" xmlns:vt="http://schemas.openxmlformats.org/officeDocument/2006/docPropsVTypes">
  <Template>Normal.dotm</Template>
  <Pages>20</Pages>
  <Words>9793</Words>
  <Characters>10084</Characters>
  <Lines>5</Lines>
  <Paragraphs>1</Paragraphs>
  <TotalTime>8</TotalTime>
  <ScaleCrop>false</ScaleCrop>
  <LinksUpToDate>false</LinksUpToDate>
  <CharactersWithSpaces>10662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雨。</cp:lastModifiedBy>
  <cp:lastPrinted>2018-12-31T10:56:00Z</cp:lastPrinted>
  <dcterms:modified xsi:type="dcterms:W3CDTF">2025-11-07T04:46:12Z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57DBCEFD8A8B44A28397D5FCCFAB60A5_13</vt:lpwstr>
  </property>
  <property fmtid="{D5CDD505-2E9C-101B-9397-08002B2CF9AE}" pid="4" name="KSOTemplateDocerSaveRecord">
    <vt:lpwstr>eyJoZGlkIjoiN2E3N2ExYzQ4Y2ZkM2M3YzkyYWJlNmM3ZmI1MTU5NzYiLCJ1c2VySWQiOiIxMTI0OTc0MjY4In0_x003D_</vt:lpwstr>
  </property>
</Properties>
</file>