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8B4B9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裕民县农业机械化技术学校2024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6D6A0A">
      <w:r>
        <w:br w:type="page"/>
      </w:r>
    </w:p>
    <w:p w14:paraId="28AAA3D1">
      <w:pPr>
        <w:spacing w:line="640" w:lineRule="exact"/>
        <w:jc w:val="center"/>
        <w:outlineLvl w:val="1"/>
      </w:pPr>
      <w:r>
        <w:rPr>
          <w:rFonts w:ascii="黑体" w:hAnsi="黑体" w:eastAsia="黑体"/>
          <w:sz w:val="32"/>
        </w:rPr>
        <w:t>第一部分 单位概况</w:t>
      </w:r>
    </w:p>
    <w:p w14:paraId="77C2C09A">
      <w:pPr>
        <w:spacing w:line="640" w:lineRule="exact"/>
        <w:ind w:firstLine="640"/>
        <w:jc w:val="both"/>
        <w:outlineLvl w:val="2"/>
      </w:pPr>
      <w:r>
        <w:rPr>
          <w:rFonts w:ascii="黑体" w:hAnsi="黑体" w:eastAsia="黑体"/>
          <w:sz w:val="32"/>
        </w:rPr>
        <w:t>一、主要职能</w:t>
      </w:r>
    </w:p>
    <w:p w14:paraId="26A7D4EE">
      <w:pPr>
        <w:spacing w:line="580" w:lineRule="exact"/>
        <w:ind w:firstLine="640"/>
        <w:jc w:val="both"/>
      </w:pPr>
      <w:r>
        <w:rPr>
          <w:rFonts w:ascii="仿宋_GB2312" w:hAnsi="仿宋_GB2312" w:eastAsia="仿宋_GB2312"/>
          <w:sz w:val="32"/>
        </w:rPr>
        <w:t>1、全面贯彻执行《</w:t>
      </w:r>
      <w:r>
        <w:rPr>
          <w:rFonts w:hint="eastAsia" w:ascii="仿宋_GB2312" w:hAnsi="仿宋_GB2312" w:eastAsia="仿宋_GB2312"/>
          <w:sz w:val="32"/>
        </w:rPr>
        <w:t>新疆维吾尔自治区农业机械安全监督管理条例</w:t>
      </w:r>
      <w:r>
        <w:rPr>
          <w:rFonts w:ascii="仿宋_GB2312" w:hAnsi="仿宋_GB2312" w:eastAsia="仿宋_GB2312"/>
          <w:sz w:val="32"/>
        </w:rPr>
        <w:t>》和农业农村部《拖拉机驾驶培训管理办法</w:t>
      </w:r>
      <w:r>
        <w:rPr>
          <w:rFonts w:hint="eastAsia" w:ascii="仿宋_GB2312" w:hAnsi="仿宋_GB2312" w:eastAsia="仿宋_GB2312"/>
          <w:sz w:val="32"/>
          <w:lang w:eastAsia="zh-CN"/>
        </w:rPr>
        <w:t>》和</w:t>
      </w:r>
      <w:r>
        <w:rPr>
          <w:rFonts w:ascii="仿宋_GB2312" w:hAnsi="仿宋_GB2312" w:eastAsia="仿宋_GB2312"/>
          <w:sz w:val="32"/>
        </w:rPr>
        <w:t>《农机成人教育暂行规定》。</w:t>
      </w:r>
    </w:p>
    <w:p w14:paraId="73A5A55F">
      <w:pPr>
        <w:spacing w:line="580" w:lineRule="exact"/>
        <w:ind w:firstLine="640"/>
        <w:jc w:val="both"/>
      </w:pPr>
      <w:r>
        <w:rPr>
          <w:rFonts w:ascii="仿宋_GB2312" w:hAnsi="仿宋_GB2312" w:eastAsia="仿宋_GB2312"/>
          <w:sz w:val="32"/>
        </w:rPr>
        <w:t>2、根据农业机械化事业发展的需要，为农业机械使用维修、管理等人员提供多种形式，多层次的农业机械化技术培训。</w:t>
      </w:r>
    </w:p>
    <w:p w14:paraId="75CD2708">
      <w:pPr>
        <w:spacing w:line="580" w:lineRule="exact"/>
        <w:ind w:firstLine="640"/>
        <w:jc w:val="both"/>
      </w:pPr>
      <w:r>
        <w:rPr>
          <w:rFonts w:ascii="仿宋_GB2312" w:hAnsi="仿宋_GB2312" w:eastAsia="仿宋_GB2312"/>
          <w:sz w:val="32"/>
        </w:rPr>
        <w:t>3、对全县范围内的无证驾驶员进行系统培训。</w:t>
      </w:r>
    </w:p>
    <w:p w14:paraId="635F4665">
      <w:pPr>
        <w:spacing w:line="580" w:lineRule="exact"/>
        <w:ind w:firstLine="640"/>
        <w:jc w:val="both"/>
      </w:pPr>
      <w:r>
        <w:rPr>
          <w:rFonts w:ascii="仿宋_GB2312" w:hAnsi="仿宋_GB2312" w:eastAsia="仿宋_GB2312"/>
          <w:sz w:val="32"/>
        </w:rPr>
        <w:t>4、对全县范围内农机行业特有工种进行职业技能培训。</w:t>
      </w:r>
    </w:p>
    <w:p w14:paraId="1689B518">
      <w:pPr>
        <w:spacing w:line="580" w:lineRule="exact"/>
        <w:ind w:firstLine="640"/>
        <w:jc w:val="both"/>
      </w:pPr>
      <w:r>
        <w:rPr>
          <w:rFonts w:ascii="仿宋_GB2312" w:hAnsi="仿宋_GB2312" w:eastAsia="仿宋_GB2312"/>
          <w:sz w:val="32"/>
        </w:rPr>
        <w:t>5、在全县范围内对农牧民进行农机基本知识和技能的普及活动。</w:t>
      </w:r>
    </w:p>
    <w:p w14:paraId="58C644CA">
      <w:pPr>
        <w:spacing w:line="580" w:lineRule="exact"/>
        <w:ind w:firstLine="640"/>
        <w:jc w:val="both"/>
      </w:pPr>
      <w:r>
        <w:rPr>
          <w:rFonts w:ascii="仿宋_GB2312" w:hAnsi="仿宋_GB2312" w:eastAsia="仿宋_GB2312"/>
          <w:sz w:val="32"/>
        </w:rPr>
        <w:t>6、做好科技兴农机，送教下乡，科技下乡活动。</w:t>
      </w:r>
    </w:p>
    <w:p w14:paraId="7D7190EB">
      <w:pPr>
        <w:spacing w:line="580" w:lineRule="exact"/>
        <w:ind w:firstLine="640"/>
        <w:jc w:val="both"/>
      </w:pPr>
      <w:r>
        <w:rPr>
          <w:rFonts w:ascii="仿宋_GB2312" w:hAnsi="仿宋_GB2312" w:eastAsia="仿宋_GB2312"/>
          <w:sz w:val="32"/>
        </w:rPr>
        <w:t>7、负责</w:t>
      </w:r>
      <w:r>
        <w:rPr>
          <w:rFonts w:hint="eastAsia" w:ascii="仿宋_GB2312" w:hAnsi="仿宋_GB2312" w:eastAsia="仿宋_GB2312"/>
          <w:sz w:val="32"/>
          <w:lang w:eastAsia="zh-CN"/>
        </w:rPr>
        <w:t>制定</w:t>
      </w:r>
      <w:r>
        <w:rPr>
          <w:rFonts w:ascii="仿宋_GB2312" w:hAnsi="仿宋_GB2312" w:eastAsia="仿宋_GB2312"/>
          <w:sz w:val="32"/>
        </w:rPr>
        <w:t>全县范围内的农机技术推广工作规划。</w:t>
      </w:r>
    </w:p>
    <w:p w14:paraId="0C5FC162">
      <w:pPr>
        <w:spacing w:line="580" w:lineRule="exact"/>
        <w:ind w:firstLine="640"/>
        <w:jc w:val="both"/>
      </w:pPr>
      <w:r>
        <w:rPr>
          <w:rFonts w:ascii="仿宋_GB2312" w:hAnsi="仿宋_GB2312" w:eastAsia="仿宋_GB2312"/>
          <w:sz w:val="32"/>
        </w:rPr>
        <w:t>8、组织实施全县范围内农机新技术、新机具的试验、示范和推广工作。</w:t>
      </w:r>
    </w:p>
    <w:p w14:paraId="55D2F5C9">
      <w:pPr>
        <w:spacing w:line="580" w:lineRule="exact"/>
        <w:ind w:firstLine="640"/>
        <w:jc w:val="both"/>
      </w:pPr>
      <w:r>
        <w:rPr>
          <w:rFonts w:ascii="仿宋_GB2312" w:hAnsi="仿宋_GB2312" w:eastAsia="仿宋_GB2312"/>
          <w:sz w:val="32"/>
        </w:rPr>
        <w:t>9、承担国家、自治区、地区及县级交付的科技推广基础上的组织实施。</w:t>
      </w:r>
    </w:p>
    <w:p w14:paraId="09AC8B12">
      <w:pPr>
        <w:spacing w:line="580" w:lineRule="exact"/>
        <w:ind w:firstLine="640"/>
        <w:jc w:val="both"/>
      </w:pPr>
      <w:r>
        <w:rPr>
          <w:rFonts w:ascii="仿宋_GB2312" w:hAnsi="仿宋_GB2312" w:eastAsia="仿宋_GB2312"/>
          <w:sz w:val="32"/>
        </w:rPr>
        <w:t>10、积极引进、推广具有先进性的新机具和农机新技术。</w:t>
      </w:r>
    </w:p>
    <w:p w14:paraId="5D066F2A">
      <w:pPr>
        <w:spacing w:line="580" w:lineRule="exact"/>
        <w:ind w:firstLine="640"/>
        <w:jc w:val="both"/>
      </w:pPr>
      <w:r>
        <w:rPr>
          <w:rFonts w:ascii="仿宋_GB2312" w:hAnsi="仿宋_GB2312" w:eastAsia="仿宋_GB2312"/>
          <w:sz w:val="32"/>
        </w:rPr>
        <w:t>11、承办县农业农村局交办的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48AFBE28">
      <w:pPr>
        <w:spacing w:line="640" w:lineRule="exact"/>
        <w:ind w:firstLine="640"/>
        <w:jc w:val="both"/>
        <w:outlineLvl w:val="2"/>
      </w:pPr>
      <w:r>
        <w:rPr>
          <w:rFonts w:ascii="黑体" w:hAnsi="黑体" w:eastAsia="黑体"/>
          <w:sz w:val="32"/>
        </w:rPr>
        <w:t>二、机构设置及人员情况</w:t>
      </w:r>
    </w:p>
    <w:p w14:paraId="2AE2ACD4">
      <w:pPr>
        <w:spacing w:line="580" w:lineRule="exact"/>
        <w:ind w:firstLine="640"/>
        <w:jc w:val="both"/>
      </w:pPr>
      <w:r>
        <w:rPr>
          <w:rFonts w:ascii="仿宋_GB2312" w:hAnsi="仿宋_GB2312" w:eastAsia="仿宋_GB2312"/>
          <w:sz w:val="32"/>
        </w:rPr>
        <w:t>裕民县农业机械化技术学校2024年度，实有人数24人，其中：在职人员9人，增加1人；离休人员0人，增加0人；退休人员15人,增加0人。</w:t>
      </w:r>
    </w:p>
    <w:p w14:paraId="1656E2C7">
      <w:pPr>
        <w:spacing w:line="580" w:lineRule="exact"/>
        <w:ind w:firstLine="640"/>
        <w:jc w:val="both"/>
      </w:pPr>
      <w:r>
        <w:rPr>
          <w:rFonts w:ascii="仿宋_GB2312" w:hAnsi="仿宋_GB2312" w:eastAsia="仿宋_GB2312"/>
          <w:sz w:val="32"/>
        </w:rPr>
        <w:t>裕民县农业机械化技术学校无下属预算单位，下设3个科室，分别是：农机推广站、财务室、办公室。</w:t>
      </w:r>
    </w:p>
    <w:p w14:paraId="70DE8C4F">
      <w:r>
        <w:br w:type="page"/>
      </w:r>
    </w:p>
    <w:p w14:paraId="10BC6C3A">
      <w:pPr>
        <w:spacing w:line="240" w:lineRule="auto"/>
        <w:jc w:val="center"/>
        <w:outlineLvl w:val="1"/>
      </w:pPr>
      <w:r>
        <w:rPr>
          <w:rFonts w:ascii="黑体" w:hAnsi="黑体" w:eastAsia="黑体"/>
          <w:sz w:val="32"/>
        </w:rPr>
        <w:t>第二部分 部门决算情况说明</w:t>
      </w:r>
    </w:p>
    <w:p w14:paraId="484F3441">
      <w:pPr>
        <w:spacing w:line="640" w:lineRule="exact"/>
        <w:ind w:firstLine="640"/>
        <w:jc w:val="both"/>
        <w:outlineLvl w:val="2"/>
      </w:pPr>
      <w:r>
        <w:rPr>
          <w:rFonts w:ascii="黑体" w:hAnsi="黑体" w:eastAsia="黑体"/>
          <w:sz w:val="32"/>
        </w:rPr>
        <w:t>一、收入支出决算总体情况说明</w:t>
      </w:r>
    </w:p>
    <w:p w14:paraId="73CD7DAC">
      <w:pPr>
        <w:spacing w:line="580" w:lineRule="exact"/>
        <w:ind w:firstLine="640"/>
        <w:jc w:val="both"/>
      </w:pPr>
      <w:r>
        <w:rPr>
          <w:rFonts w:ascii="仿宋_GB2312" w:hAnsi="仿宋_GB2312" w:eastAsia="仿宋_GB2312"/>
          <w:b/>
          <w:sz w:val="32"/>
        </w:rPr>
        <w:t>2024年度收入总计181.05万元，</w:t>
      </w:r>
      <w:r>
        <w:rPr>
          <w:rFonts w:ascii="仿宋_GB2312" w:hAnsi="仿宋_GB2312" w:eastAsia="仿宋_GB2312"/>
          <w:b w:val="0"/>
          <w:sz w:val="32"/>
        </w:rPr>
        <w:t>其中：本年收入合计180.55万元，使用非财政拨款结余（含专用结余）0.00万元，年初结转和结余0.50万元。</w:t>
      </w:r>
    </w:p>
    <w:p w14:paraId="63CC200F">
      <w:pPr>
        <w:spacing w:line="580" w:lineRule="exact"/>
        <w:ind w:firstLine="640"/>
        <w:jc w:val="both"/>
      </w:pPr>
      <w:r>
        <w:rPr>
          <w:rFonts w:ascii="仿宋_GB2312" w:hAnsi="仿宋_GB2312" w:eastAsia="仿宋_GB2312"/>
          <w:b/>
          <w:sz w:val="32"/>
        </w:rPr>
        <w:t>2024年度支出总计181.05万元，</w:t>
      </w:r>
      <w:r>
        <w:rPr>
          <w:rFonts w:ascii="仿宋_GB2312" w:hAnsi="仿宋_GB2312" w:eastAsia="仿宋_GB2312"/>
          <w:b w:val="0"/>
          <w:sz w:val="32"/>
        </w:rPr>
        <w:t>其中：本年支出合计180.55万元，结余分配0.00万元，年末结转和结余0.50万元。</w:t>
      </w:r>
    </w:p>
    <w:p w14:paraId="39AB858F">
      <w:pPr>
        <w:spacing w:line="580" w:lineRule="exact"/>
        <w:ind w:firstLine="640"/>
        <w:jc w:val="both"/>
      </w:pPr>
      <w:r>
        <w:rPr>
          <w:rFonts w:ascii="仿宋_GB2312" w:hAnsi="仿宋_GB2312" w:eastAsia="仿宋_GB2312"/>
          <w:b w:val="0"/>
          <w:sz w:val="32"/>
        </w:rPr>
        <w:t>收入支出总体与上年相比，减少34.02万元，下降15.82%，主要原因是：本年无新增退休人员，职业年金缴费减少。</w:t>
      </w:r>
    </w:p>
    <w:p w14:paraId="0F2D76E1">
      <w:pPr>
        <w:spacing w:line="640" w:lineRule="exact"/>
        <w:ind w:firstLine="640"/>
        <w:jc w:val="both"/>
        <w:outlineLvl w:val="2"/>
      </w:pPr>
      <w:r>
        <w:rPr>
          <w:rFonts w:ascii="黑体" w:hAnsi="黑体" w:eastAsia="黑体"/>
          <w:sz w:val="32"/>
        </w:rPr>
        <w:t>二、收入决算情况说明</w:t>
      </w:r>
    </w:p>
    <w:p w14:paraId="780ADD0A">
      <w:pPr>
        <w:spacing w:line="580" w:lineRule="exact"/>
        <w:ind w:firstLine="640"/>
        <w:jc w:val="both"/>
      </w:pPr>
      <w:r>
        <w:rPr>
          <w:rFonts w:ascii="仿宋_GB2312" w:hAnsi="仿宋_GB2312" w:eastAsia="仿宋_GB2312"/>
          <w:b/>
          <w:sz w:val="32"/>
        </w:rPr>
        <w:t>本年收入180.55万元，</w:t>
      </w:r>
      <w:r>
        <w:rPr>
          <w:rFonts w:ascii="仿宋_GB2312" w:hAnsi="仿宋_GB2312" w:eastAsia="仿宋_GB2312"/>
          <w:b w:val="0"/>
          <w:sz w:val="32"/>
        </w:rPr>
        <w:t>其中：财政拨款收入180.55万元，占100.00%；上级补助收入0.00万元，占0.00%；事业收入0.00万元，占0.00%；经营收入0.00万元，占0.00%；附属单位上缴收入0.00万元，占0.00%；其他收入0.00万元，占0.00%。</w:t>
      </w:r>
    </w:p>
    <w:p w14:paraId="4A407543">
      <w:pPr>
        <w:spacing w:line="640" w:lineRule="exact"/>
        <w:ind w:firstLine="640"/>
        <w:jc w:val="both"/>
        <w:outlineLvl w:val="2"/>
      </w:pPr>
      <w:r>
        <w:rPr>
          <w:rFonts w:ascii="黑体" w:hAnsi="黑体" w:eastAsia="黑体"/>
          <w:sz w:val="32"/>
        </w:rPr>
        <w:t>三、支出决算情况说明</w:t>
      </w:r>
    </w:p>
    <w:p w14:paraId="3822A804">
      <w:pPr>
        <w:spacing w:line="580" w:lineRule="exact"/>
        <w:ind w:firstLine="640"/>
        <w:jc w:val="both"/>
      </w:pPr>
      <w:r>
        <w:rPr>
          <w:rFonts w:ascii="仿宋_GB2312" w:hAnsi="仿宋_GB2312" w:eastAsia="仿宋_GB2312"/>
          <w:b/>
          <w:sz w:val="32"/>
        </w:rPr>
        <w:t>本年支出180.55万元，</w:t>
      </w:r>
      <w:r>
        <w:rPr>
          <w:rFonts w:ascii="仿宋_GB2312" w:hAnsi="仿宋_GB2312" w:eastAsia="仿宋_GB2312"/>
          <w:b w:val="0"/>
          <w:sz w:val="32"/>
        </w:rPr>
        <w:t>其中：基本支出180.55万元，占100.00%；项目支出0.00万元，占0.00%；上缴上级支出0.00万元，占0.00%；经营支出0.00万元，占0.00%；对附属单位补助支出0.00万元，占0.00%。</w:t>
      </w:r>
    </w:p>
    <w:p w14:paraId="70AEBBA1">
      <w:pPr>
        <w:spacing w:line="640" w:lineRule="exact"/>
        <w:ind w:firstLine="640"/>
        <w:jc w:val="both"/>
        <w:outlineLvl w:val="2"/>
      </w:pPr>
      <w:r>
        <w:rPr>
          <w:rFonts w:ascii="黑体" w:hAnsi="黑体" w:eastAsia="黑体"/>
          <w:sz w:val="32"/>
        </w:rPr>
        <w:t>四、财政拨款收入支出决算总体情况说明</w:t>
      </w:r>
    </w:p>
    <w:p w14:paraId="31A58052">
      <w:pPr>
        <w:spacing w:line="580" w:lineRule="exact"/>
        <w:ind w:firstLine="640"/>
        <w:jc w:val="both"/>
      </w:pPr>
      <w:r>
        <w:rPr>
          <w:rFonts w:ascii="仿宋_GB2312" w:hAnsi="仿宋_GB2312" w:eastAsia="仿宋_GB2312"/>
          <w:b/>
          <w:sz w:val="32"/>
        </w:rPr>
        <w:t>2024年度财政拨款收入总计181.05万元，</w:t>
      </w:r>
      <w:r>
        <w:rPr>
          <w:rFonts w:ascii="仿宋_GB2312" w:hAnsi="仿宋_GB2312" w:eastAsia="仿宋_GB2312"/>
          <w:b w:val="0"/>
          <w:sz w:val="32"/>
        </w:rPr>
        <w:t>其中：年初财政拨款结转和结余0.50万元，本年财政拨款收入180.55万元。</w:t>
      </w:r>
      <w:r>
        <w:rPr>
          <w:rFonts w:ascii="仿宋_GB2312" w:hAnsi="仿宋_GB2312" w:eastAsia="仿宋_GB2312"/>
          <w:b/>
          <w:sz w:val="32"/>
        </w:rPr>
        <w:t>财政拨款支出总计181.05万元，</w:t>
      </w:r>
      <w:r>
        <w:rPr>
          <w:rFonts w:ascii="仿宋_GB2312" w:hAnsi="仿宋_GB2312" w:eastAsia="仿宋_GB2312"/>
          <w:b w:val="0"/>
          <w:sz w:val="32"/>
        </w:rPr>
        <w:t>其中：年末财政拨款结转和结余0.50万元，本年财政拨款支出180.55万元。</w:t>
      </w:r>
    </w:p>
    <w:p w14:paraId="3601039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减少34.02万元，下降15.82%，主要原因是：本年无新增退休人员，职业年金缴费减少。</w:t>
      </w:r>
      <w:r>
        <w:rPr>
          <w:rFonts w:ascii="仿宋_GB2312" w:hAnsi="仿宋_GB2312" w:eastAsia="仿宋_GB2312"/>
          <w:b/>
          <w:sz w:val="32"/>
        </w:rPr>
        <w:t>与年初预算相比，</w:t>
      </w:r>
      <w:r>
        <w:rPr>
          <w:rFonts w:ascii="仿宋_GB2312" w:hAnsi="仿宋_GB2312" w:eastAsia="仿宋_GB2312"/>
          <w:b w:val="0"/>
          <w:sz w:val="32"/>
        </w:rPr>
        <w:t>年初预算数172.76万元，决算数181.05万元，预决算差异率4.80%，主要原因是：年中追加人员工资、社保、公积金基数调增部分资金，导致预决算存在差异。</w:t>
      </w:r>
    </w:p>
    <w:p w14:paraId="6E5D4837">
      <w:pPr>
        <w:spacing w:line="640" w:lineRule="exact"/>
        <w:ind w:firstLine="640"/>
        <w:jc w:val="both"/>
        <w:outlineLvl w:val="2"/>
      </w:pPr>
      <w:r>
        <w:rPr>
          <w:rFonts w:ascii="黑体" w:hAnsi="黑体" w:eastAsia="黑体"/>
          <w:sz w:val="32"/>
        </w:rPr>
        <w:t>五、一般公共预算财政拨款支出决算情况说明</w:t>
      </w:r>
    </w:p>
    <w:p w14:paraId="6FB3730A">
      <w:pPr>
        <w:spacing w:line="640" w:lineRule="exact"/>
        <w:ind w:firstLine="640"/>
        <w:jc w:val="both"/>
        <w:outlineLvl w:val="3"/>
      </w:pPr>
      <w:r>
        <w:rPr>
          <w:rFonts w:ascii="楷体_GB2312" w:hAnsi="楷体_GB2312" w:eastAsia="楷体_GB2312"/>
          <w:b/>
          <w:sz w:val="32"/>
        </w:rPr>
        <w:t>（一）一般公共预算财政拨款支出决算总体情况</w:t>
      </w:r>
    </w:p>
    <w:p w14:paraId="17CDE650">
      <w:pPr>
        <w:spacing w:line="580" w:lineRule="exact"/>
        <w:ind w:firstLine="640"/>
        <w:jc w:val="both"/>
      </w:pPr>
      <w:r>
        <w:rPr>
          <w:rFonts w:ascii="仿宋_GB2312" w:hAnsi="仿宋_GB2312" w:eastAsia="仿宋_GB2312"/>
          <w:b/>
          <w:sz w:val="32"/>
        </w:rPr>
        <w:t>2024年度一般公共预算财政拨款支出180.55万元，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减少34.02万元，下降15.85%，主要原因是：本年无新增退休人员，职业年金缴费减少。</w:t>
      </w:r>
      <w:r>
        <w:rPr>
          <w:rFonts w:ascii="仿宋_GB2312" w:hAnsi="仿宋_GB2312" w:eastAsia="仿宋_GB2312"/>
          <w:b/>
          <w:sz w:val="32"/>
        </w:rPr>
        <w:t>与年初预算相比,</w:t>
      </w:r>
      <w:r>
        <w:rPr>
          <w:rFonts w:ascii="仿宋_GB2312" w:hAnsi="仿宋_GB2312" w:eastAsia="仿宋_GB2312"/>
          <w:b w:val="0"/>
          <w:sz w:val="32"/>
        </w:rPr>
        <w:t>年初预算数172.76万元，决算数180.55万元，预决算差异率4.51%，主要原因是：年中追加人员工资、社保、公积金基数调增部分资金，导致预决算存在差异。</w:t>
      </w:r>
    </w:p>
    <w:p w14:paraId="09C44272">
      <w:pPr>
        <w:spacing w:line="640" w:lineRule="exact"/>
        <w:ind w:firstLine="640"/>
        <w:jc w:val="both"/>
        <w:outlineLvl w:val="3"/>
      </w:pPr>
      <w:r>
        <w:rPr>
          <w:rFonts w:ascii="楷体_GB2312" w:hAnsi="楷体_GB2312" w:eastAsia="楷体_GB2312"/>
          <w:b/>
          <w:sz w:val="32"/>
        </w:rPr>
        <w:t>（二）一般公共预算财政拨款支出决算结构情况</w:t>
      </w:r>
    </w:p>
    <w:p w14:paraId="57334240">
      <w:pPr>
        <w:spacing w:line="580" w:lineRule="exact"/>
        <w:ind w:firstLine="640"/>
        <w:jc w:val="both"/>
      </w:pPr>
      <w:r>
        <w:rPr>
          <w:rFonts w:ascii="仿宋_GB2312" w:hAnsi="仿宋_GB2312" w:eastAsia="仿宋_GB2312"/>
          <w:b w:val="0"/>
          <w:sz w:val="32"/>
        </w:rPr>
        <w:t>1.社会保障和就业支出(类)29.08万元,占16.11%。</w:t>
      </w:r>
    </w:p>
    <w:p w14:paraId="351AEC9C">
      <w:pPr>
        <w:spacing w:line="580" w:lineRule="exact"/>
        <w:ind w:firstLine="640"/>
        <w:jc w:val="both"/>
      </w:pPr>
      <w:r>
        <w:rPr>
          <w:rFonts w:ascii="仿宋_GB2312" w:hAnsi="仿宋_GB2312" w:eastAsia="仿宋_GB2312"/>
          <w:b w:val="0"/>
          <w:sz w:val="32"/>
        </w:rPr>
        <w:t>2.卫生健康支出(类)7.09万元,占3.93%。</w:t>
      </w:r>
    </w:p>
    <w:p w14:paraId="6482AA7C">
      <w:pPr>
        <w:spacing w:line="580" w:lineRule="exact"/>
        <w:ind w:firstLine="640"/>
        <w:jc w:val="both"/>
      </w:pPr>
      <w:r>
        <w:rPr>
          <w:rFonts w:ascii="仿宋_GB2312" w:hAnsi="仿宋_GB2312" w:eastAsia="仿宋_GB2312"/>
          <w:b w:val="0"/>
          <w:sz w:val="32"/>
        </w:rPr>
        <w:t>3.农林水支出(类)131.33万元,占72.74%。</w:t>
      </w:r>
    </w:p>
    <w:p w14:paraId="77B70310">
      <w:pPr>
        <w:spacing w:line="580" w:lineRule="exact"/>
        <w:ind w:firstLine="640"/>
        <w:jc w:val="both"/>
      </w:pPr>
      <w:r>
        <w:rPr>
          <w:rFonts w:ascii="仿宋_GB2312" w:hAnsi="仿宋_GB2312" w:eastAsia="仿宋_GB2312"/>
          <w:b w:val="0"/>
          <w:sz w:val="32"/>
        </w:rPr>
        <w:t>4.住房保障支出(类)13.04万元,占7.22%。</w:t>
      </w:r>
    </w:p>
    <w:p w14:paraId="7CD8269B">
      <w:pPr>
        <w:spacing w:line="640" w:lineRule="exact"/>
        <w:ind w:firstLine="640"/>
        <w:jc w:val="both"/>
        <w:outlineLvl w:val="3"/>
      </w:pPr>
      <w:r>
        <w:rPr>
          <w:rFonts w:ascii="楷体_GB2312" w:hAnsi="楷体_GB2312" w:eastAsia="楷体_GB2312"/>
          <w:b/>
          <w:sz w:val="32"/>
        </w:rPr>
        <w:t>（三）一般公共预算财政拨款支出决算具体情况</w:t>
      </w:r>
    </w:p>
    <w:p w14:paraId="2D7C083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1.社会保障和就业支出(类)行政事业单位养老支出(款)事业单位离退休(项):支出决算数为12.05万元，比上年决算增加3.07万元，增长34.19%,主要原因是：本年增加退休人员基础绩效奖，退休费支出增加。</w:t>
      </w:r>
    </w:p>
    <w:p w14:paraId="3728BF6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17.02万元，比上年决算增加2.53万元，增长17.46%,主要原因是：本年在职人员工资基数调增，养老缴费基数上涨，相应支出增加。</w:t>
      </w:r>
    </w:p>
    <w:p w14:paraId="67454E3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32.40万元，下降100.00%,主要原因是：本年无新增退休人员，职业年金缴费较上年减少。</w:t>
      </w:r>
    </w:p>
    <w:p w14:paraId="50D3B1B5">
      <w:pPr>
        <w:spacing w:line="580" w:lineRule="exact"/>
        <w:ind w:firstLine="640"/>
        <w:jc w:val="both"/>
      </w:pPr>
      <w:r>
        <w:rPr>
          <w:rFonts w:ascii="仿宋_GB2312" w:hAnsi="仿宋_GB2312" w:eastAsia="仿宋_GB2312"/>
          <w:b w:val="0"/>
          <w:sz w:val="32"/>
        </w:rPr>
        <w:t>4.卫生健康支出(类)行政事业单位医疗(款)事业单位医疗(项):支出决算数为7.09万元，比上年决算减少1.67万元，下降19.06%,主要原因是：本年在职人员</w:t>
      </w:r>
      <w:r>
        <w:rPr>
          <w:rFonts w:hint="eastAsia" w:ascii="仿宋_GB2312" w:hAnsi="仿宋_GB2312" w:eastAsia="仿宋_GB2312"/>
          <w:b w:val="0"/>
          <w:sz w:val="32"/>
          <w:lang w:val="en-US" w:eastAsia="zh-CN"/>
        </w:rPr>
        <w:t>调入调出，人员职级不同，缴费基数不同</w:t>
      </w:r>
      <w:r>
        <w:rPr>
          <w:rFonts w:ascii="仿宋_GB2312" w:hAnsi="仿宋_GB2312" w:eastAsia="仿宋_GB2312"/>
          <w:b w:val="0"/>
          <w:sz w:val="32"/>
        </w:rPr>
        <w:t>，事业单位医疗较上年减少。</w:t>
      </w:r>
    </w:p>
    <w:p w14:paraId="7F16E9D3">
      <w:pPr>
        <w:spacing w:line="580" w:lineRule="exact"/>
        <w:ind w:firstLine="640"/>
        <w:jc w:val="both"/>
      </w:pPr>
      <w:r>
        <w:rPr>
          <w:rFonts w:ascii="仿宋_GB2312" w:hAnsi="仿宋_GB2312" w:eastAsia="仿宋_GB2312"/>
          <w:b w:val="0"/>
          <w:sz w:val="32"/>
        </w:rPr>
        <w:t>5.农林水支出(类)农业农村(款)事业运行(项):支出决算数为131.33万元，比上年决算减少6.40万元，下降4.65%,主要原因是：</w:t>
      </w:r>
      <w:r>
        <w:rPr>
          <w:rFonts w:hint="eastAsia" w:ascii="仿宋_GB2312" w:hAnsi="仿宋_GB2312" w:eastAsia="仿宋_GB2312"/>
          <w:b w:val="0"/>
          <w:sz w:val="32"/>
          <w:lang w:val="en-US" w:eastAsia="zh-CN"/>
        </w:rPr>
        <w:t>上年补发人员绩效，本年正常发放</w:t>
      </w:r>
      <w:r>
        <w:rPr>
          <w:rFonts w:ascii="仿宋_GB2312" w:hAnsi="仿宋_GB2312" w:eastAsia="仿宋_GB2312"/>
          <w:b w:val="0"/>
          <w:sz w:val="32"/>
        </w:rPr>
        <w:t>，导致经费减少。</w:t>
      </w:r>
    </w:p>
    <w:p w14:paraId="53E6B499">
      <w:pPr>
        <w:spacing w:line="580" w:lineRule="exact"/>
        <w:ind w:firstLine="640"/>
        <w:jc w:val="both"/>
      </w:pPr>
      <w:r>
        <w:rPr>
          <w:rFonts w:ascii="仿宋_GB2312" w:hAnsi="仿宋_GB2312" w:eastAsia="仿宋_GB2312"/>
          <w:b w:val="0"/>
          <w:sz w:val="32"/>
        </w:rPr>
        <w:t>6.住房保障支出(类)住房改革支出(款)住房公积金(项):支出决算数为13.04万元，比上年决算增加0.82万元，增长6.71%,主要原因是：本年在职人员工资基数调增，公积金缴费基数上涨，相应支出增加。</w:t>
      </w:r>
    </w:p>
    <w:p w14:paraId="409FB2A5">
      <w:pPr>
        <w:spacing w:line="640" w:lineRule="exact"/>
        <w:ind w:firstLine="640"/>
        <w:jc w:val="both"/>
        <w:outlineLvl w:val="2"/>
      </w:pPr>
      <w:r>
        <w:rPr>
          <w:rFonts w:ascii="黑体" w:hAnsi="黑体" w:eastAsia="黑体"/>
          <w:sz w:val="32"/>
        </w:rPr>
        <w:t>六、一般公共预算财政拨款基本支出决算情况说明</w:t>
      </w:r>
    </w:p>
    <w:p w14:paraId="63A26AA6">
      <w:pPr>
        <w:spacing w:line="580" w:lineRule="exact"/>
        <w:ind w:firstLine="640"/>
        <w:jc w:val="both"/>
      </w:pPr>
      <w:r>
        <w:rPr>
          <w:rFonts w:ascii="仿宋_GB2312" w:hAnsi="仿宋_GB2312" w:eastAsia="仿宋_GB2312"/>
          <w:b w:val="0"/>
          <w:sz w:val="32"/>
        </w:rPr>
        <w:t>2024年度一般公共预算财政拨款基本支出180.55万元，其中：</w:t>
      </w:r>
      <w:r>
        <w:rPr>
          <w:rFonts w:ascii="仿宋_GB2312" w:hAnsi="仿宋_GB2312" w:eastAsia="仿宋_GB2312"/>
          <w:b/>
          <w:sz w:val="32"/>
        </w:rPr>
        <w:t>人员经费173.23万元，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6E334EA3">
      <w:pPr>
        <w:spacing w:line="580" w:lineRule="exact"/>
        <w:ind w:firstLine="640"/>
        <w:jc w:val="both"/>
      </w:pPr>
      <w:r>
        <w:rPr>
          <w:rFonts w:ascii="仿宋_GB2312" w:hAnsi="仿宋_GB2312" w:eastAsia="仿宋_GB2312"/>
          <w:b/>
          <w:sz w:val="32"/>
        </w:rPr>
        <w:t>公用经费7.32万元，</w:t>
      </w:r>
      <w:r>
        <w:rPr>
          <w:rFonts w:ascii="仿宋_GB2312" w:hAnsi="仿宋_GB2312" w:eastAsia="仿宋_GB2312"/>
          <w:b w:val="0"/>
          <w:sz w:val="32"/>
        </w:rPr>
        <w:t>包括：办公费、电费、取暖费、劳务费、工会经费、公务用车运行维护费。</w:t>
      </w:r>
    </w:p>
    <w:p w14:paraId="5B892E3A">
      <w:pPr>
        <w:spacing w:line="640" w:lineRule="exact"/>
        <w:ind w:firstLine="640"/>
        <w:jc w:val="both"/>
        <w:outlineLvl w:val="2"/>
      </w:pPr>
      <w:r>
        <w:rPr>
          <w:rFonts w:ascii="黑体" w:hAnsi="黑体" w:eastAsia="黑体"/>
          <w:sz w:val="32"/>
        </w:rPr>
        <w:t>七、政府性基金预算财政拨款收入支出决算情况说明</w:t>
      </w:r>
    </w:p>
    <w:p w14:paraId="2790070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79C9E16">
      <w:pPr>
        <w:spacing w:line="640" w:lineRule="exact"/>
        <w:ind w:firstLine="640"/>
        <w:jc w:val="both"/>
        <w:outlineLvl w:val="2"/>
      </w:pPr>
      <w:r>
        <w:rPr>
          <w:rFonts w:ascii="黑体" w:hAnsi="黑体" w:eastAsia="黑体"/>
          <w:sz w:val="32"/>
        </w:rPr>
        <w:t>八、国有资本经营预算财政拨款收入支出决算情况说明</w:t>
      </w:r>
    </w:p>
    <w:p w14:paraId="1629848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8D93F3">
      <w:pPr>
        <w:spacing w:line="640" w:lineRule="exact"/>
        <w:ind w:firstLine="640"/>
        <w:jc w:val="both"/>
        <w:outlineLvl w:val="2"/>
      </w:pPr>
      <w:r>
        <w:rPr>
          <w:rFonts w:ascii="黑体" w:hAnsi="黑体" w:eastAsia="黑体"/>
          <w:sz w:val="32"/>
        </w:rPr>
        <w:t>九、财政拨款“三公”经费支出决算情况说明</w:t>
      </w:r>
    </w:p>
    <w:p w14:paraId="24F9F7A7">
      <w:pPr>
        <w:spacing w:line="580" w:lineRule="exact"/>
        <w:ind w:firstLine="640"/>
        <w:jc w:val="both"/>
      </w:pPr>
      <w:r>
        <w:rPr>
          <w:rFonts w:ascii="仿宋_GB2312" w:hAnsi="仿宋_GB2312" w:eastAsia="仿宋_GB2312"/>
          <w:b/>
          <w:sz w:val="32"/>
        </w:rPr>
        <w:t>2024年度财政拨款“三公”经费支出1.24万元，</w:t>
      </w:r>
      <w:r>
        <w:rPr>
          <w:rFonts w:ascii="仿宋_GB2312" w:hAnsi="仿宋_GB2312" w:eastAsia="仿宋_GB2312"/>
          <w:b w:val="0"/>
          <w:sz w:val="32"/>
        </w:rPr>
        <w:t>比上年减少0.32万元，下降20.51%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1.24万元，占100.00%，比上年减少0.32万元，下降20.51%，主要原因是：严格落实中央八项规定精神，厉行节约，减少公务用车运行维护费。公务接待费支出0.00万元，占0.00%，比上年增加0.00万元，增长0.00%，主要原因是：2023年与2024年均未安排公务接待费支出。</w:t>
      </w:r>
    </w:p>
    <w:p w14:paraId="040231DF">
      <w:pPr>
        <w:spacing w:line="580" w:lineRule="exact"/>
        <w:ind w:firstLine="640"/>
        <w:jc w:val="both"/>
      </w:pPr>
      <w:r>
        <w:rPr>
          <w:rFonts w:ascii="仿宋_GB2312" w:hAnsi="仿宋_GB2312" w:eastAsia="仿宋_GB2312"/>
          <w:b/>
          <w:sz w:val="32"/>
        </w:rPr>
        <w:t>具体情况如下：</w:t>
      </w:r>
    </w:p>
    <w:p w14:paraId="2BBD4A9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E2766B">
      <w:pPr>
        <w:spacing w:line="580" w:lineRule="exact"/>
        <w:ind w:firstLine="640"/>
        <w:jc w:val="both"/>
      </w:pPr>
      <w:r>
        <w:rPr>
          <w:rFonts w:ascii="仿宋_GB2312" w:hAnsi="仿宋_GB2312" w:eastAsia="仿宋_GB2312"/>
          <w:b w:val="0"/>
          <w:sz w:val="32"/>
        </w:rPr>
        <w:t>公务用车购置及运行维护费1.24万元，其中：公务用车购置费0.00万元，公务用车运行维护费1.24万元。公务用车运行维护费开支内容包括车辆加油费、维修费、保险费、审车费。公务用车购置数0辆，公务用</w:t>
      </w:r>
      <w:bookmarkStart w:id="0" w:name="_GoBack"/>
      <w:bookmarkEnd w:id="0"/>
      <w:r>
        <w:rPr>
          <w:rFonts w:ascii="仿宋_GB2312" w:hAnsi="仿宋_GB2312" w:eastAsia="仿宋_GB2312"/>
          <w:b w:val="0"/>
          <w:sz w:val="32"/>
        </w:rPr>
        <w:t>车保有量1辆。国有资产占用情况中固定资产车辆0辆，与公务用车保有量差异原因是：借用</w:t>
      </w:r>
      <w:r>
        <w:rPr>
          <w:rFonts w:hint="eastAsia" w:ascii="仿宋_GB2312" w:hAnsi="仿宋_GB2312" w:eastAsia="仿宋_GB2312"/>
          <w:b w:val="0"/>
          <w:sz w:val="32"/>
          <w:lang w:eastAsia="zh-CN"/>
        </w:rPr>
        <w:t>农业农村局车辆</w:t>
      </w:r>
      <w:r>
        <w:rPr>
          <w:rFonts w:ascii="仿宋_GB2312" w:hAnsi="仿宋_GB2312" w:eastAsia="仿宋_GB2312"/>
          <w:b w:val="0"/>
          <w:sz w:val="32"/>
        </w:rPr>
        <w:t>，车辆费用由本单位支付。</w:t>
      </w:r>
    </w:p>
    <w:p w14:paraId="47D076A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68617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万元，决算数1.24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万元，决算数1.24万元，预决算差异率0.00%，主要原因是：严格按照预算执行，预决算无差异。公务接待费全年预算数0.00万元，决算数0.00万元，预决算差异率0.00%，主要原因是：本单位无公务接待费。</w:t>
      </w:r>
    </w:p>
    <w:p w14:paraId="6EC234DA">
      <w:pPr>
        <w:spacing w:line="640" w:lineRule="exact"/>
        <w:ind w:firstLine="640"/>
        <w:jc w:val="both"/>
        <w:outlineLvl w:val="2"/>
      </w:pPr>
      <w:r>
        <w:rPr>
          <w:rFonts w:ascii="黑体" w:hAnsi="黑体" w:eastAsia="黑体"/>
          <w:sz w:val="32"/>
        </w:rPr>
        <w:t>十、其他重要事项的情况说明</w:t>
      </w:r>
    </w:p>
    <w:p w14:paraId="67317AE9">
      <w:pPr>
        <w:spacing w:line="640" w:lineRule="exact"/>
        <w:ind w:firstLine="640"/>
        <w:jc w:val="both"/>
        <w:outlineLvl w:val="3"/>
      </w:pPr>
      <w:r>
        <w:rPr>
          <w:rFonts w:ascii="楷体_GB2312" w:hAnsi="楷体_GB2312" w:eastAsia="楷体_GB2312"/>
          <w:b/>
          <w:sz w:val="32"/>
        </w:rPr>
        <w:t>（一）机关运行经费及公用经费支出情况</w:t>
      </w:r>
    </w:p>
    <w:p w14:paraId="0D1EB38F">
      <w:pPr>
        <w:spacing w:line="580" w:lineRule="exact"/>
        <w:ind w:firstLine="640"/>
        <w:jc w:val="both"/>
      </w:pPr>
      <w:r>
        <w:rPr>
          <w:rFonts w:ascii="仿宋_GB2312" w:hAnsi="仿宋_GB2312" w:eastAsia="仿宋_GB2312"/>
          <w:b w:val="0"/>
          <w:sz w:val="32"/>
        </w:rPr>
        <w:t>2024年度裕民县农业机械化技术学校（事业单位）公用经费支出7.32万元，比上年减少1.50万元，下降17.01%，主要</w:t>
      </w:r>
      <w:r>
        <w:rPr>
          <w:rFonts w:ascii="仿宋_GB2312" w:hAnsi="仿宋_GB2312" w:eastAsia="仿宋_GB2312"/>
          <w:b w:val="0"/>
          <w:w w:val="97"/>
          <w:sz w:val="32"/>
        </w:rPr>
        <w:t>原因是：严格控制公用经费，合理节约办公用品，减少不必要开支。</w:t>
      </w:r>
    </w:p>
    <w:p w14:paraId="5A2B5EB6">
      <w:pPr>
        <w:spacing w:line="640" w:lineRule="exact"/>
        <w:ind w:firstLine="640"/>
        <w:jc w:val="both"/>
        <w:outlineLvl w:val="3"/>
      </w:pPr>
      <w:r>
        <w:rPr>
          <w:rFonts w:ascii="楷体_GB2312" w:hAnsi="楷体_GB2312" w:eastAsia="楷体_GB2312"/>
          <w:b/>
          <w:sz w:val="32"/>
        </w:rPr>
        <w:t>（二）政府采购情况</w:t>
      </w:r>
    </w:p>
    <w:p w14:paraId="421C7A20">
      <w:pPr>
        <w:spacing w:line="580" w:lineRule="exact"/>
        <w:ind w:firstLine="640"/>
        <w:jc w:val="both"/>
      </w:pPr>
      <w:r>
        <w:rPr>
          <w:rFonts w:ascii="仿宋_GB2312" w:hAnsi="仿宋_GB2312" w:eastAsia="仿宋_GB2312"/>
          <w:b w:val="0"/>
          <w:sz w:val="32"/>
        </w:rPr>
        <w:t>2024年度政府采购支出总额0.24万元，其中：政府采购货物支出0.00万元、政府采购工程支出0.00万元、政府采购服务支出0.24万元。</w:t>
      </w:r>
    </w:p>
    <w:p w14:paraId="5E4D555D">
      <w:pPr>
        <w:spacing w:line="580" w:lineRule="exact"/>
        <w:ind w:firstLine="640"/>
        <w:jc w:val="both"/>
      </w:pPr>
      <w:r>
        <w:rPr>
          <w:rFonts w:ascii="仿宋_GB2312" w:hAnsi="仿宋_GB2312" w:eastAsia="仿宋_GB2312"/>
          <w:b w:val="0"/>
          <w:sz w:val="32"/>
        </w:rPr>
        <w:t>授予中小企业合同金额0.24万元，占政府采购支出总额的100.00%，其中：授予小微企业合同金额0.24万元，占政府采购支出总额的100.00%。</w:t>
      </w:r>
    </w:p>
    <w:p w14:paraId="5B86592E">
      <w:pPr>
        <w:spacing w:line="640" w:lineRule="exact"/>
        <w:ind w:firstLine="640"/>
        <w:jc w:val="both"/>
        <w:outlineLvl w:val="3"/>
      </w:pPr>
      <w:r>
        <w:rPr>
          <w:rFonts w:ascii="楷体_GB2312" w:hAnsi="楷体_GB2312" w:eastAsia="楷体_GB2312"/>
          <w:b/>
          <w:sz w:val="32"/>
        </w:rPr>
        <w:t>（三）国有资产占用情况说明</w:t>
      </w:r>
    </w:p>
    <w:p w14:paraId="5D947E1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96F2999">
      <w:pPr>
        <w:spacing w:line="640" w:lineRule="exact"/>
        <w:ind w:firstLine="640"/>
        <w:jc w:val="both"/>
        <w:outlineLvl w:val="2"/>
      </w:pPr>
      <w:r>
        <w:rPr>
          <w:rFonts w:ascii="黑体" w:hAnsi="黑体" w:eastAsia="黑体"/>
          <w:sz w:val="32"/>
        </w:rPr>
        <w:t>十一、预算绩效的情况说明</w:t>
      </w:r>
    </w:p>
    <w:p w14:paraId="63CD657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183.01万元，实际执行总额180.55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62330B6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EE2062C">
        <w:tblPrEx>
          <w:tblCellMar>
            <w:top w:w="0" w:type="dxa"/>
            <w:left w:w="108" w:type="dxa"/>
            <w:bottom w:w="0" w:type="dxa"/>
            <w:right w:w="108" w:type="dxa"/>
          </w:tblCellMar>
        </w:tblPrEx>
        <w:tc>
          <w:tcPr>
            <w:tcW w:w="8840" w:type="dxa"/>
            <w:gridSpan w:val="8"/>
            <w:vAlign w:val="center"/>
          </w:tcPr>
          <w:p w14:paraId="473A2E74">
            <w:pPr>
              <w:jc w:val="center"/>
            </w:pPr>
            <w:r>
              <w:rPr>
                <w:rFonts w:ascii="宋体" w:hAnsi="宋体" w:eastAsia="宋体"/>
                <w:sz w:val="24"/>
              </w:rPr>
              <w:t>单位整体支出绩效自评表</w:t>
            </w:r>
          </w:p>
        </w:tc>
      </w:tr>
      <w:tr w14:paraId="17DD8E09">
        <w:tblPrEx>
          <w:tblCellMar>
            <w:top w:w="0" w:type="dxa"/>
            <w:left w:w="108" w:type="dxa"/>
            <w:bottom w:w="0" w:type="dxa"/>
            <w:right w:w="108" w:type="dxa"/>
          </w:tblCellMar>
        </w:tblPrEx>
        <w:tc>
          <w:tcPr>
            <w:tcW w:w="8840" w:type="dxa"/>
            <w:gridSpan w:val="8"/>
            <w:vAlign w:val="center"/>
          </w:tcPr>
          <w:p w14:paraId="7471F22E">
            <w:pPr>
              <w:jc w:val="center"/>
            </w:pPr>
            <w:r>
              <w:rPr>
                <w:rFonts w:ascii="宋体" w:hAnsi="宋体" w:eastAsia="宋体"/>
                <w:sz w:val="24"/>
              </w:rPr>
              <w:t>（2024年度）</w:t>
            </w:r>
          </w:p>
        </w:tc>
      </w:tr>
      <w:tr w14:paraId="60752C1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68C7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277892">
            <w:pPr>
              <w:jc w:val="center"/>
            </w:pPr>
            <w:r>
              <w:rPr>
                <w:rFonts w:ascii="宋体" w:hAnsi="宋体" w:eastAsia="宋体"/>
                <w:sz w:val="16"/>
              </w:rPr>
              <w:t>裕民县农业机械化技术学校</w:t>
            </w:r>
          </w:p>
        </w:tc>
      </w:tr>
      <w:tr w14:paraId="1EAAF5D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8ABB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06C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41E3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53F4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C37C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AB46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5364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D9C9F">
            <w:pPr>
              <w:jc w:val="center"/>
            </w:pPr>
            <w:r>
              <w:rPr>
                <w:rFonts w:ascii="宋体" w:hAnsi="宋体" w:eastAsia="宋体"/>
                <w:sz w:val="16"/>
              </w:rPr>
              <w:t>得分</w:t>
            </w:r>
          </w:p>
        </w:tc>
      </w:tr>
      <w:tr w14:paraId="7EA998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7B12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2A4D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7304F">
            <w:pPr>
              <w:jc w:val="center"/>
            </w:pPr>
            <w:r>
              <w:rPr>
                <w:rFonts w:ascii="宋体" w:hAnsi="宋体" w:eastAsia="宋体"/>
                <w:sz w:val="16"/>
              </w:rPr>
              <w:t>172.76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90FBB">
            <w:pPr>
              <w:jc w:val="center"/>
            </w:pPr>
            <w:r>
              <w:rPr>
                <w:rFonts w:ascii="宋体" w:hAnsi="宋体" w:eastAsia="宋体"/>
                <w:sz w:val="16"/>
              </w:rPr>
              <w:t>183.01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03A28">
            <w:pPr>
              <w:jc w:val="center"/>
            </w:pPr>
            <w:r>
              <w:rPr>
                <w:rFonts w:ascii="宋体" w:hAnsi="宋体" w:eastAsia="宋体"/>
                <w:sz w:val="16"/>
              </w:rPr>
              <w:t>180.55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65D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80BA7">
            <w:pPr>
              <w:jc w:val="center"/>
            </w:pPr>
            <w:r>
              <w:rPr>
                <w:rFonts w:ascii="宋体" w:hAnsi="宋体" w:eastAsia="宋体"/>
                <w:sz w:val="16"/>
              </w:rPr>
              <w:t>98.66%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530EF">
            <w:pPr>
              <w:jc w:val="center"/>
            </w:pPr>
            <w:r>
              <w:rPr>
                <w:rFonts w:ascii="宋体" w:hAnsi="宋体" w:eastAsia="宋体"/>
                <w:sz w:val="16"/>
              </w:rPr>
              <w:t>8.66</w:t>
            </w:r>
          </w:p>
        </w:tc>
      </w:tr>
      <w:tr w14:paraId="3D21D5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A26F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EDA5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8800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D9C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6F4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547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D15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9D19F">
            <w:pPr>
              <w:jc w:val="center"/>
            </w:pPr>
            <w:r>
              <w:rPr>
                <w:rFonts w:ascii="宋体" w:hAnsi="宋体" w:eastAsia="宋体"/>
                <w:sz w:val="16"/>
              </w:rPr>
              <w:t>-</w:t>
            </w:r>
          </w:p>
        </w:tc>
      </w:tr>
      <w:tr w14:paraId="094A9E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EA10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5C5F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45F9C">
            <w:pPr>
              <w:jc w:val="center"/>
            </w:pPr>
            <w:r>
              <w:rPr>
                <w:rFonts w:ascii="宋体" w:hAnsi="宋体" w:eastAsia="宋体"/>
                <w:sz w:val="16"/>
              </w:rPr>
              <w:t>172.76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E3C36">
            <w:pPr>
              <w:jc w:val="center"/>
            </w:pPr>
            <w:r>
              <w:rPr>
                <w:rFonts w:ascii="宋体" w:hAnsi="宋体" w:eastAsia="宋体"/>
                <w:sz w:val="16"/>
              </w:rPr>
              <w:t>183.01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90BDD">
            <w:pPr>
              <w:jc w:val="center"/>
            </w:pPr>
            <w:r>
              <w:rPr>
                <w:rFonts w:ascii="宋体" w:hAnsi="宋体" w:eastAsia="宋体"/>
                <w:sz w:val="16"/>
              </w:rPr>
              <w:t>180.55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38B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9E8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E33F6">
            <w:pPr>
              <w:jc w:val="center"/>
            </w:pPr>
            <w:r>
              <w:rPr>
                <w:rFonts w:ascii="宋体" w:hAnsi="宋体" w:eastAsia="宋体"/>
                <w:sz w:val="16"/>
              </w:rPr>
              <w:t>-</w:t>
            </w:r>
          </w:p>
        </w:tc>
      </w:tr>
      <w:tr w14:paraId="6BE546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9E9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3807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3801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C63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5EC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589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29B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00B00">
            <w:pPr>
              <w:jc w:val="center"/>
            </w:pPr>
            <w:r>
              <w:rPr>
                <w:rFonts w:ascii="宋体" w:hAnsi="宋体" w:eastAsia="宋体"/>
                <w:sz w:val="16"/>
              </w:rPr>
              <w:t>-</w:t>
            </w:r>
          </w:p>
        </w:tc>
      </w:tr>
      <w:tr w14:paraId="7078BA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B66F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2D2E0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4A09AF">
            <w:pPr>
              <w:jc w:val="center"/>
            </w:pPr>
            <w:r>
              <w:rPr>
                <w:rFonts w:ascii="宋体" w:hAnsi="宋体" w:eastAsia="宋体"/>
                <w:sz w:val="16"/>
              </w:rPr>
              <w:t>实际完成情况</w:t>
            </w:r>
          </w:p>
        </w:tc>
      </w:tr>
      <w:tr w14:paraId="5EF3BF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994C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F7CE19">
            <w:pPr>
              <w:jc w:val="both"/>
            </w:pPr>
            <w:r>
              <w:rPr>
                <w:rFonts w:ascii="宋体" w:hAnsi="宋体" w:eastAsia="宋体"/>
                <w:sz w:val="16"/>
              </w:rPr>
              <w:t>2024年农机校将紧紧围绕地委、县委提出的工作重点和任务</w:t>
            </w:r>
            <w:r>
              <w:rPr>
                <w:rFonts w:hint="eastAsia" w:ascii="宋体" w:hAnsi="宋体"/>
                <w:sz w:val="16"/>
                <w:lang w:eastAsia="zh-CN"/>
              </w:rPr>
              <w:t>，以</w:t>
            </w:r>
            <w:r>
              <w:rPr>
                <w:rFonts w:ascii="宋体" w:hAnsi="宋体" w:eastAsia="宋体"/>
                <w:sz w:val="16"/>
              </w:rPr>
              <w:t>协同推进农业机械化和经济社会高质量发展为主线，以改善农业全面机械化为核心，以解决突出问题为重点，以落实农机安全生产为抓手，全力抓好农业机械化工作,为全县农业生产全程机械化和经济社会高质量发展打下良好的基础。农机管理，农机科研,农机化调研，引进和推广农机新技术与新机具促进农业机械化发展，优化农业机械装备结构。</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83F40C">
            <w:pPr>
              <w:jc w:val="both"/>
            </w:pPr>
            <w:r>
              <w:rPr>
                <w:rFonts w:ascii="宋体" w:hAnsi="宋体" w:eastAsia="宋体"/>
                <w:sz w:val="16"/>
              </w:rPr>
              <w:t>2024年农机校将紧紧围绕地委、县委提出的工作重点和任务</w:t>
            </w:r>
            <w:r>
              <w:rPr>
                <w:rFonts w:hint="eastAsia" w:ascii="宋体" w:hAnsi="宋体"/>
                <w:sz w:val="16"/>
                <w:lang w:eastAsia="zh-CN"/>
              </w:rPr>
              <w:t>，以</w:t>
            </w:r>
            <w:r>
              <w:rPr>
                <w:rFonts w:ascii="宋体" w:hAnsi="宋体" w:eastAsia="宋体"/>
                <w:sz w:val="16"/>
              </w:rPr>
              <w:t>协同推进农业机械化和经济社会高质量发展为主线，以改善农业全面机械化为核心，以解决突出问题为重点，以落实农机安全生产为抓手，全力抓好农业机械化工作,为全县农业生产全程机械化和经济社会高质量发展打下良好的基础。农机管理，农机科研,农机化调研，引进和推广农机新技术与新机具促进农业机械化发展，优化农业机械装备结构。</w:t>
            </w:r>
          </w:p>
        </w:tc>
      </w:tr>
      <w:tr w14:paraId="33F0FA6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3E36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BEAE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89A3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CABD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4229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7A26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D0F9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1A88C">
            <w:pPr>
              <w:jc w:val="center"/>
            </w:pPr>
            <w:r>
              <w:rPr>
                <w:rFonts w:ascii="宋体" w:hAnsi="宋体" w:eastAsia="宋体"/>
                <w:sz w:val="16"/>
              </w:rPr>
              <w:t>得分</w:t>
            </w:r>
          </w:p>
        </w:tc>
      </w:tr>
      <w:tr w14:paraId="7D1AC5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F4AC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3433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AC402">
            <w:pPr>
              <w:jc w:val="center"/>
            </w:pPr>
            <w:r>
              <w:rPr>
                <w:rFonts w:ascii="宋体" w:hAnsi="宋体" w:eastAsia="宋体"/>
                <w:sz w:val="16"/>
              </w:rPr>
              <w:t>农机化调研次数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A3925">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EAED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8C06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85DDE">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3E63C">
            <w:pPr>
              <w:jc w:val="center"/>
            </w:pPr>
            <w:r>
              <w:rPr>
                <w:rFonts w:ascii="宋体" w:hAnsi="宋体" w:eastAsia="宋体"/>
                <w:sz w:val="16"/>
              </w:rPr>
              <w:t>15</w:t>
            </w:r>
          </w:p>
        </w:tc>
      </w:tr>
      <w:tr w14:paraId="655090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D6DDE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AE02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A4816">
            <w:pPr>
              <w:jc w:val="center"/>
            </w:pPr>
            <w:r>
              <w:rPr>
                <w:rFonts w:ascii="宋体" w:hAnsi="宋体" w:eastAsia="宋体"/>
                <w:sz w:val="16"/>
              </w:rPr>
              <w:t>农机管理县数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19BD4">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D0303">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DFBC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D4050">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077A1">
            <w:pPr>
              <w:jc w:val="center"/>
            </w:pPr>
            <w:r>
              <w:rPr>
                <w:rFonts w:ascii="宋体" w:hAnsi="宋体" w:eastAsia="宋体"/>
                <w:sz w:val="16"/>
              </w:rPr>
              <w:t>15</w:t>
            </w:r>
          </w:p>
        </w:tc>
      </w:tr>
      <w:tr w14:paraId="3385FC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62D7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6D02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23695">
            <w:pPr>
              <w:jc w:val="center"/>
            </w:pPr>
            <w:r>
              <w:rPr>
                <w:rFonts w:ascii="宋体" w:hAnsi="宋体" w:eastAsia="宋体"/>
                <w:sz w:val="16"/>
              </w:rPr>
              <w:t>开展农机培训次数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9B44D">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D8CC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15F2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A8027">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1B7C4">
            <w:pPr>
              <w:jc w:val="center"/>
            </w:pPr>
            <w:r>
              <w:rPr>
                <w:rFonts w:ascii="宋体" w:hAnsi="宋体" w:eastAsia="宋体"/>
                <w:sz w:val="16"/>
              </w:rPr>
              <w:t>15</w:t>
            </w:r>
          </w:p>
        </w:tc>
      </w:tr>
      <w:tr w14:paraId="664547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C192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E4C5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475ED">
            <w:pPr>
              <w:jc w:val="center"/>
            </w:pPr>
            <w:r>
              <w:rPr>
                <w:rFonts w:ascii="宋体" w:hAnsi="宋体" w:eastAsia="宋体"/>
                <w:sz w:val="16"/>
              </w:rPr>
              <w:t>开展农机宣传次数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C0BEE">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EE946">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5B2D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9E360">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17814">
            <w:pPr>
              <w:jc w:val="center"/>
            </w:pPr>
            <w:r>
              <w:rPr>
                <w:rFonts w:ascii="宋体" w:hAnsi="宋体" w:eastAsia="宋体"/>
                <w:sz w:val="16"/>
              </w:rPr>
              <w:t>15</w:t>
            </w:r>
          </w:p>
        </w:tc>
      </w:tr>
      <w:tr w14:paraId="1FD690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03E0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33EF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024FE">
            <w:pPr>
              <w:jc w:val="center"/>
            </w:pPr>
            <w:r>
              <w:rPr>
                <w:rFonts w:ascii="宋体" w:hAnsi="宋体" w:eastAsia="宋体"/>
                <w:sz w:val="16"/>
              </w:rPr>
              <w:t>开展田间操作示范次数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31289">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3C538">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CAD1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075F5">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D65C3">
            <w:pPr>
              <w:jc w:val="center"/>
            </w:pPr>
            <w:r>
              <w:rPr>
                <w:rFonts w:ascii="宋体" w:hAnsi="宋体" w:eastAsia="宋体"/>
                <w:sz w:val="16"/>
              </w:rPr>
              <w:t>15</w:t>
            </w:r>
          </w:p>
        </w:tc>
      </w:tr>
      <w:tr w14:paraId="0B1E2B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930F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E147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AFFF3">
            <w:pPr>
              <w:jc w:val="center"/>
            </w:pPr>
            <w:r>
              <w:rPr>
                <w:rFonts w:ascii="宋体" w:hAnsi="宋体" w:eastAsia="宋体"/>
                <w:sz w:val="16"/>
              </w:rPr>
              <w:t>培训学员人数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0E55A">
            <w:pPr>
              <w:jc w:val="center"/>
            </w:pPr>
            <w:r>
              <w:rPr>
                <w:rFonts w:ascii="宋体" w:hAnsi="宋体" w:eastAsia="宋体"/>
                <w:sz w:val="16"/>
              </w:rPr>
              <w:t>&gt;=40人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9256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06A5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A26A2">
            <w:pPr>
              <w:jc w:val="center"/>
            </w:pPr>
            <w:r>
              <w:rPr>
                <w:rFonts w:ascii="宋体" w:hAnsi="宋体" w:eastAsia="宋体"/>
                <w:sz w:val="16"/>
              </w:rPr>
              <w:t>96人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DEAB2">
            <w:pPr>
              <w:jc w:val="center"/>
            </w:pPr>
            <w:r>
              <w:rPr>
                <w:rFonts w:ascii="宋体" w:hAnsi="宋体" w:eastAsia="宋体"/>
                <w:sz w:val="16"/>
              </w:rPr>
              <w:t>15</w:t>
            </w:r>
          </w:p>
        </w:tc>
      </w:tr>
    </w:tbl>
    <w:p w14:paraId="4EC057B9">
      <w:r>
        <w:br w:type="page"/>
      </w:r>
    </w:p>
    <w:p w14:paraId="7589CCB0">
      <w:pPr>
        <w:spacing w:line="640" w:lineRule="exact"/>
        <w:ind w:firstLine="640"/>
        <w:jc w:val="both"/>
        <w:outlineLvl w:val="2"/>
      </w:pPr>
      <w:r>
        <w:rPr>
          <w:rFonts w:ascii="黑体" w:hAnsi="黑体" w:eastAsia="黑体"/>
          <w:sz w:val="32"/>
        </w:rPr>
        <w:t>十二、其他需说明的事项</w:t>
      </w:r>
    </w:p>
    <w:p w14:paraId="21A9C0E6">
      <w:pPr>
        <w:spacing w:line="580" w:lineRule="exact"/>
        <w:ind w:firstLine="640"/>
        <w:jc w:val="both"/>
      </w:pPr>
      <w:r>
        <w:rPr>
          <w:rFonts w:ascii="仿宋_GB2312" w:hAnsi="仿宋_GB2312" w:eastAsia="仿宋_GB2312"/>
          <w:b w:val="0"/>
          <w:sz w:val="32"/>
        </w:rPr>
        <w:t>本单位无其他需说明的事项。</w:t>
      </w:r>
    </w:p>
    <w:p w14:paraId="3F1C084A">
      <w:r>
        <w:br w:type="page"/>
      </w:r>
    </w:p>
    <w:p w14:paraId="4760939D">
      <w:pPr>
        <w:spacing w:line="240" w:lineRule="auto"/>
        <w:jc w:val="center"/>
        <w:outlineLvl w:val="1"/>
      </w:pPr>
      <w:r>
        <w:rPr>
          <w:rFonts w:ascii="黑体" w:hAnsi="黑体" w:eastAsia="黑体"/>
          <w:sz w:val="32"/>
        </w:rPr>
        <w:t>第三部分 专业名词解释</w:t>
      </w:r>
    </w:p>
    <w:p w14:paraId="1AF04F7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7442F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794EF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A922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1F3E5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88B97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FC049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CD660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82E85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0D81A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606C4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C8D78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6DB75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A1338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D00503">
      <w:r>
        <w:br w:type="page"/>
      </w:r>
    </w:p>
    <w:p w14:paraId="5677BEEC">
      <w:pPr>
        <w:spacing w:line="240" w:lineRule="auto"/>
        <w:jc w:val="center"/>
        <w:outlineLvl w:val="1"/>
      </w:pPr>
      <w:r>
        <w:rPr>
          <w:rFonts w:ascii="黑体" w:hAnsi="黑体" w:eastAsia="黑体"/>
          <w:sz w:val="32"/>
        </w:rPr>
        <w:t>第四部分 部门决算报表（见附表）</w:t>
      </w:r>
    </w:p>
    <w:p w14:paraId="5B9644E9">
      <w:pPr>
        <w:spacing w:line="240" w:lineRule="auto"/>
        <w:ind w:firstLine="640"/>
        <w:jc w:val="both"/>
      </w:pPr>
      <w:r>
        <w:rPr>
          <w:rFonts w:ascii="仿宋_GB2312" w:hAnsi="仿宋_GB2312" w:eastAsia="仿宋_GB2312"/>
          <w:b w:val="0"/>
          <w:sz w:val="32"/>
        </w:rPr>
        <w:t>一、《收入支出决算总表》</w:t>
      </w:r>
    </w:p>
    <w:p w14:paraId="1CCBFD95">
      <w:pPr>
        <w:spacing w:line="240" w:lineRule="auto"/>
        <w:ind w:firstLine="640"/>
        <w:jc w:val="both"/>
      </w:pPr>
      <w:r>
        <w:rPr>
          <w:rFonts w:ascii="仿宋_GB2312" w:hAnsi="仿宋_GB2312" w:eastAsia="仿宋_GB2312"/>
          <w:b w:val="0"/>
          <w:sz w:val="32"/>
        </w:rPr>
        <w:t>二、《收入决算表》</w:t>
      </w:r>
    </w:p>
    <w:p w14:paraId="1F61F601">
      <w:pPr>
        <w:spacing w:line="240" w:lineRule="auto"/>
        <w:ind w:firstLine="640"/>
        <w:jc w:val="both"/>
      </w:pPr>
      <w:r>
        <w:rPr>
          <w:rFonts w:ascii="仿宋_GB2312" w:hAnsi="仿宋_GB2312" w:eastAsia="仿宋_GB2312"/>
          <w:b w:val="0"/>
          <w:sz w:val="32"/>
        </w:rPr>
        <w:t>三、《支出决算表》</w:t>
      </w:r>
    </w:p>
    <w:p w14:paraId="59CF13A1">
      <w:pPr>
        <w:spacing w:line="240" w:lineRule="auto"/>
        <w:ind w:firstLine="640"/>
        <w:jc w:val="both"/>
      </w:pPr>
      <w:r>
        <w:rPr>
          <w:rFonts w:ascii="仿宋_GB2312" w:hAnsi="仿宋_GB2312" w:eastAsia="仿宋_GB2312"/>
          <w:b w:val="0"/>
          <w:sz w:val="32"/>
        </w:rPr>
        <w:t>四、《财政拨款收入支出决算总表》</w:t>
      </w:r>
    </w:p>
    <w:p w14:paraId="2A16D87A">
      <w:pPr>
        <w:spacing w:line="240" w:lineRule="auto"/>
        <w:ind w:firstLine="640"/>
        <w:jc w:val="both"/>
      </w:pPr>
      <w:r>
        <w:rPr>
          <w:rFonts w:ascii="仿宋_GB2312" w:hAnsi="仿宋_GB2312" w:eastAsia="仿宋_GB2312"/>
          <w:b w:val="0"/>
          <w:sz w:val="32"/>
        </w:rPr>
        <w:t>五、《一般公共预算财政拨款支出决算表》</w:t>
      </w:r>
    </w:p>
    <w:p w14:paraId="18C123E2">
      <w:pPr>
        <w:spacing w:line="240" w:lineRule="auto"/>
        <w:ind w:firstLine="640"/>
        <w:jc w:val="both"/>
      </w:pPr>
      <w:r>
        <w:rPr>
          <w:rFonts w:ascii="仿宋_GB2312" w:hAnsi="仿宋_GB2312" w:eastAsia="仿宋_GB2312"/>
          <w:b w:val="0"/>
          <w:sz w:val="32"/>
        </w:rPr>
        <w:t>六、《一般公共预算财政拨款基本支出决算表》</w:t>
      </w:r>
    </w:p>
    <w:p w14:paraId="6FB5C9EC">
      <w:pPr>
        <w:spacing w:line="240" w:lineRule="auto"/>
        <w:ind w:firstLine="640"/>
        <w:jc w:val="both"/>
      </w:pPr>
      <w:r>
        <w:rPr>
          <w:rFonts w:ascii="仿宋_GB2312" w:hAnsi="仿宋_GB2312" w:eastAsia="仿宋_GB2312"/>
          <w:b w:val="0"/>
          <w:sz w:val="32"/>
        </w:rPr>
        <w:t>七、《政府性基金预算财政拨款收入支出决算表》</w:t>
      </w:r>
    </w:p>
    <w:p w14:paraId="7C965BF3">
      <w:pPr>
        <w:spacing w:line="240" w:lineRule="auto"/>
        <w:ind w:firstLine="640"/>
        <w:jc w:val="both"/>
      </w:pPr>
      <w:r>
        <w:rPr>
          <w:rFonts w:ascii="仿宋_GB2312" w:hAnsi="仿宋_GB2312" w:eastAsia="仿宋_GB2312"/>
          <w:b w:val="0"/>
          <w:sz w:val="32"/>
        </w:rPr>
        <w:t>八、《国有资本经营预算财政拨款收入支出决算表》</w:t>
      </w:r>
    </w:p>
    <w:p w14:paraId="3B5C98BA">
      <w:pPr>
        <w:spacing w:line="240" w:lineRule="auto"/>
        <w:ind w:firstLine="640"/>
        <w:jc w:val="both"/>
      </w:pPr>
      <w:r>
        <w:rPr>
          <w:rFonts w:ascii="仿宋_GB2312" w:hAnsi="仿宋_GB2312" w:eastAsia="仿宋_GB2312"/>
          <w:b w:val="0"/>
          <w:sz w:val="32"/>
        </w:rPr>
        <w:t>九、《财政拨款“三公”经费支出决算表》</w:t>
      </w:r>
    </w:p>
    <w:p w14:paraId="7FEE9DC7">
      <w:pPr>
        <w:spacing w:line="240" w:lineRule="auto"/>
        <w:ind w:firstLine="640"/>
        <w:jc w:val="both"/>
      </w:pPr>
    </w:p>
    <w:p w14:paraId="7AB686C9">
      <w:pPr>
        <w:spacing w:line="240" w:lineRule="auto"/>
        <w:ind w:firstLine="640"/>
        <w:jc w:val="both"/>
      </w:pPr>
    </w:p>
    <w:p w14:paraId="3B9B0F6C">
      <w:pPr>
        <w:spacing w:line="240" w:lineRule="auto"/>
        <w:ind w:firstLine="640"/>
        <w:jc w:val="both"/>
      </w:pPr>
    </w:p>
    <w:p w14:paraId="7E994136">
      <w:pPr>
        <w:spacing w:line="240" w:lineRule="auto"/>
        <w:ind w:firstLine="640"/>
        <w:jc w:val="both"/>
      </w:pPr>
    </w:p>
    <w:p w14:paraId="32AFB2F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4">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DA6378"/>
    <w:rsid w:val="15DA4BB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4200</Words>
  <Characters>4833</Characters>
  <Lines>0</Lines>
  <Paragraphs>0</Paragraphs>
  <TotalTime>8</TotalTime>
  <ScaleCrop>false</ScaleCrop>
  <LinksUpToDate>false</LinksUpToDate>
  <CharactersWithSpaces>4841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