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A83E8D">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1B98EB3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26E28E5">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1DD40C0">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57E4939">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509FCBA">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裕民县公安局2024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6828B8D2">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AC3BC8C">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027C48B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65E0DDC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64300AE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68E6A44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0760F6B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27D6F69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1F8D68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761973C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5F17884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2B937E4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0B2CCF72">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244EB68D">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35E789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55EBB85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DAB777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7AC5EE5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DB79AB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56759AE6">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6DA07679">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60F28E35">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2A7B185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52D424E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0957830A">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1DEE91F9">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751F6FC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7C27022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20ACBC0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5716BF1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3BE75A5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47CB095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5D0144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66EE887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CB722C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6CAB3F1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B8C2E7C">
      <w:r>
        <w:br w:type="page"/>
      </w:r>
    </w:p>
    <w:p w14:paraId="6D8DD854">
      <w:pPr>
        <w:spacing w:line="640" w:lineRule="exact"/>
        <w:jc w:val="center"/>
        <w:outlineLvl w:val="1"/>
      </w:pPr>
      <w:r>
        <w:rPr>
          <w:rFonts w:ascii="黑体" w:hAnsi="黑体" w:eastAsia="黑体"/>
          <w:sz w:val="32"/>
        </w:rPr>
        <w:t>第一部分 单位概况</w:t>
      </w:r>
    </w:p>
    <w:p w14:paraId="7AD30A25">
      <w:pPr>
        <w:spacing w:line="640" w:lineRule="exact"/>
        <w:ind w:firstLine="640"/>
        <w:jc w:val="both"/>
        <w:outlineLvl w:val="2"/>
      </w:pPr>
      <w:r>
        <w:rPr>
          <w:rFonts w:ascii="黑体" w:hAnsi="黑体" w:eastAsia="黑体"/>
          <w:sz w:val="32"/>
        </w:rPr>
        <w:t>一、主要职能</w:t>
      </w:r>
    </w:p>
    <w:p w14:paraId="6B1FD6A1">
      <w:pPr>
        <w:spacing w:line="580" w:lineRule="exact"/>
        <w:ind w:firstLine="640"/>
        <w:jc w:val="both"/>
      </w:pPr>
      <w:r>
        <w:rPr>
          <w:rFonts w:hint="eastAsia" w:ascii="仿宋_GB2312" w:hAnsi="仿宋_GB2312" w:eastAsia="仿宋_GB2312"/>
          <w:sz w:val="32"/>
          <w:lang w:val="en-US" w:eastAsia="zh-CN"/>
        </w:rPr>
        <w:t>本单位主要职能不予公开</w:t>
      </w:r>
      <w:r>
        <w:rPr>
          <w:rFonts w:ascii="仿宋_GB2312" w:hAnsi="仿宋_GB2312" w:eastAsia="仿宋_GB2312"/>
          <w:sz w:val="32"/>
        </w:rPr>
        <w:t>。</w:t>
      </w:r>
    </w:p>
    <w:p w14:paraId="5F8E680E">
      <w:pPr>
        <w:spacing w:line="640" w:lineRule="exact"/>
        <w:ind w:firstLine="640"/>
        <w:jc w:val="both"/>
        <w:outlineLvl w:val="2"/>
      </w:pPr>
      <w:r>
        <w:rPr>
          <w:rFonts w:ascii="黑体" w:hAnsi="黑体" w:eastAsia="黑体"/>
          <w:sz w:val="32"/>
        </w:rPr>
        <w:t>二、机构设置及人员情况</w:t>
      </w:r>
    </w:p>
    <w:p w14:paraId="2EB5478A">
      <w:pPr>
        <w:spacing w:line="580" w:lineRule="exact"/>
        <w:ind w:firstLine="640"/>
        <w:jc w:val="both"/>
      </w:pPr>
      <w:r>
        <w:rPr>
          <w:rFonts w:hint="eastAsia" w:ascii="仿宋_GB2312" w:hAnsi="仿宋_GB2312" w:eastAsia="仿宋_GB2312"/>
          <w:sz w:val="32"/>
          <w:lang w:val="en-US" w:eastAsia="zh-CN"/>
        </w:rPr>
        <w:t>本单位机构设置及人员情况不予公开</w:t>
      </w:r>
      <w:r>
        <w:rPr>
          <w:rFonts w:ascii="仿宋_GB2312" w:hAnsi="仿宋_GB2312" w:eastAsia="仿宋_GB2312"/>
          <w:sz w:val="32"/>
        </w:rPr>
        <w:t>。</w:t>
      </w:r>
    </w:p>
    <w:p w14:paraId="43879C62">
      <w:r>
        <w:br w:type="page"/>
      </w:r>
    </w:p>
    <w:p w14:paraId="2F3DD003">
      <w:pPr>
        <w:spacing w:line="240" w:lineRule="auto"/>
        <w:jc w:val="center"/>
        <w:outlineLvl w:val="1"/>
      </w:pPr>
      <w:r>
        <w:rPr>
          <w:rFonts w:ascii="黑体" w:hAnsi="黑体" w:eastAsia="黑体"/>
          <w:sz w:val="32"/>
        </w:rPr>
        <w:t>第二部分 部门决算情况说明</w:t>
      </w:r>
    </w:p>
    <w:p w14:paraId="1110C5FB">
      <w:pPr>
        <w:spacing w:line="640" w:lineRule="exact"/>
        <w:ind w:firstLine="640"/>
        <w:jc w:val="both"/>
        <w:outlineLvl w:val="2"/>
      </w:pPr>
      <w:r>
        <w:rPr>
          <w:rFonts w:ascii="黑体" w:hAnsi="黑体" w:eastAsia="黑体"/>
          <w:sz w:val="32"/>
        </w:rPr>
        <w:t>一、收入支出决算总体情况说明</w:t>
      </w:r>
    </w:p>
    <w:p w14:paraId="3E91C847">
      <w:pPr>
        <w:spacing w:line="580" w:lineRule="exact"/>
        <w:ind w:firstLine="640"/>
        <w:jc w:val="both"/>
      </w:pPr>
      <w:r>
        <w:rPr>
          <w:rFonts w:ascii="仿宋_GB2312" w:hAnsi="仿宋_GB2312" w:eastAsia="仿宋_GB2312"/>
          <w:b/>
          <w:sz w:val="32"/>
        </w:rPr>
        <w:t>2024年度收入总计9,054.38万元，</w:t>
      </w:r>
      <w:r>
        <w:rPr>
          <w:rFonts w:ascii="仿宋_GB2312" w:hAnsi="仿宋_GB2312" w:eastAsia="仿宋_GB2312"/>
          <w:b w:val="0"/>
          <w:sz w:val="32"/>
        </w:rPr>
        <w:t>其中：本年收入合计8,957.67万元，使用非财政拨款结余（含专用结余）0.00万元，年初结转和结余96.71万元。</w:t>
      </w:r>
    </w:p>
    <w:p w14:paraId="757B5189">
      <w:pPr>
        <w:spacing w:line="580" w:lineRule="exact"/>
        <w:ind w:firstLine="640"/>
        <w:jc w:val="both"/>
      </w:pPr>
      <w:r>
        <w:rPr>
          <w:rFonts w:ascii="仿宋_GB2312" w:hAnsi="仿宋_GB2312" w:eastAsia="仿宋_GB2312"/>
          <w:b/>
          <w:sz w:val="32"/>
        </w:rPr>
        <w:t>2024年度支出总计9,054.38万元，</w:t>
      </w:r>
      <w:r>
        <w:rPr>
          <w:rFonts w:ascii="仿宋_GB2312" w:hAnsi="仿宋_GB2312" w:eastAsia="仿宋_GB2312"/>
          <w:b w:val="0"/>
          <w:sz w:val="32"/>
        </w:rPr>
        <w:t>其中：本年支出合计8,957.67万元，结余分配0.00万元，年末结转和结余96.71万元。</w:t>
      </w:r>
    </w:p>
    <w:p w14:paraId="1AA01ABD">
      <w:pPr>
        <w:spacing w:line="580" w:lineRule="exact"/>
        <w:ind w:firstLine="640"/>
        <w:jc w:val="both"/>
      </w:pPr>
      <w:r>
        <w:rPr>
          <w:rFonts w:ascii="仿宋_GB2312" w:hAnsi="仿宋_GB2312" w:eastAsia="仿宋_GB2312"/>
          <w:b w:val="0"/>
          <w:sz w:val="32"/>
        </w:rPr>
        <w:t>收入支出总体与上年相比，增加3,065.84万元，增长51.20%，主要原因是：本年新增专项资金；增加其他人员人身意外保险经费、体检费、被装及装备购置费；增加电子警察和视频补点</w:t>
      </w:r>
      <w:r>
        <w:rPr>
          <w:rFonts w:hint="eastAsia" w:ascii="仿宋_GB2312" w:hAnsi="仿宋_GB2312" w:eastAsia="仿宋_GB2312"/>
          <w:b w:val="0"/>
          <w:sz w:val="32"/>
          <w:lang w:val="en-US" w:eastAsia="zh-CN"/>
        </w:rPr>
        <w:t>费用</w:t>
      </w:r>
      <w:r>
        <w:rPr>
          <w:rFonts w:ascii="仿宋_GB2312" w:hAnsi="仿宋_GB2312" w:eastAsia="仿宋_GB2312"/>
          <w:b w:val="0"/>
          <w:sz w:val="32"/>
        </w:rPr>
        <w:t>；人员工资调增，人员经费增加。</w:t>
      </w:r>
    </w:p>
    <w:p w14:paraId="06BEE615">
      <w:pPr>
        <w:spacing w:line="640" w:lineRule="exact"/>
        <w:ind w:firstLine="640"/>
        <w:jc w:val="both"/>
        <w:outlineLvl w:val="2"/>
      </w:pPr>
      <w:r>
        <w:rPr>
          <w:rFonts w:ascii="黑体" w:hAnsi="黑体" w:eastAsia="黑体"/>
          <w:sz w:val="32"/>
        </w:rPr>
        <w:t>二、收入决算情况说明</w:t>
      </w:r>
    </w:p>
    <w:p w14:paraId="08621BF1">
      <w:pPr>
        <w:spacing w:line="580" w:lineRule="exact"/>
        <w:ind w:firstLine="640"/>
        <w:jc w:val="both"/>
      </w:pPr>
      <w:r>
        <w:rPr>
          <w:rFonts w:ascii="仿宋_GB2312" w:hAnsi="仿宋_GB2312" w:eastAsia="仿宋_GB2312"/>
          <w:b/>
          <w:sz w:val="32"/>
        </w:rPr>
        <w:t>本年收入8,957.67万元，</w:t>
      </w:r>
      <w:r>
        <w:rPr>
          <w:rFonts w:ascii="仿宋_GB2312" w:hAnsi="仿宋_GB2312" w:eastAsia="仿宋_GB2312"/>
          <w:b w:val="0"/>
          <w:sz w:val="32"/>
        </w:rPr>
        <w:t>其中：财政拨款收入8,853.67万元，占98.84%；上级补助收入0.00万元，占0.00%；事业收入0.00万元，占0.00%；经营收入0.00万元，占0.00%；附属单位上缴收入0.00万元，占0.00%；其他收入104.00万元，占1.16%。</w:t>
      </w:r>
    </w:p>
    <w:p w14:paraId="5889A399">
      <w:pPr>
        <w:spacing w:line="640" w:lineRule="exact"/>
        <w:ind w:firstLine="640"/>
        <w:jc w:val="both"/>
        <w:outlineLvl w:val="2"/>
      </w:pPr>
      <w:r>
        <w:rPr>
          <w:rFonts w:ascii="黑体" w:hAnsi="黑体" w:eastAsia="黑体"/>
          <w:sz w:val="32"/>
        </w:rPr>
        <w:t>三、支出决算情况说明</w:t>
      </w:r>
    </w:p>
    <w:p w14:paraId="7EBEE4A6">
      <w:pPr>
        <w:spacing w:line="580" w:lineRule="exact"/>
        <w:ind w:firstLine="640"/>
        <w:jc w:val="both"/>
      </w:pPr>
      <w:r>
        <w:rPr>
          <w:rFonts w:ascii="仿宋_GB2312" w:hAnsi="仿宋_GB2312" w:eastAsia="仿宋_GB2312"/>
          <w:b/>
          <w:sz w:val="32"/>
        </w:rPr>
        <w:t>本年支出8,957.67万元，</w:t>
      </w:r>
      <w:r>
        <w:rPr>
          <w:rFonts w:ascii="仿宋_GB2312" w:hAnsi="仿宋_GB2312" w:eastAsia="仿宋_GB2312"/>
          <w:b w:val="0"/>
          <w:sz w:val="32"/>
        </w:rPr>
        <w:t>其中：基本支出8,342.55万元，占93.13%；项目支出615.12万元，占6.87%；上缴上级支出0.00万元，占0.00%；经营支出0.00万元，占0.00%；对附属单位补助支出0.00万元，占0.00%。</w:t>
      </w:r>
    </w:p>
    <w:p w14:paraId="46703B8C">
      <w:pPr>
        <w:spacing w:line="640" w:lineRule="exact"/>
        <w:ind w:firstLine="640"/>
        <w:jc w:val="both"/>
        <w:outlineLvl w:val="2"/>
      </w:pPr>
      <w:r>
        <w:rPr>
          <w:rFonts w:ascii="黑体" w:hAnsi="黑体" w:eastAsia="黑体"/>
          <w:sz w:val="32"/>
        </w:rPr>
        <w:t>四、财政拨款收入支出决算总体情况说明</w:t>
      </w:r>
    </w:p>
    <w:p w14:paraId="0B019624">
      <w:pPr>
        <w:spacing w:line="580" w:lineRule="exact"/>
        <w:ind w:firstLine="640"/>
        <w:jc w:val="both"/>
      </w:pPr>
      <w:r>
        <w:rPr>
          <w:rFonts w:ascii="仿宋_GB2312" w:hAnsi="仿宋_GB2312" w:eastAsia="仿宋_GB2312"/>
          <w:b/>
          <w:sz w:val="32"/>
        </w:rPr>
        <w:t>2024年度财政拨款收入总计8,853.67万元，</w:t>
      </w:r>
      <w:r>
        <w:rPr>
          <w:rFonts w:ascii="仿宋_GB2312" w:hAnsi="仿宋_GB2312" w:eastAsia="仿宋_GB2312"/>
          <w:b w:val="0"/>
          <w:sz w:val="32"/>
        </w:rPr>
        <w:t>其中：年初财政拨款结转和结余0.00万元，本年财政拨款收入8,853.67万元。</w:t>
      </w:r>
      <w:r>
        <w:rPr>
          <w:rFonts w:ascii="仿宋_GB2312" w:hAnsi="仿宋_GB2312" w:eastAsia="仿宋_GB2312"/>
          <w:b/>
          <w:sz w:val="32"/>
        </w:rPr>
        <w:t>财政拨款支出总计8,853.67万元，</w:t>
      </w:r>
      <w:r>
        <w:rPr>
          <w:rFonts w:ascii="仿宋_GB2312" w:hAnsi="仿宋_GB2312" w:eastAsia="仿宋_GB2312"/>
          <w:b w:val="0"/>
          <w:sz w:val="32"/>
        </w:rPr>
        <w:t>其中：年末财政拨款结转和结余0.00万元，本年财政拨款支出8,853.67万元。</w:t>
      </w:r>
    </w:p>
    <w:p w14:paraId="2133616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增加4,455.23万元，增长101.29%，主要原因是：本年新增专项资金；增加其他人员人身意外保险经费、体检费、被装及装备购置费；增加电子警察和视频补点</w:t>
      </w:r>
      <w:r>
        <w:rPr>
          <w:rFonts w:hint="eastAsia" w:ascii="仿宋_GB2312" w:hAnsi="仿宋_GB2312" w:eastAsia="仿宋_GB2312"/>
          <w:b w:val="0"/>
          <w:sz w:val="32"/>
          <w:lang w:val="en-US" w:eastAsia="zh-CN"/>
        </w:rPr>
        <w:t>经费</w:t>
      </w:r>
      <w:r>
        <w:rPr>
          <w:rFonts w:ascii="仿宋_GB2312" w:hAnsi="仿宋_GB2312" w:eastAsia="仿宋_GB2312"/>
          <w:b w:val="0"/>
          <w:sz w:val="32"/>
        </w:rPr>
        <w:t>；人员工资调增，人员经费增加。</w:t>
      </w:r>
      <w:r>
        <w:rPr>
          <w:rFonts w:ascii="仿宋_GB2312" w:hAnsi="仿宋_GB2312" w:eastAsia="仿宋_GB2312"/>
          <w:b/>
          <w:sz w:val="32"/>
        </w:rPr>
        <w:t>与年初预算相比，</w:t>
      </w:r>
      <w:r>
        <w:rPr>
          <w:rFonts w:ascii="仿宋_GB2312" w:hAnsi="仿宋_GB2312" w:eastAsia="仿宋_GB2312"/>
          <w:b w:val="0"/>
          <w:sz w:val="32"/>
        </w:rPr>
        <w:t>年初预算数8,817.07万元，决算数8,853.67万元，预决算差异率0.42%，主要原因是：年中追加人员工资、社保、公积金基数调增部分资金、退休去世人员抚恤金、职业年金及电子警察和视频补点</w:t>
      </w:r>
      <w:r>
        <w:rPr>
          <w:rFonts w:hint="eastAsia" w:ascii="仿宋_GB2312" w:hAnsi="仿宋_GB2312" w:eastAsia="仿宋_GB2312"/>
          <w:b w:val="0"/>
          <w:sz w:val="32"/>
          <w:lang w:val="en-US" w:eastAsia="zh-CN"/>
        </w:rPr>
        <w:t>经费</w:t>
      </w:r>
      <w:r>
        <w:rPr>
          <w:rFonts w:ascii="仿宋_GB2312" w:hAnsi="仿宋_GB2312" w:eastAsia="仿宋_GB2312"/>
          <w:b w:val="0"/>
          <w:sz w:val="32"/>
        </w:rPr>
        <w:t>，导致预决算存在差异。</w:t>
      </w:r>
    </w:p>
    <w:p w14:paraId="5214F1B0">
      <w:pPr>
        <w:spacing w:line="640" w:lineRule="exact"/>
        <w:ind w:firstLine="640"/>
        <w:jc w:val="both"/>
        <w:outlineLvl w:val="2"/>
      </w:pPr>
      <w:r>
        <w:rPr>
          <w:rFonts w:ascii="黑体" w:hAnsi="黑体" w:eastAsia="黑体"/>
          <w:sz w:val="32"/>
        </w:rPr>
        <w:t>五、一般公共预算财政拨款支出决算情况说明</w:t>
      </w:r>
    </w:p>
    <w:p w14:paraId="76090A25">
      <w:pPr>
        <w:spacing w:line="640" w:lineRule="exact"/>
        <w:ind w:firstLine="640"/>
        <w:jc w:val="both"/>
        <w:outlineLvl w:val="3"/>
      </w:pPr>
      <w:r>
        <w:rPr>
          <w:rFonts w:ascii="楷体_GB2312" w:hAnsi="楷体_GB2312" w:eastAsia="楷体_GB2312"/>
          <w:b/>
          <w:sz w:val="32"/>
        </w:rPr>
        <w:t>（一）一般公共预算财政拨款支出决算总体情况</w:t>
      </w:r>
    </w:p>
    <w:p w14:paraId="32D730E6">
      <w:pPr>
        <w:spacing w:line="580" w:lineRule="exact"/>
        <w:ind w:firstLine="640"/>
        <w:jc w:val="both"/>
      </w:pPr>
      <w:r>
        <w:rPr>
          <w:rFonts w:ascii="仿宋_GB2312" w:hAnsi="仿宋_GB2312" w:eastAsia="仿宋_GB2312"/>
          <w:b/>
          <w:sz w:val="32"/>
        </w:rPr>
        <w:t>2024年度一般公共预算财政拨款支出8,853.67万元，</w:t>
      </w:r>
      <w:r>
        <w:rPr>
          <w:rFonts w:ascii="仿宋_GB2312" w:hAnsi="仿宋_GB2312" w:eastAsia="仿宋_GB2312"/>
          <w:b w:val="0"/>
          <w:sz w:val="32"/>
        </w:rPr>
        <w:t>占本年支出合计的98.84%。</w:t>
      </w:r>
      <w:r>
        <w:rPr>
          <w:rFonts w:ascii="仿宋_GB2312" w:hAnsi="仿宋_GB2312" w:eastAsia="仿宋_GB2312"/>
          <w:b/>
          <w:sz w:val="32"/>
        </w:rPr>
        <w:t>与上年相比，</w:t>
      </w:r>
      <w:r>
        <w:rPr>
          <w:rFonts w:ascii="仿宋_GB2312" w:hAnsi="仿宋_GB2312" w:eastAsia="仿宋_GB2312"/>
          <w:b w:val="0"/>
          <w:sz w:val="32"/>
        </w:rPr>
        <w:t>增加4,458.92万元，增长101.46%，主要原因是：本年新增专项资金；增加其他人员人身意外保险经费、体检费、被装及装备购置费；增加电子警察和视频补点</w:t>
      </w:r>
      <w:r>
        <w:rPr>
          <w:rFonts w:hint="eastAsia" w:ascii="仿宋_GB2312" w:hAnsi="仿宋_GB2312" w:eastAsia="仿宋_GB2312"/>
          <w:b w:val="0"/>
          <w:sz w:val="32"/>
          <w:lang w:val="en-US" w:eastAsia="zh-CN"/>
        </w:rPr>
        <w:t>经费</w:t>
      </w:r>
      <w:r>
        <w:rPr>
          <w:rFonts w:ascii="仿宋_GB2312" w:hAnsi="仿宋_GB2312" w:eastAsia="仿宋_GB2312"/>
          <w:b w:val="0"/>
          <w:sz w:val="32"/>
        </w:rPr>
        <w:t>；人员工资调增，人员经费增加。</w:t>
      </w:r>
      <w:r>
        <w:rPr>
          <w:rFonts w:ascii="仿宋_GB2312" w:hAnsi="仿宋_GB2312" w:eastAsia="仿宋_GB2312"/>
          <w:b/>
          <w:sz w:val="32"/>
        </w:rPr>
        <w:t>与年初预算相比,</w:t>
      </w:r>
      <w:r>
        <w:rPr>
          <w:rFonts w:ascii="仿宋_GB2312" w:hAnsi="仿宋_GB2312" w:eastAsia="仿宋_GB2312"/>
          <w:b w:val="0"/>
          <w:sz w:val="32"/>
        </w:rPr>
        <w:t>年初预算数8,817.07万元，决算数8,853.67万元，预决算差异率0.42%，主要原因是：年中追加人员工资、社保、公积金基数调增部分资金、退休去世人员抚恤金、职业年金及电子警察和视频补点</w:t>
      </w:r>
      <w:r>
        <w:rPr>
          <w:rFonts w:hint="eastAsia" w:ascii="仿宋_GB2312" w:hAnsi="仿宋_GB2312" w:eastAsia="仿宋_GB2312"/>
          <w:b w:val="0"/>
          <w:sz w:val="32"/>
          <w:lang w:val="en-US" w:eastAsia="zh-CN"/>
        </w:rPr>
        <w:t>经费</w:t>
      </w:r>
      <w:r>
        <w:rPr>
          <w:rFonts w:ascii="仿宋_GB2312" w:hAnsi="仿宋_GB2312" w:eastAsia="仿宋_GB2312"/>
          <w:b w:val="0"/>
          <w:sz w:val="32"/>
        </w:rPr>
        <w:t>，导致预决算存在差异。</w:t>
      </w:r>
    </w:p>
    <w:p w14:paraId="26BC7554">
      <w:pPr>
        <w:spacing w:line="640" w:lineRule="exact"/>
        <w:ind w:firstLine="640"/>
        <w:jc w:val="both"/>
        <w:outlineLvl w:val="3"/>
      </w:pPr>
      <w:r>
        <w:rPr>
          <w:rFonts w:ascii="楷体_GB2312" w:hAnsi="楷体_GB2312" w:eastAsia="楷体_GB2312"/>
          <w:b/>
          <w:sz w:val="32"/>
        </w:rPr>
        <w:t>（二）一般公共预算财政拨款支出决算结构情况</w:t>
      </w:r>
    </w:p>
    <w:p w14:paraId="11025F9A">
      <w:pPr>
        <w:spacing w:line="580" w:lineRule="exact"/>
        <w:ind w:firstLine="640"/>
        <w:jc w:val="both"/>
      </w:pPr>
      <w:r>
        <w:rPr>
          <w:rFonts w:ascii="仿宋_GB2312" w:hAnsi="仿宋_GB2312" w:eastAsia="仿宋_GB2312"/>
          <w:b w:val="0"/>
          <w:sz w:val="32"/>
        </w:rPr>
        <w:t>1.公共安全支出(类)8,176.44万元,占92.35%。</w:t>
      </w:r>
    </w:p>
    <w:p w14:paraId="24D2D0C3">
      <w:pPr>
        <w:spacing w:line="580" w:lineRule="exact"/>
        <w:ind w:firstLine="640"/>
        <w:jc w:val="both"/>
      </w:pPr>
      <w:r>
        <w:rPr>
          <w:rFonts w:ascii="仿宋_GB2312" w:hAnsi="仿宋_GB2312" w:eastAsia="仿宋_GB2312"/>
          <w:b w:val="0"/>
          <w:sz w:val="32"/>
        </w:rPr>
        <w:t>2.社会保障和就业支出(类)317.55万元,占3.59%。</w:t>
      </w:r>
    </w:p>
    <w:p w14:paraId="6D46B94D">
      <w:pPr>
        <w:spacing w:line="580" w:lineRule="exact"/>
        <w:ind w:firstLine="640"/>
        <w:jc w:val="both"/>
      </w:pPr>
      <w:r>
        <w:rPr>
          <w:rFonts w:ascii="仿宋_GB2312" w:hAnsi="仿宋_GB2312" w:eastAsia="仿宋_GB2312"/>
          <w:b w:val="0"/>
          <w:sz w:val="32"/>
        </w:rPr>
        <w:t>3.卫生健康支出(类)134.56万元,占1.52%。</w:t>
      </w:r>
    </w:p>
    <w:p w14:paraId="58284324">
      <w:pPr>
        <w:spacing w:line="580" w:lineRule="exact"/>
        <w:ind w:firstLine="640"/>
        <w:jc w:val="both"/>
      </w:pPr>
      <w:r>
        <w:rPr>
          <w:rFonts w:ascii="仿宋_GB2312" w:hAnsi="仿宋_GB2312" w:eastAsia="仿宋_GB2312"/>
          <w:b w:val="0"/>
          <w:sz w:val="32"/>
        </w:rPr>
        <w:t>4.农林水支出(类)10.00万元,占0.11%。</w:t>
      </w:r>
    </w:p>
    <w:p w14:paraId="58D0D055">
      <w:pPr>
        <w:spacing w:line="580" w:lineRule="exact"/>
        <w:ind w:firstLine="640"/>
        <w:jc w:val="both"/>
      </w:pPr>
      <w:r>
        <w:rPr>
          <w:rFonts w:ascii="仿宋_GB2312" w:hAnsi="仿宋_GB2312" w:eastAsia="仿宋_GB2312"/>
          <w:b w:val="0"/>
          <w:sz w:val="32"/>
        </w:rPr>
        <w:t>5.住房保障支出(类)215.12万元,占2.43%。</w:t>
      </w:r>
    </w:p>
    <w:p w14:paraId="38808A90">
      <w:pPr>
        <w:spacing w:line="640" w:lineRule="exact"/>
        <w:ind w:firstLine="640"/>
        <w:jc w:val="both"/>
        <w:outlineLvl w:val="3"/>
      </w:pPr>
      <w:r>
        <w:rPr>
          <w:rFonts w:ascii="楷体_GB2312" w:hAnsi="楷体_GB2312" w:eastAsia="楷体_GB2312"/>
          <w:b/>
          <w:sz w:val="32"/>
        </w:rPr>
        <w:t>（三）一般公共预算财政拨款支出决算具体情况</w:t>
      </w:r>
    </w:p>
    <w:p w14:paraId="40E3BCFE">
      <w:pPr>
        <w:spacing w:line="580" w:lineRule="exact"/>
        <w:ind w:firstLine="640"/>
        <w:jc w:val="both"/>
        <w:rPr>
          <w:rFonts w:hint="eastAsia" w:eastAsia="仿宋_GB2312"/>
          <w:lang w:eastAsia="zh-CN"/>
        </w:rPr>
      </w:pPr>
      <w:r>
        <w:rPr>
          <w:rFonts w:ascii="仿宋_GB2312" w:hAnsi="仿宋_GB2312" w:eastAsia="仿宋_GB2312"/>
          <w:b w:val="0"/>
          <w:sz w:val="32"/>
        </w:rPr>
        <w:t>1.公共安全支出(类)公安(款)行政运行(项):支出决算数为7,470.55万元，比上年决算增加5,148.57万元，增长221.73%,主要原因是：本年在职人员工资调增，人员经费增加；增加专项</w:t>
      </w:r>
      <w:r>
        <w:rPr>
          <w:rFonts w:hint="eastAsia" w:ascii="仿宋_GB2312" w:hAnsi="仿宋_GB2312" w:eastAsia="仿宋_GB2312"/>
          <w:b w:val="0"/>
          <w:sz w:val="32"/>
          <w:lang w:val="en-US" w:eastAsia="zh-CN"/>
        </w:rPr>
        <w:t>经费</w:t>
      </w:r>
      <w:r>
        <w:rPr>
          <w:rFonts w:ascii="仿宋_GB2312" w:hAnsi="仿宋_GB2312" w:eastAsia="仿宋_GB2312"/>
          <w:b w:val="0"/>
          <w:sz w:val="32"/>
        </w:rPr>
        <w:t>资金</w:t>
      </w:r>
      <w:r>
        <w:rPr>
          <w:rFonts w:hint="eastAsia" w:ascii="仿宋_GB2312" w:hAnsi="仿宋_GB2312" w:eastAsia="仿宋_GB2312"/>
          <w:b w:val="0"/>
          <w:sz w:val="32"/>
          <w:lang w:eastAsia="zh-CN"/>
        </w:rPr>
        <w:t>；</w:t>
      </w:r>
      <w:r>
        <w:rPr>
          <w:rFonts w:ascii="仿宋_GB2312" w:hAnsi="仿宋_GB2312" w:eastAsia="仿宋_GB2312"/>
          <w:b w:val="0"/>
          <w:sz w:val="32"/>
        </w:rPr>
        <w:t>增加其他人员人身意外保险经费、体检费、被装及装备购置费</w:t>
      </w:r>
      <w:r>
        <w:rPr>
          <w:rFonts w:hint="eastAsia" w:ascii="仿宋_GB2312" w:hAnsi="仿宋_GB2312" w:eastAsia="仿宋_GB2312"/>
          <w:b w:val="0"/>
          <w:sz w:val="32"/>
          <w:lang w:eastAsia="zh-CN"/>
        </w:rPr>
        <w:t>；</w:t>
      </w:r>
      <w:r>
        <w:rPr>
          <w:rFonts w:ascii="仿宋_GB2312" w:hAnsi="仿宋_GB2312" w:eastAsia="仿宋_GB2312"/>
          <w:b w:val="0"/>
          <w:sz w:val="32"/>
        </w:rPr>
        <w:t>增加电子警察和视频补点</w:t>
      </w:r>
      <w:r>
        <w:rPr>
          <w:rFonts w:hint="eastAsia" w:ascii="仿宋_GB2312" w:hAnsi="仿宋_GB2312" w:eastAsia="仿宋_GB2312"/>
          <w:b w:val="0"/>
          <w:sz w:val="32"/>
          <w:lang w:val="en-US" w:eastAsia="zh-CN"/>
        </w:rPr>
        <w:t>费用</w:t>
      </w:r>
      <w:r>
        <w:rPr>
          <w:rFonts w:hint="eastAsia" w:ascii="仿宋_GB2312" w:hAnsi="仿宋_GB2312" w:eastAsia="仿宋_GB2312"/>
          <w:b w:val="0"/>
          <w:sz w:val="32"/>
          <w:lang w:eastAsia="zh-CN"/>
        </w:rPr>
        <w:t>。</w:t>
      </w:r>
    </w:p>
    <w:p w14:paraId="64E1883D">
      <w:pPr>
        <w:spacing w:line="580" w:lineRule="exact"/>
        <w:ind w:firstLine="640"/>
        <w:jc w:val="both"/>
      </w:pPr>
      <w:r>
        <w:rPr>
          <w:rFonts w:ascii="仿宋_GB2312" w:hAnsi="仿宋_GB2312" w:eastAsia="仿宋_GB2312"/>
          <w:b w:val="0"/>
          <w:sz w:val="32"/>
        </w:rPr>
        <w:t>2.公共安全支出(类)公安(款)执法办案(项):支出决算数为0.00万元，比上年决算减少32.00万元，下降100.00%,主要原因是：本年科目调整，公安业务经费上年在执法办案</w:t>
      </w:r>
      <w:r>
        <w:rPr>
          <w:rFonts w:hint="eastAsia" w:ascii="仿宋_GB2312" w:hAnsi="仿宋_GB2312" w:eastAsia="仿宋_GB2312"/>
          <w:b w:val="0"/>
          <w:sz w:val="32"/>
          <w:lang w:val="en-US" w:eastAsia="zh-CN"/>
        </w:rPr>
        <w:t>科目</w:t>
      </w:r>
      <w:r>
        <w:rPr>
          <w:rFonts w:ascii="仿宋_GB2312" w:hAnsi="仿宋_GB2312" w:eastAsia="仿宋_GB2312"/>
          <w:b w:val="0"/>
          <w:sz w:val="32"/>
        </w:rPr>
        <w:t>列支，本年调整至其他公安支出，导致经费减少。</w:t>
      </w:r>
    </w:p>
    <w:p w14:paraId="45905591">
      <w:pPr>
        <w:spacing w:line="580" w:lineRule="exact"/>
        <w:ind w:firstLine="640"/>
        <w:jc w:val="both"/>
        <w:rPr>
          <w:rFonts w:hint="default" w:eastAsia="仿宋_GB2312"/>
          <w:lang w:val="en-US" w:eastAsia="zh-CN"/>
        </w:rPr>
      </w:pPr>
      <w:r>
        <w:rPr>
          <w:rFonts w:ascii="仿宋_GB2312" w:hAnsi="仿宋_GB2312" w:eastAsia="仿宋_GB2312"/>
          <w:b w:val="0"/>
          <w:sz w:val="32"/>
        </w:rPr>
        <w:t>3.公共安全支出(类)公安(款)其他公安支出(项):支出决算数为705.89万元，比上年决算减少532.31万元，下降42.99%,主要原因是：</w:t>
      </w:r>
      <w:r>
        <w:rPr>
          <w:rFonts w:hint="eastAsia" w:ascii="仿宋_GB2312" w:hAnsi="仿宋_GB2312" w:eastAsia="仿宋_GB2312"/>
          <w:b w:val="0"/>
          <w:sz w:val="32"/>
          <w:lang w:val="en-US" w:eastAsia="zh-CN"/>
        </w:rPr>
        <w:t>本年减少</w:t>
      </w:r>
      <w:r>
        <w:rPr>
          <w:rFonts w:ascii="仿宋_GB2312" w:hAnsi="仿宋_GB2312" w:eastAsia="仿宋_GB2312"/>
          <w:b w:val="0"/>
          <w:sz w:val="32"/>
        </w:rPr>
        <w:t>重大安保补助经费</w:t>
      </w:r>
      <w:r>
        <w:rPr>
          <w:rFonts w:hint="eastAsia" w:ascii="仿宋_GB2312" w:hAnsi="仿宋_GB2312" w:eastAsia="仿宋_GB2312"/>
          <w:b w:val="0"/>
          <w:sz w:val="32"/>
          <w:lang w:eastAsia="zh-CN"/>
        </w:rPr>
        <w:t>，</w:t>
      </w:r>
      <w:r>
        <w:rPr>
          <w:rFonts w:ascii="仿宋_GB2312" w:hAnsi="仿宋_GB2312" w:eastAsia="仿宋_GB2312"/>
          <w:b w:val="0"/>
          <w:sz w:val="32"/>
        </w:rPr>
        <w:t>业务装备经费</w:t>
      </w:r>
      <w:r>
        <w:rPr>
          <w:rFonts w:hint="eastAsia" w:ascii="仿宋_GB2312" w:hAnsi="仿宋_GB2312" w:eastAsia="仿宋_GB2312"/>
          <w:b w:val="0"/>
          <w:sz w:val="32"/>
          <w:lang w:eastAsia="zh-CN"/>
        </w:rPr>
        <w:t>、</w:t>
      </w:r>
      <w:r>
        <w:rPr>
          <w:rFonts w:ascii="仿宋_GB2312" w:hAnsi="仿宋_GB2312" w:eastAsia="仿宋_GB2312"/>
          <w:b w:val="0"/>
          <w:sz w:val="32"/>
        </w:rPr>
        <w:t>联合作战平台项目还款</w:t>
      </w:r>
      <w:r>
        <w:rPr>
          <w:rFonts w:hint="eastAsia" w:ascii="仿宋_GB2312" w:hAnsi="仿宋_GB2312" w:eastAsia="仿宋_GB2312"/>
          <w:b w:val="0"/>
          <w:sz w:val="32"/>
          <w:lang w:val="en-US" w:eastAsia="zh-CN"/>
        </w:rPr>
        <w:t>经费较上年减少，相应支出减少</w:t>
      </w:r>
    </w:p>
    <w:p w14:paraId="5752240D">
      <w:pPr>
        <w:spacing w:line="580" w:lineRule="exact"/>
        <w:ind w:firstLine="640"/>
        <w:jc w:val="both"/>
      </w:pPr>
      <w:r>
        <w:rPr>
          <w:rFonts w:ascii="仿宋_GB2312" w:hAnsi="仿宋_GB2312" w:eastAsia="仿宋_GB2312"/>
          <w:b w:val="0"/>
          <w:sz w:val="32"/>
        </w:rPr>
        <w:t>4.公共安全支出(类)其他公共安全支出(款)其他公共安全支出(项):支出决算数为0.00万元，比上年决算减少135.25万元，下降100.00%,主要原因是：本年科目调整，专线租赁费上年在其他公共安全支出，本年调整至其他公安支出，导致经费减少。</w:t>
      </w:r>
    </w:p>
    <w:p w14:paraId="6625EB5E">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5.社会保障和就业支出(类)行政事业单位养老支出(款)行政单位离退休(项):支出决算数为51.72万元，比上年决算增加2.99万元，增长6.14%,主要原因是：2024年新增退休人员，行政单位离退休经费增加。</w:t>
      </w:r>
    </w:p>
    <w:p w14:paraId="7492FB1D">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230.63万元，比上年决算增加8.08万元，增长3.63%,主要原因是：本年在职人员工资基数调增，养老缴费基数上涨，相应支出增加。</w:t>
      </w:r>
    </w:p>
    <w:p w14:paraId="647730D0">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35.20万元，比上年决算减少18.93万元，下降34.97%,主要原因是：上年度职业年金支出中包括在职转退休人员及调出人员职业年金公补部分，2024年职业年金支出中仅包括在职转退休人员，无调出人员</w:t>
      </w:r>
      <w:r>
        <w:rPr>
          <w:rFonts w:hint="eastAsia" w:ascii="仿宋_GB2312" w:hAnsi="仿宋_GB2312" w:eastAsia="仿宋_GB2312"/>
          <w:b w:val="0"/>
          <w:sz w:val="32"/>
          <w:lang w:val="en-US" w:eastAsia="zh-CN"/>
        </w:rPr>
        <w:t>职业年金公补部分</w:t>
      </w:r>
      <w:r>
        <w:rPr>
          <w:rFonts w:ascii="仿宋_GB2312" w:hAnsi="仿宋_GB2312" w:eastAsia="仿宋_GB2312"/>
          <w:b w:val="0"/>
          <w:sz w:val="32"/>
        </w:rPr>
        <w:t>，</w:t>
      </w:r>
      <w:r>
        <w:rPr>
          <w:rFonts w:hint="eastAsia" w:ascii="仿宋_GB2312" w:hAnsi="仿宋_GB2312" w:eastAsia="仿宋_GB2312"/>
          <w:b w:val="0"/>
          <w:sz w:val="32"/>
          <w:lang w:val="en-US" w:eastAsia="zh-CN"/>
        </w:rPr>
        <w:t>相应支出减少</w:t>
      </w:r>
      <w:r>
        <w:rPr>
          <w:rFonts w:ascii="仿宋_GB2312" w:hAnsi="仿宋_GB2312" w:eastAsia="仿宋_GB2312"/>
          <w:b w:val="0"/>
          <w:sz w:val="32"/>
        </w:rPr>
        <w:t>。</w:t>
      </w:r>
    </w:p>
    <w:p w14:paraId="0D867445">
      <w:pPr>
        <w:spacing w:line="580" w:lineRule="exact"/>
        <w:ind w:firstLine="640"/>
        <w:jc w:val="both"/>
      </w:pPr>
      <w:r>
        <w:rPr>
          <w:rFonts w:ascii="仿宋_GB2312" w:hAnsi="仿宋_GB2312" w:eastAsia="仿宋_GB2312"/>
          <w:b w:val="0"/>
          <w:sz w:val="32"/>
        </w:rPr>
        <w:t>8.卫生健康支出(类)行政事业单位医疗(款)行政单位医疗(项):支出决算数为93.83万元，比上年决算减少6.41万元，下降6.39%,主要原因是：本年在职人员减少，行政单位医疗支出较上年减少。</w:t>
      </w:r>
    </w:p>
    <w:p w14:paraId="0224419C">
      <w:pPr>
        <w:spacing w:line="580" w:lineRule="exact"/>
        <w:ind w:firstLine="640"/>
        <w:jc w:val="both"/>
      </w:pPr>
      <w:r>
        <w:rPr>
          <w:rFonts w:ascii="仿宋_GB2312" w:hAnsi="仿宋_GB2312" w:eastAsia="仿宋_GB2312"/>
          <w:b w:val="0"/>
          <w:sz w:val="32"/>
        </w:rPr>
        <w:t>9.卫生健康支出(类)行政事业单位医疗(款)公务员医疗补助(项):支出决算数为40.73万元，比上年决算增加0.10万元，增长0.25%,主要原因是：</w:t>
      </w:r>
      <w:r>
        <w:rPr>
          <w:rFonts w:hint="eastAsia" w:ascii="仿宋_GB2312" w:hAnsi="仿宋_GB2312" w:eastAsia="仿宋_GB2312"/>
          <w:b w:val="0"/>
          <w:sz w:val="32"/>
          <w:lang w:val="en-US" w:eastAsia="zh-CN"/>
        </w:rPr>
        <w:t>本年在职人员工资调增，公务员医疗补助缴费基数上涨，</w:t>
      </w:r>
      <w:r>
        <w:rPr>
          <w:rFonts w:ascii="仿宋_GB2312" w:hAnsi="仿宋_GB2312" w:eastAsia="仿宋_GB2312"/>
          <w:b w:val="0"/>
          <w:sz w:val="32"/>
        </w:rPr>
        <w:t>公务员医疗补助支出</w:t>
      </w:r>
      <w:r>
        <w:rPr>
          <w:rFonts w:hint="eastAsia" w:ascii="仿宋_GB2312" w:hAnsi="仿宋_GB2312" w:eastAsia="仿宋_GB2312"/>
          <w:b w:val="0"/>
          <w:sz w:val="32"/>
          <w:lang w:val="en-US" w:eastAsia="zh-CN"/>
        </w:rPr>
        <w:t>较上年</w:t>
      </w:r>
      <w:r>
        <w:rPr>
          <w:rFonts w:ascii="仿宋_GB2312" w:hAnsi="仿宋_GB2312" w:eastAsia="仿宋_GB2312"/>
          <w:b w:val="0"/>
          <w:sz w:val="32"/>
        </w:rPr>
        <w:t>增加。</w:t>
      </w:r>
    </w:p>
    <w:p w14:paraId="1EC75C8C">
      <w:pPr>
        <w:spacing w:line="580" w:lineRule="exact"/>
        <w:ind w:firstLine="640"/>
        <w:jc w:val="both"/>
      </w:pPr>
      <w:r>
        <w:rPr>
          <w:rFonts w:ascii="仿宋_GB2312" w:hAnsi="仿宋_GB2312" w:eastAsia="仿宋_GB2312"/>
          <w:b w:val="0"/>
          <w:sz w:val="32"/>
        </w:rPr>
        <w:t>10.农林水支出(类)农业农村(款)其他农业农村支出(项):支出决算数为10.00万元，比上年决算增加0.00万元，增长0.00%,主要原因是：本年</w:t>
      </w:r>
      <w:r>
        <w:rPr>
          <w:rFonts w:hint="eastAsia" w:ascii="仿宋_GB2312" w:hAnsi="仿宋_GB2312" w:eastAsia="仿宋_GB2312"/>
          <w:b w:val="0"/>
          <w:sz w:val="32"/>
          <w:lang w:val="en-US" w:eastAsia="zh-CN"/>
        </w:rPr>
        <w:t>为民办实事</w:t>
      </w:r>
      <w:r>
        <w:rPr>
          <w:rFonts w:ascii="仿宋_GB2312" w:hAnsi="仿宋_GB2312" w:eastAsia="仿宋_GB2312"/>
          <w:b w:val="0"/>
          <w:sz w:val="32"/>
        </w:rPr>
        <w:t>工作经费与上年一致，无差异。</w:t>
      </w:r>
    </w:p>
    <w:p w14:paraId="6091D038">
      <w:pPr>
        <w:spacing w:line="580" w:lineRule="exact"/>
        <w:ind w:firstLine="640"/>
        <w:jc w:val="both"/>
      </w:pPr>
      <w:r>
        <w:rPr>
          <w:rFonts w:ascii="仿宋_GB2312" w:hAnsi="仿宋_GB2312" w:eastAsia="仿宋_GB2312"/>
          <w:b w:val="0"/>
          <w:sz w:val="32"/>
        </w:rPr>
        <w:t>11.住房保障支出(类)住房改革支出(款)住房公积金(项):支出决算数为215.12万元，比上年决算增加24.09万元，增长12.61%,主要原因是：本年在职人员工资基数调增，公积金缴费基数上涨，相应支出增加。</w:t>
      </w:r>
    </w:p>
    <w:p w14:paraId="78A46AAB">
      <w:pPr>
        <w:spacing w:line="640" w:lineRule="exact"/>
        <w:ind w:firstLine="640"/>
        <w:jc w:val="both"/>
        <w:outlineLvl w:val="2"/>
      </w:pPr>
      <w:r>
        <w:rPr>
          <w:rFonts w:ascii="黑体" w:hAnsi="黑体" w:eastAsia="黑体"/>
          <w:sz w:val="32"/>
        </w:rPr>
        <w:t>六、一般公共预算财政拨款基本支出决算情况说明</w:t>
      </w:r>
    </w:p>
    <w:p w14:paraId="49BDBEB1">
      <w:pPr>
        <w:spacing w:line="580" w:lineRule="exact"/>
        <w:ind w:firstLine="640"/>
        <w:jc w:val="both"/>
      </w:pPr>
      <w:r>
        <w:rPr>
          <w:rFonts w:ascii="仿宋_GB2312" w:hAnsi="仿宋_GB2312" w:eastAsia="仿宋_GB2312"/>
          <w:b w:val="0"/>
          <w:sz w:val="32"/>
        </w:rPr>
        <w:t>2024年度一般公共预算财政拨款基本支出8,281.37万元，其中：</w:t>
      </w:r>
      <w:r>
        <w:rPr>
          <w:rFonts w:ascii="仿宋_GB2312" w:hAnsi="仿宋_GB2312" w:eastAsia="仿宋_GB2312"/>
          <w:b/>
          <w:sz w:val="32"/>
        </w:rPr>
        <w:t>人员经费7,773.58万元，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医疗费补助、奖励金。</w:t>
      </w:r>
    </w:p>
    <w:p w14:paraId="2410052F">
      <w:pPr>
        <w:spacing w:line="580" w:lineRule="exact"/>
        <w:ind w:firstLine="640"/>
        <w:jc w:val="both"/>
      </w:pPr>
      <w:r>
        <w:rPr>
          <w:rFonts w:ascii="仿宋_GB2312" w:hAnsi="仿宋_GB2312" w:eastAsia="仿宋_GB2312"/>
          <w:b/>
          <w:sz w:val="32"/>
        </w:rPr>
        <w:t>公用经费507.78万元，</w:t>
      </w:r>
      <w:r>
        <w:rPr>
          <w:rFonts w:ascii="仿宋_GB2312" w:hAnsi="仿宋_GB2312" w:eastAsia="仿宋_GB2312"/>
          <w:b w:val="0"/>
          <w:sz w:val="32"/>
        </w:rPr>
        <w:t>包括：办公费、手续费、水费、电费、邮电费、取暖费、物业管理费、差旅费、维修（护）费、培训费、专用材料费、劳务费、工会经费、福利费、公务用车运行维护费、其他交通费用、其他商品和服务支出、办公设备购置、专用设备购置、公务用车购置。</w:t>
      </w:r>
    </w:p>
    <w:p w14:paraId="38BCFC5C">
      <w:pPr>
        <w:spacing w:line="640" w:lineRule="exact"/>
        <w:ind w:firstLine="640"/>
        <w:jc w:val="both"/>
        <w:outlineLvl w:val="2"/>
      </w:pPr>
      <w:r>
        <w:rPr>
          <w:rFonts w:ascii="黑体" w:hAnsi="黑体" w:eastAsia="黑体"/>
          <w:sz w:val="32"/>
        </w:rPr>
        <w:t>七、政府性基金预算财政拨款收入支出决算情况说明</w:t>
      </w:r>
    </w:p>
    <w:p w14:paraId="268BFB06">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6E190E2">
      <w:pPr>
        <w:spacing w:line="640" w:lineRule="exact"/>
        <w:ind w:firstLine="640"/>
        <w:jc w:val="both"/>
        <w:outlineLvl w:val="2"/>
      </w:pPr>
      <w:r>
        <w:rPr>
          <w:rFonts w:ascii="黑体" w:hAnsi="黑体" w:eastAsia="黑体"/>
          <w:sz w:val="32"/>
        </w:rPr>
        <w:t>八、国有资本经营预算财政拨款收入支出决算情况说明</w:t>
      </w:r>
    </w:p>
    <w:p w14:paraId="3A70FB1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0EAD172">
      <w:pPr>
        <w:spacing w:line="640" w:lineRule="exact"/>
        <w:ind w:firstLine="640"/>
        <w:jc w:val="both"/>
        <w:outlineLvl w:val="2"/>
      </w:pPr>
      <w:r>
        <w:rPr>
          <w:rFonts w:ascii="黑体" w:hAnsi="黑体" w:eastAsia="黑体"/>
          <w:sz w:val="32"/>
        </w:rPr>
        <w:t>九、财政拨款“三公”经费支出决算情况说明</w:t>
      </w:r>
    </w:p>
    <w:p w14:paraId="6644A67A">
      <w:pPr>
        <w:spacing w:line="580" w:lineRule="exact"/>
        <w:ind w:firstLine="640"/>
        <w:jc w:val="both"/>
      </w:pPr>
      <w:r>
        <w:rPr>
          <w:rFonts w:ascii="仿宋_GB2312" w:hAnsi="仿宋_GB2312" w:eastAsia="仿宋_GB2312"/>
          <w:b/>
          <w:sz w:val="32"/>
        </w:rPr>
        <w:t>2024年度财政拨款“三公”经费支出215.84万元，</w:t>
      </w:r>
      <w:r>
        <w:rPr>
          <w:rFonts w:ascii="仿宋_GB2312" w:hAnsi="仿宋_GB2312" w:eastAsia="仿宋_GB2312"/>
          <w:b w:val="0"/>
          <w:sz w:val="32"/>
        </w:rPr>
        <w:t>比上年增加14.33万元，增长7.11%，主要原因是：</w:t>
      </w:r>
      <w:r>
        <w:rPr>
          <w:rFonts w:hint="eastAsia" w:ascii="仿宋_GB2312" w:hAnsi="仿宋_GB2312" w:eastAsia="仿宋_GB2312"/>
          <w:b w:val="0"/>
          <w:sz w:val="32"/>
          <w:lang w:val="en-US" w:eastAsia="zh-CN"/>
        </w:rPr>
        <w:t>本</w:t>
      </w:r>
      <w:r>
        <w:rPr>
          <w:rFonts w:ascii="仿宋_GB2312" w:hAnsi="仿宋_GB2312" w:eastAsia="仿宋_GB2312"/>
          <w:b w:val="0"/>
          <w:sz w:val="32"/>
        </w:rPr>
        <w:t>年各类</w:t>
      </w:r>
      <w:r>
        <w:rPr>
          <w:rFonts w:hint="eastAsia" w:ascii="仿宋_GB2312" w:hAnsi="仿宋_GB2312" w:eastAsia="仿宋_GB2312"/>
          <w:b w:val="0"/>
          <w:sz w:val="32"/>
          <w:lang w:eastAsia="zh-CN"/>
        </w:rPr>
        <w:t>特殊勤务</w:t>
      </w:r>
      <w:r>
        <w:rPr>
          <w:rFonts w:ascii="仿宋_GB2312" w:hAnsi="仿宋_GB2312" w:eastAsia="仿宋_GB2312"/>
          <w:b w:val="0"/>
          <w:sz w:val="32"/>
        </w:rPr>
        <w:t>增加，老旧车辆维修保养成本增加</w:t>
      </w:r>
      <w:r>
        <w:rPr>
          <w:rFonts w:hint="eastAsia" w:ascii="仿宋_GB2312" w:hAnsi="仿宋_GB2312" w:eastAsia="仿宋_GB2312"/>
          <w:b w:val="0"/>
          <w:sz w:val="32"/>
          <w:lang w:eastAsia="zh-CN"/>
        </w:rPr>
        <w:t>，</w:t>
      </w:r>
      <w:r>
        <w:rPr>
          <w:rFonts w:ascii="仿宋_GB2312" w:hAnsi="仿宋_GB2312" w:eastAsia="仿宋_GB2312"/>
          <w:b w:val="0"/>
          <w:sz w:val="32"/>
        </w:rPr>
        <w:t>车辆运行维护费增加。其中：因公出国（境）费支出0.00万元，占0.00%，比上年增加0.00万元，增长0.00%，主要原因是：2023年与2024年均未安排因公出国（境）费支出。公务用车购置及运行维护费支出215.84万元，占100.00%，比上年增加14.33万元，增长7.11%，主要原因是：</w:t>
      </w:r>
      <w:r>
        <w:rPr>
          <w:rFonts w:hint="eastAsia" w:ascii="仿宋_GB2312" w:hAnsi="仿宋_GB2312" w:eastAsia="仿宋_GB2312"/>
          <w:b w:val="0"/>
          <w:sz w:val="32"/>
          <w:lang w:val="en-US" w:eastAsia="zh-CN"/>
        </w:rPr>
        <w:t>本</w:t>
      </w:r>
      <w:r>
        <w:rPr>
          <w:rFonts w:ascii="仿宋_GB2312" w:hAnsi="仿宋_GB2312" w:eastAsia="仿宋_GB2312"/>
          <w:b w:val="0"/>
          <w:sz w:val="32"/>
        </w:rPr>
        <w:t>年各类</w:t>
      </w:r>
      <w:r>
        <w:rPr>
          <w:rFonts w:hint="eastAsia" w:ascii="仿宋_GB2312" w:hAnsi="仿宋_GB2312" w:eastAsia="仿宋_GB2312"/>
          <w:b w:val="0"/>
          <w:sz w:val="32"/>
          <w:lang w:eastAsia="zh-CN"/>
        </w:rPr>
        <w:t>特殊勤务</w:t>
      </w:r>
      <w:r>
        <w:rPr>
          <w:rFonts w:ascii="仿宋_GB2312" w:hAnsi="仿宋_GB2312" w:eastAsia="仿宋_GB2312"/>
          <w:b w:val="0"/>
          <w:sz w:val="32"/>
        </w:rPr>
        <w:t>增加，老旧车辆维修保养成本增加</w:t>
      </w:r>
      <w:r>
        <w:rPr>
          <w:rFonts w:hint="eastAsia" w:ascii="仿宋_GB2312" w:hAnsi="仿宋_GB2312" w:eastAsia="仿宋_GB2312"/>
          <w:b w:val="0"/>
          <w:sz w:val="32"/>
          <w:lang w:eastAsia="zh-CN"/>
        </w:rPr>
        <w:t>，</w:t>
      </w:r>
      <w:r>
        <w:rPr>
          <w:rFonts w:ascii="仿宋_GB2312" w:hAnsi="仿宋_GB2312" w:eastAsia="仿宋_GB2312"/>
          <w:b w:val="0"/>
          <w:sz w:val="32"/>
        </w:rPr>
        <w:t>车辆运行维护费增加。公务接待费支出0.00万元，占0.00%，比上年增加0.00万元，增长0.00%，主要原因是：2023年与2024年均未安排公务接待费支出。</w:t>
      </w:r>
    </w:p>
    <w:p w14:paraId="47B54E95">
      <w:pPr>
        <w:spacing w:line="580" w:lineRule="exact"/>
        <w:ind w:firstLine="640"/>
        <w:jc w:val="both"/>
      </w:pPr>
      <w:r>
        <w:rPr>
          <w:rFonts w:ascii="仿宋_GB2312" w:hAnsi="仿宋_GB2312" w:eastAsia="仿宋_GB2312"/>
          <w:b/>
          <w:sz w:val="32"/>
        </w:rPr>
        <w:t>具体情况如下：</w:t>
      </w:r>
    </w:p>
    <w:p w14:paraId="384FC624">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B5A67D8">
      <w:pPr>
        <w:spacing w:line="580" w:lineRule="exact"/>
        <w:ind w:firstLine="640"/>
        <w:jc w:val="both"/>
      </w:pPr>
      <w:r>
        <w:rPr>
          <w:rFonts w:ascii="仿宋_GB2312" w:hAnsi="仿宋_GB2312" w:eastAsia="仿宋_GB2312"/>
          <w:b w:val="0"/>
          <w:sz w:val="32"/>
        </w:rPr>
        <w:t>公务用车购置及运行维护费215.84万元，其中：公务用车购置费5.02万元，公务用车运行维护费210.82万元。公务用车运行维护费开支内容包括车辆燃油费、维修费、保险费、审验费等。公务用车购置数0辆，公务用车保有量132辆。国有资产占用情况中固定资产车辆132辆，与公务用车保有量差异原因是：本单位固定资产车辆与公务用车保有量一致无差异。</w:t>
      </w:r>
    </w:p>
    <w:p w14:paraId="43CB3BD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A9CB99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215.84万元，决算数215.84万元，预决算差异率0.00%，主要原因是：严格按照预算执行，预决算无差异。其中：因公出国（境）费全年预算数0.00万元，决算数0.00万元，预决算差异率0.00%，主要原因是：本单位无因公出国（境）费。公务用车购置费全年预算数5.02万元，决算数5.02万元，预决算差异率0.00%，主要原因是：严格按照预算执行，预决算无差异。公务用车运行维护费全年预算数210.82万元，决算数210.82万元，预决算差异率0.00%，主要原因是：严格按照预算执行，预决算无差异。公务接待费全年预算数0.00万元，决算数0.00万元，预决算差异率0.00%，主要原因是：本单位无公务接待费。</w:t>
      </w:r>
    </w:p>
    <w:p w14:paraId="0C2A69A4">
      <w:pPr>
        <w:spacing w:line="640" w:lineRule="exact"/>
        <w:ind w:firstLine="640"/>
        <w:jc w:val="both"/>
        <w:outlineLvl w:val="2"/>
      </w:pPr>
      <w:r>
        <w:rPr>
          <w:rFonts w:ascii="黑体" w:hAnsi="黑体" w:eastAsia="黑体"/>
          <w:sz w:val="32"/>
        </w:rPr>
        <w:t>十、其他重要事项的情况说明</w:t>
      </w:r>
    </w:p>
    <w:p w14:paraId="5013DE40">
      <w:pPr>
        <w:spacing w:line="640" w:lineRule="exact"/>
        <w:ind w:firstLine="640"/>
        <w:jc w:val="both"/>
        <w:outlineLvl w:val="3"/>
      </w:pPr>
      <w:r>
        <w:rPr>
          <w:rFonts w:ascii="楷体_GB2312" w:hAnsi="楷体_GB2312" w:eastAsia="楷体_GB2312"/>
          <w:b/>
          <w:sz w:val="32"/>
        </w:rPr>
        <w:t>（一）机关运行经费及公用经费支出情况</w:t>
      </w:r>
    </w:p>
    <w:p w14:paraId="40D234A2">
      <w:pPr>
        <w:spacing w:line="580" w:lineRule="exact"/>
        <w:ind w:firstLine="640"/>
        <w:jc w:val="both"/>
      </w:pPr>
      <w:r>
        <w:rPr>
          <w:rFonts w:ascii="仿宋_GB2312" w:hAnsi="仿宋_GB2312" w:eastAsia="仿宋_GB2312"/>
          <w:b w:val="0"/>
          <w:sz w:val="32"/>
        </w:rPr>
        <w:t>2024年度裕民县公安局（行政单位和参照公务员法管理事业单位）机关运行经费支出507.78万元，比上年增加11.15万元，增长2.25%，主要原因是：2024年各类</w:t>
      </w:r>
      <w:r>
        <w:rPr>
          <w:rFonts w:hint="eastAsia" w:ascii="仿宋_GB2312" w:hAnsi="仿宋_GB2312" w:eastAsia="仿宋_GB2312"/>
          <w:b w:val="0"/>
          <w:sz w:val="32"/>
          <w:lang w:eastAsia="zh-CN"/>
        </w:rPr>
        <w:t>特殊勤务</w:t>
      </w:r>
      <w:r>
        <w:rPr>
          <w:rFonts w:ascii="仿宋_GB2312" w:hAnsi="仿宋_GB2312" w:eastAsia="仿宋_GB2312"/>
          <w:b w:val="0"/>
          <w:sz w:val="32"/>
        </w:rPr>
        <w:t>增加，</w:t>
      </w:r>
      <w:r>
        <w:rPr>
          <w:rFonts w:hint="eastAsia" w:ascii="仿宋_GB2312" w:hAnsi="仿宋_GB2312" w:eastAsia="仿宋_GB2312"/>
          <w:b w:val="0"/>
          <w:sz w:val="32"/>
          <w:lang w:val="en-US" w:eastAsia="zh-CN"/>
        </w:rPr>
        <w:t>公务用车</w:t>
      </w:r>
      <w:r>
        <w:rPr>
          <w:rFonts w:ascii="仿宋_GB2312" w:hAnsi="仿宋_GB2312" w:eastAsia="仿宋_GB2312"/>
          <w:b w:val="0"/>
          <w:sz w:val="32"/>
        </w:rPr>
        <w:t>运行维护费增加。</w:t>
      </w:r>
    </w:p>
    <w:p w14:paraId="23142B13">
      <w:pPr>
        <w:spacing w:line="640" w:lineRule="exact"/>
        <w:ind w:firstLine="640"/>
        <w:jc w:val="both"/>
        <w:outlineLvl w:val="3"/>
      </w:pPr>
      <w:r>
        <w:rPr>
          <w:rFonts w:ascii="楷体_GB2312" w:hAnsi="楷体_GB2312" w:eastAsia="楷体_GB2312"/>
          <w:b/>
          <w:sz w:val="32"/>
        </w:rPr>
        <w:t>（二）政府采购情况</w:t>
      </w:r>
    </w:p>
    <w:p w14:paraId="384C07ED">
      <w:pPr>
        <w:spacing w:line="580" w:lineRule="exact"/>
        <w:ind w:firstLine="640"/>
        <w:jc w:val="both"/>
      </w:pPr>
      <w:r>
        <w:rPr>
          <w:rFonts w:ascii="仿宋_GB2312" w:hAnsi="仿宋_GB2312" w:eastAsia="仿宋_GB2312"/>
          <w:b w:val="0"/>
          <w:sz w:val="32"/>
        </w:rPr>
        <w:t>2024年度政府采购支出总额431.16万元，其中：政府采购货物支出203.27万元、政府采购工程支出0.00万元、政府采购服务支出227.89万元。</w:t>
      </w:r>
    </w:p>
    <w:p w14:paraId="55A88FFB">
      <w:pPr>
        <w:spacing w:line="580" w:lineRule="exact"/>
        <w:ind w:firstLine="640"/>
        <w:jc w:val="both"/>
      </w:pPr>
      <w:r>
        <w:rPr>
          <w:rFonts w:ascii="仿宋_GB2312" w:hAnsi="仿宋_GB2312" w:eastAsia="仿宋_GB2312"/>
          <w:b w:val="0"/>
          <w:sz w:val="32"/>
        </w:rPr>
        <w:t>授予中小企业合同金额431.16万元，占政府采购支出总额的100.00%，其中：授予小微企业合同金额431.16万元，占政府采购支出总额的100.00%。</w:t>
      </w:r>
    </w:p>
    <w:p w14:paraId="15086956">
      <w:pPr>
        <w:spacing w:line="640" w:lineRule="exact"/>
        <w:ind w:firstLine="640"/>
        <w:jc w:val="both"/>
        <w:outlineLvl w:val="3"/>
      </w:pPr>
      <w:r>
        <w:rPr>
          <w:rFonts w:ascii="楷体_GB2312" w:hAnsi="楷体_GB2312" w:eastAsia="楷体_GB2312"/>
          <w:b/>
          <w:sz w:val="32"/>
        </w:rPr>
        <w:t>（三）国有资产占用情况说明</w:t>
      </w:r>
    </w:p>
    <w:p w14:paraId="175A6032">
      <w:pPr>
        <w:spacing w:line="580" w:lineRule="exact"/>
        <w:ind w:firstLine="640"/>
        <w:jc w:val="both"/>
      </w:pPr>
      <w:r>
        <w:rPr>
          <w:rFonts w:ascii="仿宋_GB2312" w:hAnsi="仿宋_GB2312" w:eastAsia="仿宋_GB2312"/>
          <w:b w:val="0"/>
          <w:sz w:val="32"/>
        </w:rPr>
        <w:t>截至2024年12月31日，房屋35,589.29平方米，价值10,136.56万元。车辆132辆，价值1,538.09万元，其中：副部（省）级及以上领导用车0辆、主要负责人用车0辆、机要通信用车0辆、应急保障用车0辆、执法执勤用车120辆、特种专业技术用车10辆、离退休干部服务用车0辆、其他用车2辆，其他用车主要是：</w:t>
      </w:r>
      <w:r>
        <w:rPr>
          <w:rFonts w:hint="eastAsia" w:ascii="仿宋_GB2312" w:hAnsi="仿宋_GB2312" w:eastAsia="仿宋_GB2312"/>
          <w:b w:val="0"/>
          <w:sz w:val="32"/>
          <w:lang w:val="en-US" w:eastAsia="zh-CN"/>
        </w:rPr>
        <w:t>一般公务用车</w:t>
      </w:r>
      <w:r>
        <w:rPr>
          <w:rFonts w:ascii="仿宋_GB2312" w:hAnsi="仿宋_GB2312" w:eastAsia="仿宋_GB2312"/>
          <w:b w:val="0"/>
          <w:sz w:val="32"/>
        </w:rPr>
        <w:t>。单价100万元（含）以上设备（不含车辆）12台（套）。</w:t>
      </w:r>
    </w:p>
    <w:p w14:paraId="4205D29F">
      <w:pPr>
        <w:spacing w:line="640" w:lineRule="exact"/>
        <w:ind w:firstLine="640"/>
        <w:jc w:val="both"/>
        <w:outlineLvl w:val="2"/>
      </w:pPr>
      <w:r>
        <w:rPr>
          <w:rFonts w:ascii="黑体" w:hAnsi="黑体" w:eastAsia="黑体"/>
          <w:sz w:val="32"/>
        </w:rPr>
        <w:t>十一、预算绩效的情况说明</w:t>
      </w:r>
    </w:p>
    <w:p w14:paraId="6329625A">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9,447.74万元，实际执行总额8,957.67万元；预算绩效评价项目8个，全年预算数615.12万元，全年执行数615.12万元。预算绩效管理取得的成效：本单位预算绩效项目不予公开。发现的问题及原因：本单位预算绩效项目不予公开。下一步改进措施：本单位预算绩效项目不予公开。</w:t>
      </w:r>
    </w:p>
    <w:p w14:paraId="19AB4401">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6911598D">
        <w:tblPrEx>
          <w:tblCellMar>
            <w:top w:w="0" w:type="dxa"/>
            <w:left w:w="108" w:type="dxa"/>
            <w:bottom w:w="0" w:type="dxa"/>
            <w:right w:w="108" w:type="dxa"/>
          </w:tblCellMar>
        </w:tblPrEx>
        <w:tc>
          <w:tcPr>
            <w:tcW w:w="8840" w:type="dxa"/>
            <w:gridSpan w:val="8"/>
            <w:vAlign w:val="center"/>
          </w:tcPr>
          <w:p w14:paraId="50F5A08D">
            <w:pPr>
              <w:jc w:val="center"/>
            </w:pPr>
            <w:r>
              <w:rPr>
                <w:rFonts w:ascii="宋体" w:hAnsi="宋体" w:eastAsia="宋体"/>
                <w:sz w:val="24"/>
              </w:rPr>
              <w:t>单位整体支出绩效自评表</w:t>
            </w:r>
          </w:p>
        </w:tc>
      </w:tr>
      <w:tr w14:paraId="6BBC32EA">
        <w:tblPrEx>
          <w:tblCellMar>
            <w:top w:w="0" w:type="dxa"/>
            <w:left w:w="108" w:type="dxa"/>
            <w:bottom w:w="0" w:type="dxa"/>
            <w:right w:w="108" w:type="dxa"/>
          </w:tblCellMar>
        </w:tblPrEx>
        <w:tc>
          <w:tcPr>
            <w:tcW w:w="8840" w:type="dxa"/>
            <w:gridSpan w:val="8"/>
            <w:vAlign w:val="center"/>
          </w:tcPr>
          <w:p w14:paraId="78EBD799">
            <w:pPr>
              <w:jc w:val="center"/>
            </w:pPr>
            <w:r>
              <w:rPr>
                <w:rFonts w:ascii="宋体" w:hAnsi="宋体" w:eastAsia="宋体"/>
                <w:sz w:val="24"/>
              </w:rPr>
              <w:t>（2024年度）</w:t>
            </w:r>
          </w:p>
        </w:tc>
      </w:tr>
      <w:tr w14:paraId="259EA8C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1F3D02">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F3A2B8">
            <w:pPr>
              <w:jc w:val="center"/>
            </w:pPr>
            <w:r>
              <w:rPr>
                <w:rFonts w:ascii="宋体" w:hAnsi="宋体" w:eastAsia="宋体"/>
                <w:sz w:val="16"/>
              </w:rPr>
              <w:t>裕民县公安局</w:t>
            </w:r>
          </w:p>
        </w:tc>
      </w:tr>
      <w:tr w14:paraId="6637CBF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C822FA">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DBFC68">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F5C7B5">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7D69DD">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E5AAB8">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224B98">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E12D02">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394F84">
            <w:pPr>
              <w:jc w:val="center"/>
            </w:pPr>
            <w:r>
              <w:rPr>
                <w:rFonts w:ascii="宋体" w:hAnsi="宋体" w:eastAsia="宋体"/>
                <w:sz w:val="16"/>
              </w:rPr>
              <w:t>得分</w:t>
            </w:r>
          </w:p>
        </w:tc>
      </w:tr>
      <w:tr w14:paraId="64F96D2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165297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C38E1C">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5DAC3A">
            <w:pPr>
              <w:jc w:val="center"/>
            </w:pPr>
            <w:r>
              <w:rPr>
                <w:rFonts w:ascii="宋体" w:hAnsi="宋体" w:eastAsia="宋体"/>
                <w:sz w:val="16"/>
              </w:rPr>
              <w:t>9,489.63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C48F13">
            <w:pPr>
              <w:jc w:val="center"/>
            </w:pPr>
            <w:r>
              <w:rPr>
                <w:rFonts w:ascii="宋体" w:hAnsi="宋体" w:eastAsia="宋体"/>
                <w:sz w:val="16"/>
              </w:rPr>
              <w:t>9,447.74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0B344F">
            <w:pPr>
              <w:jc w:val="center"/>
            </w:pPr>
            <w:r>
              <w:rPr>
                <w:rFonts w:ascii="宋体" w:hAnsi="宋体" w:eastAsia="宋体"/>
                <w:sz w:val="16"/>
              </w:rPr>
              <w:t>8,957.67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DFFC2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BB9ED2">
            <w:pPr>
              <w:jc w:val="center"/>
            </w:pPr>
            <w:r>
              <w:rPr>
                <w:rFonts w:ascii="宋体" w:hAnsi="宋体" w:eastAsia="宋体"/>
                <w:sz w:val="16"/>
              </w:rPr>
              <w:t>94.81%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3E23A4">
            <w:pPr>
              <w:jc w:val="center"/>
            </w:pPr>
            <w:r>
              <w:rPr>
                <w:rFonts w:ascii="宋体" w:hAnsi="宋体" w:eastAsia="宋体"/>
                <w:sz w:val="16"/>
              </w:rPr>
              <w:t>9.48</w:t>
            </w:r>
          </w:p>
        </w:tc>
      </w:tr>
      <w:tr w14:paraId="7E4694C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BEA569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3842EF">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4E79E5">
            <w:pPr>
              <w:jc w:val="center"/>
            </w:pPr>
            <w:r>
              <w:rPr>
                <w:rFonts w:ascii="宋体" w:hAnsi="宋体" w:eastAsia="宋体"/>
                <w:sz w:val="16"/>
              </w:rPr>
              <w:t>474.04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D0E97A">
            <w:pPr>
              <w:jc w:val="center"/>
            </w:pPr>
            <w:r>
              <w:rPr>
                <w:rFonts w:ascii="宋体" w:hAnsi="宋体" w:eastAsia="宋体"/>
                <w:sz w:val="16"/>
              </w:rPr>
              <w:t>474.04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60F008">
            <w:pPr>
              <w:jc w:val="center"/>
            </w:pPr>
            <w:r>
              <w:rPr>
                <w:rFonts w:ascii="宋体" w:hAnsi="宋体" w:eastAsia="宋体"/>
                <w:sz w:val="16"/>
              </w:rPr>
              <w:t>474.04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7FA56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468D4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9DBB46">
            <w:pPr>
              <w:jc w:val="center"/>
            </w:pPr>
            <w:r>
              <w:rPr>
                <w:rFonts w:ascii="宋体" w:hAnsi="宋体" w:eastAsia="宋体"/>
                <w:sz w:val="16"/>
              </w:rPr>
              <w:t>-</w:t>
            </w:r>
          </w:p>
        </w:tc>
      </w:tr>
      <w:tr w14:paraId="24A3166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91700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C2AFA5">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680AC4">
            <w:pPr>
              <w:jc w:val="center"/>
            </w:pPr>
            <w:r>
              <w:rPr>
                <w:rFonts w:ascii="宋体" w:hAnsi="宋体" w:eastAsia="宋体"/>
                <w:sz w:val="16"/>
              </w:rPr>
              <w:t>8,972.70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3FD961">
            <w:pPr>
              <w:jc w:val="center"/>
            </w:pPr>
            <w:r>
              <w:rPr>
                <w:rFonts w:ascii="宋体" w:hAnsi="宋体" w:eastAsia="宋体"/>
                <w:sz w:val="16"/>
              </w:rPr>
              <w:t>8,930.88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C77AF6">
            <w:pPr>
              <w:jc w:val="center"/>
            </w:pPr>
            <w:r>
              <w:rPr>
                <w:rFonts w:ascii="宋体" w:hAnsi="宋体" w:eastAsia="宋体"/>
                <w:sz w:val="16"/>
              </w:rPr>
              <w:t>8,440.81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8202B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DBA61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B4B10A">
            <w:pPr>
              <w:jc w:val="center"/>
            </w:pPr>
            <w:r>
              <w:rPr>
                <w:rFonts w:ascii="宋体" w:hAnsi="宋体" w:eastAsia="宋体"/>
                <w:sz w:val="16"/>
              </w:rPr>
              <w:t>-</w:t>
            </w:r>
          </w:p>
        </w:tc>
      </w:tr>
      <w:tr w14:paraId="4805107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53463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1A6D1E">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CFC54A">
            <w:pPr>
              <w:jc w:val="center"/>
            </w:pPr>
            <w:r>
              <w:rPr>
                <w:rFonts w:ascii="宋体" w:hAnsi="宋体" w:eastAsia="宋体"/>
                <w:sz w:val="16"/>
              </w:rPr>
              <w:t>42.89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A923EA">
            <w:pPr>
              <w:jc w:val="center"/>
            </w:pPr>
            <w:r>
              <w:rPr>
                <w:rFonts w:ascii="宋体" w:hAnsi="宋体" w:eastAsia="宋体"/>
                <w:sz w:val="16"/>
              </w:rPr>
              <w:t>42.82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5E51BD">
            <w:pPr>
              <w:jc w:val="center"/>
            </w:pPr>
            <w:r>
              <w:rPr>
                <w:rFonts w:ascii="宋体" w:hAnsi="宋体" w:eastAsia="宋体"/>
                <w:sz w:val="16"/>
              </w:rPr>
              <w:t>42.82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BC4DA2">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8E6CAC">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B1932E">
            <w:pPr>
              <w:jc w:val="center"/>
            </w:pPr>
          </w:p>
        </w:tc>
      </w:tr>
      <w:tr w14:paraId="02DFF6E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F850DC">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4AA27DB">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3509803">
            <w:pPr>
              <w:jc w:val="center"/>
            </w:pPr>
            <w:r>
              <w:rPr>
                <w:rFonts w:ascii="宋体" w:hAnsi="宋体" w:eastAsia="宋体"/>
                <w:sz w:val="16"/>
              </w:rPr>
              <w:t>实际完成情况</w:t>
            </w:r>
          </w:p>
        </w:tc>
      </w:tr>
      <w:tr w14:paraId="0B054CA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04C527F"/>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F53A842">
            <w:pPr>
              <w:jc w:val="both"/>
              <w:rPr>
                <w:rFonts w:ascii="宋体" w:hAnsi="宋体" w:eastAsia="宋体"/>
                <w:sz w:val="16"/>
              </w:rPr>
            </w:pPr>
            <w:r>
              <w:rPr>
                <w:rFonts w:ascii="宋体" w:hAnsi="宋体" w:eastAsia="宋体"/>
                <w:sz w:val="16"/>
              </w:rPr>
              <w:t>目标1：民警、事业编、退休人员、其他人员及西部志愿者工资、社保按时、足额发放，稳定队伍；</w:t>
            </w:r>
            <w:r>
              <w:rPr>
                <w:rFonts w:ascii="宋体" w:hAnsi="宋体" w:eastAsia="宋体"/>
                <w:sz w:val="16"/>
              </w:rPr>
              <w:br w:type="textWrapping"/>
            </w:r>
            <w:r>
              <w:rPr>
                <w:rFonts w:ascii="宋体" w:hAnsi="宋体" w:eastAsia="宋体"/>
                <w:sz w:val="16"/>
              </w:rPr>
              <w:t>目标2：2024年按照</w:t>
            </w:r>
            <w:r>
              <w:rPr>
                <w:rFonts w:hint="eastAsia" w:ascii="宋体" w:hAnsi="宋体"/>
                <w:sz w:val="16"/>
                <w:lang w:val="en-US" w:eastAsia="zh-CN"/>
              </w:rPr>
              <w:t>上级公安机关</w:t>
            </w:r>
            <w:r>
              <w:rPr>
                <w:rFonts w:ascii="宋体" w:hAnsi="宋体" w:eastAsia="宋体"/>
                <w:sz w:val="16"/>
              </w:rPr>
              <w:t>安排部署的重点工作、持续做好打击违法犯罪、推进一窗通办、打击电信诈骗</w:t>
            </w:r>
            <w:r>
              <w:rPr>
                <w:rFonts w:hint="eastAsia" w:ascii="宋体" w:hAnsi="宋体"/>
                <w:sz w:val="16"/>
                <w:lang w:val="en-US" w:eastAsia="zh-CN"/>
              </w:rPr>
              <w:t>等</w:t>
            </w:r>
            <w:r>
              <w:rPr>
                <w:rFonts w:ascii="宋体" w:hAnsi="宋体" w:eastAsia="宋体"/>
                <w:sz w:val="16"/>
              </w:rPr>
              <w:t>公安业务工作，确保日常公用经费足额、按时拨付，用以保障公安业务日常运行；</w:t>
            </w:r>
            <w:r>
              <w:rPr>
                <w:rFonts w:ascii="宋体" w:hAnsi="宋体" w:eastAsia="宋体"/>
                <w:sz w:val="16"/>
              </w:rPr>
              <w:br w:type="textWrapping"/>
            </w:r>
            <w:r>
              <w:rPr>
                <w:rFonts w:ascii="宋体" w:hAnsi="宋体" w:eastAsia="宋体"/>
                <w:sz w:val="16"/>
              </w:rPr>
              <w:t>目标3：2024年根据业务实际开展重点装备建设，加大警用装备建设支出，实施科技强警战略，提高基层执法部门装备建设水平，提高一窗通办水平，改善基层执勤执法装备、设备。</w:t>
            </w:r>
            <w:bookmarkStart w:id="0" w:name="_GoBack"/>
            <w:bookmarkEnd w:id="0"/>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271F11A">
            <w:pPr>
              <w:jc w:val="both"/>
            </w:pPr>
            <w:r>
              <w:rPr>
                <w:rFonts w:ascii="宋体" w:hAnsi="宋体" w:eastAsia="宋体"/>
                <w:sz w:val="16"/>
              </w:rPr>
              <w:t>2024年，裕民县公安局高忠诚践行对党忠诚、服务人民、执法公正、纪律严明总要求，着力打造“四个铁一般”的过硬铁军，以防范化解重大风险为目标、以立体化社会治安防控体系建设为动力，聚焦主责主业、严厉打击各类突出违法犯罪，主动担当作为，有力维护了辖区社会治安稳定</w:t>
            </w:r>
            <w:r>
              <w:rPr>
                <w:rFonts w:hint="eastAsia" w:ascii="宋体" w:hAnsi="宋体"/>
                <w:sz w:val="16"/>
                <w:lang w:eastAsia="zh-CN"/>
              </w:rPr>
              <w:t>，</w:t>
            </w:r>
            <w:r>
              <w:rPr>
                <w:rFonts w:ascii="宋体" w:hAnsi="宋体" w:eastAsia="宋体"/>
                <w:sz w:val="16"/>
              </w:rPr>
              <w:t>圆满完成了系列活动安保</w:t>
            </w:r>
            <w:r>
              <w:rPr>
                <w:rFonts w:hint="eastAsia" w:ascii="宋体" w:hAnsi="宋体"/>
                <w:sz w:val="16"/>
                <w:lang w:val="en-US" w:eastAsia="zh-CN"/>
              </w:rPr>
              <w:t>任务</w:t>
            </w:r>
            <w:r>
              <w:rPr>
                <w:rFonts w:ascii="宋体" w:hAnsi="宋体" w:eastAsia="宋体"/>
                <w:sz w:val="16"/>
              </w:rPr>
              <w:t>。完成了民警、事业编、退休人员、其他人员及西部志愿者工资、社保每月按时、足额发放，稳定队伍；2024年按照</w:t>
            </w:r>
            <w:r>
              <w:rPr>
                <w:rFonts w:hint="eastAsia" w:ascii="宋体" w:hAnsi="宋体"/>
                <w:sz w:val="16"/>
                <w:lang w:val="en-US" w:eastAsia="zh-CN"/>
              </w:rPr>
              <w:t>上级公安机关</w:t>
            </w:r>
            <w:r>
              <w:rPr>
                <w:rFonts w:ascii="宋体" w:hAnsi="宋体" w:eastAsia="宋体"/>
                <w:sz w:val="16"/>
              </w:rPr>
              <w:t>安排部署的重点工作、持续做好打击违法犯罪、推进一窗通办、打击电信诈骗公安业务工作，确保日常公用经费足额、按时拨付，用以保障公安业务日常运行；2024年根据业务实际开展重点装备建设，加大警用装备建设支出，实施科技强警战略，提高基层执法部门装备建设水平，提高一窗通办水平，改善基层执勤执法装备、设备。</w:t>
            </w:r>
          </w:p>
        </w:tc>
      </w:tr>
      <w:tr w14:paraId="6DCC95F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4E1CAD">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95A913">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C576CF">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D204D5">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8288DE">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A8B61E">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842738">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61C1CD">
            <w:pPr>
              <w:jc w:val="center"/>
            </w:pPr>
            <w:r>
              <w:rPr>
                <w:rFonts w:ascii="宋体" w:hAnsi="宋体" w:eastAsia="宋体"/>
                <w:sz w:val="16"/>
              </w:rPr>
              <w:t>得分</w:t>
            </w:r>
          </w:p>
        </w:tc>
      </w:tr>
      <w:tr w14:paraId="62D1BA8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A4B8E4">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2707FE">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0DB1D4">
            <w:pPr>
              <w:jc w:val="center"/>
            </w:pPr>
            <w:r>
              <w:rPr>
                <w:rFonts w:ascii="宋体" w:hAnsi="宋体" w:eastAsia="宋体"/>
                <w:sz w:val="16"/>
              </w:rPr>
              <w:t>经费保障人数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4F329F">
            <w:pPr>
              <w:jc w:val="center"/>
            </w:pPr>
            <w:r>
              <w:rPr>
                <w:rFonts w:hint="eastAsia" w:ascii="宋体" w:hAnsi="宋体"/>
                <w:sz w:val="16"/>
                <w:lang w:val="en-US" w:eastAsia="zh-CN"/>
              </w:rPr>
              <w:t>不予公开</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1C54F8">
            <w:pPr>
              <w:jc w:val="center"/>
            </w:pPr>
            <w:r>
              <w:rPr>
                <w:rFonts w:ascii="宋体" w:hAnsi="宋体" w:eastAsia="宋体"/>
                <w:sz w:val="16"/>
              </w:rPr>
              <w:t>2024年预算编制人员</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DF52C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4A4B02">
            <w:pPr>
              <w:jc w:val="center"/>
            </w:pPr>
            <w:r>
              <w:rPr>
                <w:rFonts w:hint="eastAsia" w:ascii="宋体" w:hAnsi="宋体"/>
                <w:sz w:val="16"/>
                <w:lang w:val="en-US" w:eastAsia="zh-CN"/>
              </w:rPr>
              <w:t>不予公开</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20B202">
            <w:pPr>
              <w:jc w:val="center"/>
            </w:pPr>
            <w:r>
              <w:rPr>
                <w:rFonts w:ascii="宋体" w:hAnsi="宋体" w:eastAsia="宋体"/>
                <w:sz w:val="16"/>
              </w:rPr>
              <w:t>9.88</w:t>
            </w:r>
          </w:p>
        </w:tc>
      </w:tr>
      <w:tr w14:paraId="65B2488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8A9987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D23EA8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B6D6FC">
            <w:pPr>
              <w:jc w:val="center"/>
            </w:pPr>
            <w:r>
              <w:rPr>
                <w:rFonts w:ascii="宋体" w:hAnsi="宋体" w:eastAsia="宋体"/>
                <w:sz w:val="16"/>
              </w:rPr>
              <w:t>装备设备购置数量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3070D7">
            <w:pPr>
              <w:jc w:val="center"/>
              <w:rPr>
                <w:rFonts w:hint="default" w:eastAsia="宋体"/>
                <w:lang w:val="en-US" w:eastAsia="zh-CN"/>
              </w:rPr>
            </w:pPr>
            <w:r>
              <w:rPr>
                <w:rFonts w:hint="eastAsia" w:ascii="宋体" w:hAnsi="宋体"/>
                <w:sz w:val="16"/>
                <w:lang w:val="en-US" w:eastAsia="zh-CN"/>
              </w:rPr>
              <w:t>不予公开</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CCF295">
            <w:pPr>
              <w:jc w:val="center"/>
            </w:pPr>
            <w:r>
              <w:rPr>
                <w:rFonts w:ascii="宋体" w:hAnsi="宋体" w:eastAsia="宋体"/>
                <w:sz w:val="16"/>
              </w:rPr>
              <w:t>2024年政府采购计划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96AD1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CE4DE7">
            <w:pPr>
              <w:jc w:val="center"/>
            </w:pPr>
            <w:r>
              <w:rPr>
                <w:rFonts w:hint="eastAsia" w:ascii="宋体" w:hAnsi="宋体"/>
                <w:sz w:val="16"/>
                <w:lang w:val="en-US" w:eastAsia="zh-CN"/>
              </w:rPr>
              <w:t>不予公开</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2880C2">
            <w:pPr>
              <w:jc w:val="center"/>
            </w:pPr>
            <w:r>
              <w:rPr>
                <w:rFonts w:ascii="宋体" w:hAnsi="宋体" w:eastAsia="宋体"/>
                <w:sz w:val="16"/>
              </w:rPr>
              <w:t>10</w:t>
            </w:r>
          </w:p>
        </w:tc>
      </w:tr>
      <w:tr w14:paraId="5673BBA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6039C1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23321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F067C7">
            <w:pPr>
              <w:jc w:val="center"/>
            </w:pPr>
            <w:r>
              <w:rPr>
                <w:rFonts w:ascii="宋体" w:hAnsi="宋体" w:eastAsia="宋体"/>
                <w:sz w:val="16"/>
              </w:rPr>
              <w:t>处理违法、犯罪行为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53E81B">
            <w:pPr>
              <w:jc w:val="center"/>
            </w:pPr>
            <w:r>
              <w:rPr>
                <w:rFonts w:hint="eastAsia" w:ascii="宋体" w:hAnsi="宋体"/>
                <w:sz w:val="16"/>
                <w:lang w:val="en-US" w:eastAsia="zh-CN"/>
              </w:rPr>
              <w:t>不予公开</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C040F4">
            <w:pPr>
              <w:jc w:val="center"/>
            </w:pPr>
            <w:r>
              <w:rPr>
                <w:rFonts w:ascii="宋体" w:hAnsi="宋体" w:eastAsia="宋体"/>
                <w:sz w:val="16"/>
              </w:rPr>
              <w:t>公安机关办案规定</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4D72C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29DCD1">
            <w:pPr>
              <w:jc w:val="center"/>
            </w:pPr>
            <w:r>
              <w:rPr>
                <w:rFonts w:hint="eastAsia" w:ascii="宋体" w:hAnsi="宋体"/>
                <w:sz w:val="16"/>
                <w:lang w:val="en-US" w:eastAsia="zh-CN"/>
              </w:rPr>
              <w:t>不予公开</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242262">
            <w:pPr>
              <w:jc w:val="center"/>
            </w:pPr>
            <w:r>
              <w:rPr>
                <w:rFonts w:ascii="宋体" w:hAnsi="宋体" w:eastAsia="宋体"/>
                <w:sz w:val="16"/>
              </w:rPr>
              <w:t>5.42</w:t>
            </w:r>
          </w:p>
        </w:tc>
      </w:tr>
      <w:tr w14:paraId="19A4679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C922EA4"/>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BBE2C5">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8546E7">
            <w:pPr>
              <w:jc w:val="center"/>
            </w:pPr>
            <w:r>
              <w:rPr>
                <w:rFonts w:ascii="宋体" w:hAnsi="宋体" w:eastAsia="宋体"/>
                <w:sz w:val="16"/>
              </w:rPr>
              <w:t>受理案件及时性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1BBB9D">
            <w:pPr>
              <w:jc w:val="center"/>
            </w:pPr>
            <w:r>
              <w:rPr>
                <w:rFonts w:ascii="宋体" w:hAnsi="宋体" w:eastAsia="宋体"/>
                <w:sz w:val="16"/>
              </w:rPr>
              <w:t>24小时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2F8D6A">
            <w:pPr>
              <w:jc w:val="center"/>
            </w:pPr>
            <w:r>
              <w:rPr>
                <w:rFonts w:ascii="宋体" w:hAnsi="宋体" w:eastAsia="宋体"/>
                <w:sz w:val="16"/>
              </w:rPr>
              <w:t>公安机关受理案件规定</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4E7B2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263C20">
            <w:pPr>
              <w:jc w:val="center"/>
            </w:pPr>
            <w:r>
              <w:rPr>
                <w:rFonts w:ascii="宋体" w:hAnsi="宋体" w:eastAsia="宋体"/>
                <w:sz w:val="16"/>
              </w:rPr>
              <w:t>24小时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603DCA">
            <w:pPr>
              <w:jc w:val="center"/>
            </w:pPr>
            <w:r>
              <w:rPr>
                <w:rFonts w:ascii="宋体" w:hAnsi="宋体" w:eastAsia="宋体"/>
                <w:sz w:val="16"/>
              </w:rPr>
              <w:t>10</w:t>
            </w:r>
          </w:p>
        </w:tc>
      </w:tr>
      <w:tr w14:paraId="20901C7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0035D2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71AC4D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D5A8A1">
            <w:pPr>
              <w:jc w:val="center"/>
            </w:pPr>
            <w:r>
              <w:rPr>
                <w:rFonts w:ascii="宋体" w:hAnsi="宋体" w:eastAsia="宋体"/>
                <w:sz w:val="16"/>
              </w:rPr>
              <w:t>装备、设备采购及时性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17D33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804BC7">
            <w:pPr>
              <w:jc w:val="center"/>
            </w:pPr>
            <w:r>
              <w:rPr>
                <w:rFonts w:ascii="宋体" w:hAnsi="宋体" w:eastAsia="宋体"/>
                <w:sz w:val="16"/>
              </w:rPr>
              <w:t>2024年装备采购计划实施方案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37BB6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F4B3E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23CCDF">
            <w:pPr>
              <w:jc w:val="center"/>
            </w:pPr>
            <w:r>
              <w:rPr>
                <w:rFonts w:ascii="宋体" w:hAnsi="宋体" w:eastAsia="宋体"/>
                <w:sz w:val="16"/>
              </w:rPr>
              <w:t>10</w:t>
            </w:r>
          </w:p>
        </w:tc>
      </w:tr>
      <w:tr w14:paraId="00FE57F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636108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082A3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4C2992">
            <w:pPr>
              <w:jc w:val="center"/>
            </w:pPr>
            <w:r>
              <w:rPr>
                <w:rFonts w:ascii="宋体" w:hAnsi="宋体" w:eastAsia="宋体"/>
                <w:sz w:val="16"/>
              </w:rPr>
              <w:t>经费支出及时率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6AD86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89336D">
            <w:pPr>
              <w:jc w:val="center"/>
            </w:pPr>
            <w:r>
              <w:rPr>
                <w:rFonts w:ascii="宋体" w:hAnsi="宋体" w:eastAsia="宋体"/>
                <w:sz w:val="16"/>
              </w:rPr>
              <w:t>财政规定的序时进度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DF0C4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508FA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0A05F3">
            <w:pPr>
              <w:jc w:val="center"/>
            </w:pPr>
            <w:r>
              <w:rPr>
                <w:rFonts w:ascii="宋体" w:hAnsi="宋体" w:eastAsia="宋体"/>
                <w:sz w:val="16"/>
              </w:rPr>
              <w:t>10</w:t>
            </w:r>
          </w:p>
        </w:tc>
      </w:tr>
      <w:tr w14:paraId="2CA14BB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6A84BA4"/>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4E9894">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459287">
            <w:pPr>
              <w:jc w:val="center"/>
            </w:pPr>
            <w:r>
              <w:rPr>
                <w:rFonts w:ascii="宋体" w:hAnsi="宋体" w:eastAsia="宋体"/>
                <w:sz w:val="16"/>
              </w:rPr>
              <w:t>装备设备验收合格率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69DDB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34CC04">
            <w:pPr>
              <w:jc w:val="center"/>
            </w:pPr>
            <w:r>
              <w:rPr>
                <w:rFonts w:ascii="宋体" w:hAnsi="宋体" w:eastAsia="宋体"/>
                <w:sz w:val="16"/>
              </w:rPr>
              <w:t>2024年装备采购计划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12877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5D36E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BA3265">
            <w:pPr>
              <w:jc w:val="center"/>
            </w:pPr>
            <w:r>
              <w:rPr>
                <w:rFonts w:ascii="宋体" w:hAnsi="宋体" w:eastAsia="宋体"/>
                <w:sz w:val="16"/>
              </w:rPr>
              <w:t>10</w:t>
            </w:r>
          </w:p>
        </w:tc>
      </w:tr>
      <w:tr w14:paraId="1841EC1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6989D2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7D78ED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9A1876">
            <w:pPr>
              <w:jc w:val="center"/>
            </w:pPr>
            <w:r>
              <w:rPr>
                <w:rFonts w:ascii="宋体" w:hAnsi="宋体" w:eastAsia="宋体"/>
                <w:sz w:val="16"/>
              </w:rPr>
              <w:t>综合破案率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608388">
            <w:pPr>
              <w:jc w:val="center"/>
              <w:rPr>
                <w:rFonts w:hint="default"/>
                <w:lang w:val="en-US"/>
              </w:rPr>
            </w:pPr>
            <w:r>
              <w:rPr>
                <w:rFonts w:hint="eastAsia" w:ascii="宋体" w:hAnsi="宋体"/>
                <w:sz w:val="16"/>
                <w:lang w:val="en-US" w:eastAsia="zh-CN"/>
              </w:rPr>
              <w:t>不予公开</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0F9362">
            <w:pPr>
              <w:jc w:val="center"/>
            </w:pPr>
            <w:r>
              <w:rPr>
                <w:rFonts w:ascii="宋体" w:hAnsi="宋体" w:eastAsia="宋体"/>
                <w:sz w:val="16"/>
              </w:rPr>
              <w:t>公安机关办案相关规定</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E1B66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943247">
            <w:pPr>
              <w:jc w:val="center"/>
              <w:rPr>
                <w:rFonts w:hint="default"/>
                <w:lang w:val="en-US"/>
              </w:rPr>
            </w:pPr>
            <w:r>
              <w:rPr>
                <w:rFonts w:hint="eastAsia" w:ascii="宋体" w:hAnsi="宋体"/>
                <w:sz w:val="16"/>
                <w:lang w:val="en-US" w:eastAsia="zh-CN"/>
              </w:rPr>
              <w:t>不予公开</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DAEDF0">
            <w:pPr>
              <w:jc w:val="center"/>
            </w:pPr>
            <w:r>
              <w:rPr>
                <w:rFonts w:ascii="宋体" w:hAnsi="宋体" w:eastAsia="宋体"/>
                <w:sz w:val="16"/>
              </w:rPr>
              <w:t>10</w:t>
            </w:r>
          </w:p>
        </w:tc>
      </w:tr>
      <w:tr w14:paraId="48EA954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8CD96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BB94F1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F04549">
            <w:pPr>
              <w:jc w:val="center"/>
            </w:pPr>
            <w:r>
              <w:rPr>
                <w:rFonts w:ascii="宋体" w:hAnsi="宋体" w:eastAsia="宋体"/>
                <w:sz w:val="16"/>
              </w:rPr>
              <w:t>qb信息搜集覆盖率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710E5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DA3316">
            <w:pPr>
              <w:jc w:val="center"/>
            </w:pPr>
            <w:r>
              <w:rPr>
                <w:rFonts w:ascii="宋体" w:hAnsi="宋体" w:eastAsia="宋体"/>
                <w:sz w:val="16"/>
              </w:rPr>
              <w:t>qb信息相关规定</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A73F2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68BEE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E259D2">
            <w:pPr>
              <w:jc w:val="center"/>
            </w:pPr>
            <w:r>
              <w:rPr>
                <w:rFonts w:ascii="宋体" w:hAnsi="宋体" w:eastAsia="宋体"/>
                <w:sz w:val="16"/>
              </w:rPr>
              <w:t>10</w:t>
            </w:r>
          </w:p>
        </w:tc>
      </w:tr>
    </w:tbl>
    <w:p w14:paraId="3EC2FE53">
      <w:r>
        <w:br w:type="page"/>
      </w:r>
    </w:p>
    <w:p w14:paraId="0A820F3A">
      <w:pPr>
        <w:spacing w:line="640" w:lineRule="exact"/>
        <w:ind w:firstLine="640"/>
        <w:jc w:val="both"/>
        <w:outlineLvl w:val="2"/>
      </w:pPr>
      <w:r>
        <w:rPr>
          <w:rFonts w:ascii="黑体" w:hAnsi="黑体" w:eastAsia="黑体"/>
          <w:sz w:val="32"/>
        </w:rPr>
        <w:t>十二、其他需说明的事项</w:t>
      </w:r>
    </w:p>
    <w:p w14:paraId="67AEE93B">
      <w:pPr>
        <w:spacing w:line="580" w:lineRule="exact"/>
        <w:ind w:firstLine="640"/>
        <w:jc w:val="both"/>
        <w:rPr>
          <w:rFonts w:hint="default" w:ascii="仿宋_GB2312" w:hAnsi="仿宋_GB2312" w:eastAsia="仿宋_GB2312"/>
          <w:b w:val="0"/>
          <w:sz w:val="32"/>
          <w:lang w:val="en-US" w:eastAsia="zh-CN"/>
        </w:rPr>
      </w:pPr>
      <w:r>
        <w:rPr>
          <w:rFonts w:ascii="仿宋_GB2312" w:hAnsi="仿宋_GB2312" w:eastAsia="仿宋_GB2312"/>
          <w:b w:val="0"/>
          <w:sz w:val="32"/>
        </w:rPr>
        <w:t>本年本单位</w:t>
      </w:r>
      <w:r>
        <w:rPr>
          <w:rFonts w:hint="eastAsia" w:ascii="仿宋_GB2312" w:hAnsi="仿宋_GB2312" w:eastAsia="仿宋_GB2312"/>
          <w:b w:val="0"/>
          <w:sz w:val="32"/>
          <w:lang w:val="en-US" w:eastAsia="zh-CN"/>
        </w:rPr>
        <w:t>不予公开</w:t>
      </w:r>
      <w:r>
        <w:rPr>
          <w:rFonts w:ascii="仿宋_GB2312" w:hAnsi="仿宋_GB2312" w:eastAsia="仿宋_GB2312"/>
          <w:b w:val="0"/>
          <w:sz w:val="32"/>
        </w:rPr>
        <w:t>项目8个，全年预算数615.12万元，全年执行数615.12万元。</w:t>
      </w:r>
    </w:p>
    <w:p w14:paraId="35B7D82A">
      <w:r>
        <w:br w:type="page"/>
      </w:r>
    </w:p>
    <w:p w14:paraId="77251F7D">
      <w:pPr>
        <w:spacing w:line="240" w:lineRule="auto"/>
        <w:jc w:val="center"/>
        <w:outlineLvl w:val="1"/>
      </w:pPr>
      <w:r>
        <w:rPr>
          <w:rFonts w:ascii="黑体" w:hAnsi="黑体" w:eastAsia="黑体"/>
          <w:sz w:val="32"/>
        </w:rPr>
        <w:t>第三部分 专业名词解释</w:t>
      </w:r>
    </w:p>
    <w:p w14:paraId="5AB6D5FE">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CD70193">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54F51C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FDEF3B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B50132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2F75DD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EE8CC6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50B936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2B03A5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5B686C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AE9ABE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1113F7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0DDD06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C0F6B3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634D95E">
      <w:r>
        <w:br w:type="page"/>
      </w:r>
    </w:p>
    <w:p w14:paraId="5E3FF95A">
      <w:pPr>
        <w:spacing w:line="240" w:lineRule="auto"/>
        <w:jc w:val="center"/>
        <w:outlineLvl w:val="1"/>
      </w:pPr>
      <w:r>
        <w:rPr>
          <w:rFonts w:ascii="黑体" w:hAnsi="黑体" w:eastAsia="黑体"/>
          <w:sz w:val="32"/>
        </w:rPr>
        <w:t>第四部分 部门决算报表（见附表）</w:t>
      </w:r>
    </w:p>
    <w:p w14:paraId="40C95D70">
      <w:pPr>
        <w:spacing w:line="240" w:lineRule="auto"/>
        <w:ind w:firstLine="640"/>
        <w:jc w:val="both"/>
      </w:pPr>
      <w:r>
        <w:rPr>
          <w:rFonts w:ascii="仿宋_GB2312" w:hAnsi="仿宋_GB2312" w:eastAsia="仿宋_GB2312"/>
          <w:b w:val="0"/>
          <w:sz w:val="32"/>
        </w:rPr>
        <w:t>一、《收入支出决算总表》</w:t>
      </w:r>
    </w:p>
    <w:p w14:paraId="2476E8D6">
      <w:pPr>
        <w:spacing w:line="240" w:lineRule="auto"/>
        <w:ind w:firstLine="640"/>
        <w:jc w:val="both"/>
      </w:pPr>
      <w:r>
        <w:rPr>
          <w:rFonts w:ascii="仿宋_GB2312" w:hAnsi="仿宋_GB2312" w:eastAsia="仿宋_GB2312"/>
          <w:b w:val="0"/>
          <w:sz w:val="32"/>
        </w:rPr>
        <w:t>二、《收入决算表》</w:t>
      </w:r>
    </w:p>
    <w:p w14:paraId="73C826C2">
      <w:pPr>
        <w:spacing w:line="240" w:lineRule="auto"/>
        <w:ind w:firstLine="640"/>
        <w:jc w:val="both"/>
      </w:pPr>
      <w:r>
        <w:rPr>
          <w:rFonts w:ascii="仿宋_GB2312" w:hAnsi="仿宋_GB2312" w:eastAsia="仿宋_GB2312"/>
          <w:b w:val="0"/>
          <w:sz w:val="32"/>
        </w:rPr>
        <w:t>三、《支出决算表》</w:t>
      </w:r>
    </w:p>
    <w:p w14:paraId="7CBBD1B9">
      <w:pPr>
        <w:spacing w:line="240" w:lineRule="auto"/>
        <w:ind w:firstLine="640"/>
        <w:jc w:val="both"/>
      </w:pPr>
      <w:r>
        <w:rPr>
          <w:rFonts w:ascii="仿宋_GB2312" w:hAnsi="仿宋_GB2312" w:eastAsia="仿宋_GB2312"/>
          <w:b w:val="0"/>
          <w:sz w:val="32"/>
        </w:rPr>
        <w:t>四、《财政拨款收入支出决算总表》</w:t>
      </w:r>
    </w:p>
    <w:p w14:paraId="49AD0F76">
      <w:pPr>
        <w:spacing w:line="240" w:lineRule="auto"/>
        <w:ind w:firstLine="640"/>
        <w:jc w:val="both"/>
      </w:pPr>
      <w:r>
        <w:rPr>
          <w:rFonts w:ascii="仿宋_GB2312" w:hAnsi="仿宋_GB2312" w:eastAsia="仿宋_GB2312"/>
          <w:b w:val="0"/>
          <w:sz w:val="32"/>
        </w:rPr>
        <w:t>五、《一般公共预算财政拨款支出决算表》</w:t>
      </w:r>
    </w:p>
    <w:p w14:paraId="7998E413">
      <w:pPr>
        <w:spacing w:line="240" w:lineRule="auto"/>
        <w:ind w:firstLine="640"/>
        <w:jc w:val="both"/>
      </w:pPr>
      <w:r>
        <w:rPr>
          <w:rFonts w:ascii="仿宋_GB2312" w:hAnsi="仿宋_GB2312" w:eastAsia="仿宋_GB2312"/>
          <w:b w:val="0"/>
          <w:sz w:val="32"/>
        </w:rPr>
        <w:t>六、《一般公共预算财政拨款基本支出决算表》</w:t>
      </w:r>
    </w:p>
    <w:p w14:paraId="5FC3B4F1">
      <w:pPr>
        <w:spacing w:line="240" w:lineRule="auto"/>
        <w:ind w:firstLine="640"/>
        <w:jc w:val="both"/>
      </w:pPr>
      <w:r>
        <w:rPr>
          <w:rFonts w:ascii="仿宋_GB2312" w:hAnsi="仿宋_GB2312" w:eastAsia="仿宋_GB2312"/>
          <w:b w:val="0"/>
          <w:sz w:val="32"/>
        </w:rPr>
        <w:t>七、《政府性基金预算财政拨款收入支出决算表》</w:t>
      </w:r>
    </w:p>
    <w:p w14:paraId="57C12D3A">
      <w:pPr>
        <w:spacing w:line="240" w:lineRule="auto"/>
        <w:ind w:firstLine="640"/>
        <w:jc w:val="both"/>
      </w:pPr>
      <w:r>
        <w:rPr>
          <w:rFonts w:ascii="仿宋_GB2312" w:hAnsi="仿宋_GB2312" w:eastAsia="仿宋_GB2312"/>
          <w:b w:val="0"/>
          <w:sz w:val="32"/>
        </w:rPr>
        <w:t>八、《国有资本经营预算财政拨款收入支出决算表》</w:t>
      </w:r>
    </w:p>
    <w:p w14:paraId="16CB7780">
      <w:pPr>
        <w:spacing w:line="240" w:lineRule="auto"/>
        <w:ind w:firstLine="640"/>
        <w:jc w:val="both"/>
      </w:pPr>
      <w:r>
        <w:rPr>
          <w:rFonts w:ascii="仿宋_GB2312" w:hAnsi="仿宋_GB2312" w:eastAsia="仿宋_GB2312"/>
          <w:b w:val="0"/>
          <w:sz w:val="32"/>
        </w:rPr>
        <w:t>九、《财政拨款“三公”经费支出决算表》</w:t>
      </w:r>
    </w:p>
    <w:p w14:paraId="0CDFF8AF">
      <w:pPr>
        <w:spacing w:line="240" w:lineRule="auto"/>
        <w:ind w:firstLine="640"/>
        <w:jc w:val="both"/>
      </w:pPr>
    </w:p>
    <w:p w14:paraId="4FEE6781">
      <w:pPr>
        <w:spacing w:line="240" w:lineRule="auto"/>
        <w:ind w:firstLine="640"/>
        <w:jc w:val="both"/>
      </w:pPr>
    </w:p>
    <w:p w14:paraId="54851F68">
      <w:pPr>
        <w:spacing w:line="240" w:lineRule="auto"/>
        <w:ind w:firstLine="640"/>
        <w:jc w:val="both"/>
      </w:pPr>
    </w:p>
    <w:p w14:paraId="649D29EA">
      <w:pPr>
        <w:spacing w:line="240" w:lineRule="auto"/>
        <w:ind w:firstLine="640"/>
        <w:jc w:val="both"/>
      </w:pPr>
    </w:p>
    <w:p w14:paraId="3BBE019C">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43178DA-1770-476E-975C-36194562EF2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9D211499-2B3C-4E4D-BBBB-0DAADA8B70EC}"/>
  </w:font>
  <w:font w:name="仿宋_GB2312">
    <w:panose1 w:val="02010609030101010101"/>
    <w:charset w:val="86"/>
    <w:family w:val="modern"/>
    <w:pitch w:val="default"/>
    <w:sig w:usb0="00000001" w:usb1="080E0000" w:usb2="00000000" w:usb3="00000000" w:csb0="00040000" w:csb1="00000000"/>
    <w:embedRegular r:id="rId3" w:fontKey="{E3EE4362-2898-4B6D-AABE-37804F31536F}"/>
  </w:font>
  <w:font w:name="楷体_GB2312">
    <w:panose1 w:val="02010609030101010101"/>
    <w:charset w:val="86"/>
    <w:family w:val="auto"/>
    <w:pitch w:val="default"/>
    <w:sig w:usb0="00000001" w:usb1="080E0000" w:usb2="00000000" w:usb3="00000000" w:csb0="00040000" w:csb1="00000000"/>
    <w:embedRegular r:id="rId4" w:fontKey="{E0DF884A-CB42-49CA-BC25-C14B0D0F063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F6761E">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CCD2FFD">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5CCD2FFD">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JjZTE0YjA0ZGZlMWUyYThmMmNiM2E1MDdkNTkyNDEifQ=="/>
  </w:docVars>
  <w:rsids>
    <w:rsidRoot w:val="00000000"/>
    <w:rsid w:val="021B7195"/>
    <w:rsid w:val="02F73D26"/>
    <w:rsid w:val="034D4FEF"/>
    <w:rsid w:val="043E5B56"/>
    <w:rsid w:val="06792773"/>
    <w:rsid w:val="084F5B93"/>
    <w:rsid w:val="09A729D8"/>
    <w:rsid w:val="0A3C58E8"/>
    <w:rsid w:val="0A7B4867"/>
    <w:rsid w:val="0B8C3ECC"/>
    <w:rsid w:val="0C3613A3"/>
    <w:rsid w:val="0C7227A7"/>
    <w:rsid w:val="0DCA6EF7"/>
    <w:rsid w:val="0E4B1576"/>
    <w:rsid w:val="0EA04331"/>
    <w:rsid w:val="0F9811B3"/>
    <w:rsid w:val="11E15093"/>
    <w:rsid w:val="120E0809"/>
    <w:rsid w:val="19071D6C"/>
    <w:rsid w:val="19722538"/>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5864479"/>
    <w:rsid w:val="38006E2C"/>
    <w:rsid w:val="3914510A"/>
    <w:rsid w:val="3B1220C9"/>
    <w:rsid w:val="3BC75BAB"/>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8DA7ACA"/>
    <w:rsid w:val="5AFC6609"/>
    <w:rsid w:val="5FA17648"/>
    <w:rsid w:val="5FD320BD"/>
    <w:rsid w:val="60DE4D57"/>
    <w:rsid w:val="613409CB"/>
    <w:rsid w:val="61A46A97"/>
    <w:rsid w:val="62DD7D21"/>
    <w:rsid w:val="65D97752"/>
    <w:rsid w:val="664C500C"/>
    <w:rsid w:val="67D111AB"/>
    <w:rsid w:val="68DB0208"/>
    <w:rsid w:val="68DF36D5"/>
    <w:rsid w:val="69846A0E"/>
    <w:rsid w:val="69AD798C"/>
    <w:rsid w:val="6AF759EF"/>
    <w:rsid w:val="6B68175F"/>
    <w:rsid w:val="6B8B5C99"/>
    <w:rsid w:val="6CA7198F"/>
    <w:rsid w:val="6D8919A8"/>
    <w:rsid w:val="6E0F7A08"/>
    <w:rsid w:val="6E801ABC"/>
    <w:rsid w:val="6FA04299"/>
    <w:rsid w:val="71473612"/>
    <w:rsid w:val="718F7F65"/>
    <w:rsid w:val="73423603"/>
    <w:rsid w:val="737A5923"/>
    <w:rsid w:val="73DE4104"/>
    <w:rsid w:val="73FB6630"/>
    <w:rsid w:val="746A5998"/>
    <w:rsid w:val="74CE04EC"/>
    <w:rsid w:val="74E76DCD"/>
    <w:rsid w:val="75A611A0"/>
    <w:rsid w:val="76660D7C"/>
    <w:rsid w:val="77ED6F44"/>
    <w:rsid w:val="795A0A34"/>
    <w:rsid w:val="7A0D3BC7"/>
    <w:rsid w:val="7A3A3CDB"/>
    <w:rsid w:val="7AFB1916"/>
    <w:rsid w:val="7E06487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d90581ca-db70-4196-b852-07b702ebd56a</errorID>
      <errorWord>,</errorWord>
      <group>L1_Format</group>
      <groupName>格式问题</groupName>
      <ability>L2_HalfPunc</ability>
      <abilityName>全半角检查</abilityName>
      <candidateList>
        <item>，</item>
      </candidateList>
      <explain>文本全半角错误。</explain>
      <paraID>32D730E6</paraID>
      <start>151</start>
      <end>152</end>
      <status>unmodified</status>
      <modifiedWord/>
      <trackRevisions>false</trackRevisions>
    </reviewItem>
    <reviewItem>
      <errorID>cf43e90f-35cd-4dd1-aa37-2f75955044f7</errorID>
      <errorWord>,</errorWord>
      <group>L1_Format</group>
      <groupName>格式问题</groupName>
      <ability>L2_HalfPunc</ability>
      <abilityName>全半角检查</abilityName>
      <candidateList>
        <item>，</item>
      </candidateList>
      <explain>文本全半角错误。</explain>
      <paraID>11025F9A</paraID>
      <start>21</start>
      <end>22</end>
      <status>unmodified</status>
      <modifiedWord/>
      <trackRevisions>false</trackRevisions>
    </reviewItem>
    <reviewItem>
      <errorID>82c6d738-0a11-47d8-9e41-0299e140ee5a</errorID>
      <errorWord>,</errorWord>
      <group>L1_Format</group>
      <groupName>格式问题</groupName>
      <ability>L2_HalfPunc</ability>
      <abilityName>全半角检查</abilityName>
      <candidateList>
        <item>，</item>
      </candidateList>
      <explain>文本全半角错误。</explain>
      <paraID>24D2D0C3</paraID>
      <start>22</start>
      <end>23</end>
      <status>unmodified</status>
      <modifiedWord/>
      <trackRevisions>false</trackRevisions>
    </reviewItem>
    <reviewItem>
      <errorID>fe377efd-e80c-4c43-b07d-f2f8e830f594</errorID>
      <errorWord>,</errorWord>
      <group>L1_Format</group>
      <groupName>格式问题</groupName>
      <ability>L2_HalfPunc</ability>
      <abilityName>全半角检查</abilityName>
      <candidateList>
        <item>，</item>
      </candidateList>
      <explain>文本全半角错误。</explain>
      <paraID>6D46B94D</paraID>
      <start>19</start>
      <end>20</end>
      <status>unmodified</status>
      <modifiedWord/>
      <trackRevisions>false</trackRevisions>
    </reviewItem>
    <reviewItem>
      <errorID>223a1b5c-69b2-4d3d-8741-bafeeccaa2af</errorID>
      <errorWord>,</errorWord>
      <group>L1_Format</group>
      <groupName>格式问题</groupName>
      <ability>L2_HalfPunc</ability>
      <abilityName>全半角检查</abilityName>
      <candidateList>
        <item>，</item>
      </candidateList>
      <explain>文本全半角错误。</explain>
      <paraID>58284324</paraID>
      <start>17</start>
      <end>18</end>
      <status>unmodified</status>
      <modifiedWord/>
      <trackRevisions>false</trackRevisions>
    </reviewItem>
    <reviewItem>
      <errorID>d253c403-2fd6-4b56-b308-6d0ab8b19335</errorID>
      <errorWord>,</errorWord>
      <group>L1_Format</group>
      <groupName>格式问题</groupName>
      <ability>L2_HalfPunc</ability>
      <abilityName>全半角检查</abilityName>
      <candidateList>
        <item>，</item>
      </candidateList>
      <explain>文本全半角错误。</explain>
      <paraID>58D0D055</paraID>
      <start>19</start>
      <end>20</end>
      <status>unmodified</status>
      <modifiedWord/>
      <trackRevisions>false</trackRevisions>
    </reviewItem>
    <reviewItem>
      <errorID>7a9e2102-d5c3-45d9-84c6-a856afeed430</errorID>
      <errorWord>:</errorWord>
      <group>L1_Format</group>
      <groupName>格式问题</groupName>
      <ability>L2_HalfPunc</ability>
      <abilityName>全半角检查</abilityName>
      <candidateList>
        <item>：</item>
      </candidateList>
      <explain>文本全半角错误。</explain>
      <paraID>40E3BCFE</paraID>
      <start>23</start>
      <end>24</end>
      <status>unmodified</status>
      <modifiedWord/>
      <trackRevisions>false</trackRevisions>
    </reviewItem>
    <reviewItem>
      <errorID>2a23b2f9-befe-4b03-afe1-b9d03965eddd</errorID>
      <errorWord>,</errorWord>
      <group>L1_Format</group>
      <groupName>格式问题</groupName>
      <ability>L2_HalfPunc</ability>
      <abilityName>全半角检查</abilityName>
      <candidateList>
        <item>，</item>
      </candidateList>
      <explain>文本全半角错误。</explain>
      <paraID>40E3BCFE</paraID>
      <start>68</start>
      <end>69</end>
      <status>unmodified</status>
      <modifiedWord/>
      <trackRevisions>false</trackRevisions>
    </reviewItem>
    <reviewItem>
      <errorID>55d16835-d3b4-4c39-b768-524a6e7241f0</errorID>
      <errorWord>:</errorWord>
      <group>L1_Format</group>
      <groupName>格式问题</groupName>
      <ability>L2_HalfPunc</ability>
      <abilityName>全半角检查</abilityName>
      <candidateList>
        <item>：</item>
      </candidateList>
      <explain>文本全半角错误。</explain>
      <paraID>64E1883D</paraID>
      <start>23</start>
      <end>24</end>
      <status>unmodified</status>
      <modifiedWord/>
      <trackRevisions>false</trackRevisions>
    </reviewItem>
    <reviewItem>
      <errorID>ef7e92cf-9ca5-47d9-8a10-e40228e5be17</errorID>
      <errorWord>,</errorWord>
      <group>L1_Format</group>
      <groupName>格式问题</groupName>
      <ability>L2_HalfPunc</ability>
      <abilityName>全半角检查</abilityName>
      <candidateList>
        <item>，</item>
      </candidateList>
      <explain>文本全半角错误。</explain>
      <paraID>64E1883D</paraID>
      <start>61</start>
      <end>62</end>
      <status>unmodified</status>
      <modifiedWord/>
      <trackRevisions>false</trackRevisions>
    </reviewItem>
    <reviewItem>
      <errorID>de0b8d33-a81c-4e64-af1c-ec7cc4dd0da2</errorID>
      <errorWord>:</errorWord>
      <group>L1_Format</group>
      <groupName>格式问题</groupName>
      <ability>L2_HalfPunc</ability>
      <abilityName>全半角检查</abilityName>
      <candidateList>
        <item>：</item>
      </candidateList>
      <explain>文本全半角错误。</explain>
      <paraID>45905591</paraID>
      <start>25</start>
      <end>26</end>
      <status>unmodified</status>
      <modifiedWord/>
      <trackRevisions>false</trackRevisions>
    </reviewItem>
    <reviewItem>
      <errorID>18f321cf-978b-4d1a-b2dd-9e6ef84e88cc</errorID>
      <errorWord>,</errorWord>
      <group>L1_Format</group>
      <groupName>格式问题</groupName>
      <ability>L2_HalfPunc</ability>
      <abilityName>全半角检查</abilityName>
      <candidateList>
        <item>，</item>
      </candidateList>
      <explain>文本全半角错误。</explain>
      <paraID>45905591</paraID>
      <start>65</start>
      <end>66</end>
      <status>unmodified</status>
      <modifiedWord/>
      <trackRevisions>false</trackRevisions>
    </reviewItem>
    <reviewItem>
      <errorID>124857b6-d684-4a7d-a007-3a66e2ceb928</errorID>
      <errorWord>安保</errorWord>
      <group>L1_Sensitive</group>
      <groupName>敏感问题</groupName>
      <ability>L2_UserSensitive</ability>
      <abilityName>自定义敏感词</abilityName>
      <candidateList/>
      <explain>来自自定义敏感词库。</explain>
      <paraID>45905591</paraID>
      <start>78</start>
      <end>80</end>
      <status>unmodified</status>
      <modifiedWord/>
      <trackRevisions>false</trackRevisions>
    </reviewItem>
    <reviewItem>
      <errorID>fe5fe31a-015a-4a46-a3a6-a3bc6cd77b5b</errorID>
      <errorWord>:</errorWord>
      <group>L1_Format</group>
      <groupName>格式问题</groupName>
      <ability>L2_HalfPunc</ability>
      <abilityName>全半角检查</abilityName>
      <candidateList>
        <item>：</item>
      </candidateList>
      <explain>文本全半角错误。</explain>
      <paraID>5752240D</paraID>
      <start>33</start>
      <end>34</end>
      <status>unmodified</status>
      <modifiedWord/>
      <trackRevisions>false</trackRevisions>
    </reviewItem>
    <reviewItem>
      <errorID>56006259-1088-40dc-ba29-0ad5140e1f2f</errorID>
      <errorWord>,</errorWord>
      <group>L1_Format</group>
      <groupName>格式问题</groupName>
      <ability>L2_HalfPunc</ability>
      <abilityName>全半角检查</abilityName>
      <candidateList>
        <item>，</item>
      </candidateList>
      <explain>文本全半角错误。</explain>
      <paraID>5752240D</paraID>
      <start>72</start>
      <end>73</end>
      <status>unmodified</status>
      <modifiedWord/>
      <trackRevisions>false</trackRevisions>
    </reviewItem>
    <reviewItem>
      <errorID>1eabb2d6-7d18-4c76-98c7-374eadac3876</errorID>
      <errorWord>:</errorWord>
      <group>L1_Format</group>
      <groupName>格式问题</groupName>
      <ability>L2_HalfPunc</ability>
      <abilityName>全半角检查</abilityName>
      <candidateList>
        <item>：</item>
      </candidateList>
      <explain>文本全半角错误。</explain>
      <paraID>6625EB5E</paraID>
      <start>37</start>
      <end>38</end>
      <status>unmodified</status>
      <modifiedWord/>
      <trackRevisions>false</trackRevisions>
    </reviewItem>
    <reviewItem>
      <errorID>c8855cfd-468e-4a19-8273-04d093511512</errorID>
      <errorWord>,</errorWord>
      <group>L1_Format</group>
      <groupName>格式问题</groupName>
      <ability>L2_HalfPunc</ability>
      <abilityName>全半角检查</abilityName>
      <candidateList>
        <item>，</item>
      </candidateList>
      <explain>文本全半角错误。</explain>
      <paraID>6625EB5E</paraID>
      <start>73</start>
      <end>74</end>
      <status>unmodified</status>
      <modifiedWord/>
      <trackRevisions>false</trackRevisions>
    </reviewItem>
    <reviewItem>
      <errorID>27375a42-a485-47d3-b7e3-d119370fbe38</errorID>
      <errorWord>:</errorWord>
      <group>L1_Format</group>
      <groupName>格式问题</groupName>
      <ability>L2_HalfPunc</ability>
      <abilityName>全半角检查</abilityName>
      <candidateList>
        <item>：</item>
      </candidateList>
      <explain>文本全半角错误。</explain>
      <paraID>7492FB1D</paraID>
      <start>46</start>
      <end>47</end>
      <status>unmodified</status>
      <modifiedWord/>
      <trackRevisions>false</trackRevisions>
    </reviewItem>
    <reviewItem>
      <errorID>35a411e7-bb69-4a42-b992-eaa910d210e3</errorID>
      <errorWord>,</errorWord>
      <group>L1_Format</group>
      <groupName>格式问题</groupName>
      <ability>L2_HalfPunc</ability>
      <abilityName>全半角检查</abilityName>
      <candidateList>
        <item>，</item>
      </candidateList>
      <explain>文本全半角错误。</explain>
      <paraID>7492FB1D</paraID>
      <start>83</start>
      <end>84</end>
      <status>unmodified</status>
      <modifiedWord/>
      <trackRevisions>false</trackRevisions>
    </reviewItem>
    <reviewItem>
      <errorID>72e2939b-0a5c-45db-a48c-ef53fd713fe5</errorID>
      <errorWord>:</errorWord>
      <group>L1_Format</group>
      <groupName>格式问题</groupName>
      <ability>L2_HalfPunc</ability>
      <abilityName>全半角检查</abilityName>
      <candidateList>
        <item>：</item>
      </candidateList>
      <explain>文本全半角错误。</explain>
      <paraID>647730D0</paraID>
      <start>44</start>
      <end>45</end>
      <status>unmodified</status>
      <modifiedWord/>
      <trackRevisions>false</trackRevisions>
    </reviewItem>
    <reviewItem>
      <errorID>6e23d533-71db-498c-abcd-12cc1a5ab67b</errorID>
      <errorWord>,</errorWord>
      <group>L1_Format</group>
      <groupName>格式问题</groupName>
      <ability>L2_HalfPunc</ability>
      <abilityName>全半角检查</abilityName>
      <candidateList>
        <item>，</item>
      </candidateList>
      <explain>文本全半角错误。</explain>
      <paraID>647730D0</paraID>
      <start>82</start>
      <end>83</end>
      <status>unmodified</status>
      <modifiedWord/>
      <trackRevisions>false</trackRevisions>
    </reviewItem>
    <reviewItem>
      <errorID>9e3cc4b2-2fbb-4c0e-96f8-ed521420163e</errorID>
      <errorWord>:</errorWord>
      <group>L1_Format</group>
      <groupName>格式问题</groupName>
      <ability>L2_HalfPunc</ability>
      <abilityName>全半角检查</abilityName>
      <candidateList>
        <item>：</item>
      </candidateList>
      <explain>文本全半角错误。</explain>
      <paraID> D867445</paraID>
      <start>31</start>
      <end>32</end>
      <status>unmodified</status>
      <modifiedWord/>
      <trackRevisions>false</trackRevisions>
    </reviewItem>
    <reviewItem>
      <errorID>b7f3ed55-c924-45a0-b855-2b77f2b0cfd5</errorID>
      <errorWord>,</errorWord>
      <group>L1_Format</group>
      <groupName>格式问题</groupName>
      <ability>L2_HalfPunc</ability>
      <abilityName>全半角检查</abilityName>
      <candidateList>
        <item>，</item>
      </candidateList>
      <explain>文本全半角错误。</explain>
      <paraID> D867445</paraID>
      <start>67</start>
      <end>68</end>
      <status>unmodified</status>
      <modifiedWord/>
      <trackRevisions>false</trackRevisions>
    </reviewItem>
    <reviewItem>
      <errorID>4fbe315e-551e-4de7-b545-408a3deb13a8</errorID>
      <errorWord>:</errorWord>
      <group>L1_Format</group>
      <groupName>格式问题</groupName>
      <ability>L2_HalfPunc</ability>
      <abilityName>全半角检查</abilityName>
      <candidateList>
        <item>：</item>
      </candidateList>
      <explain>文本全半角错误。</explain>
      <paraID> 224419C</paraID>
      <start>32</start>
      <end>33</end>
      <status>unmodified</status>
      <modifiedWord/>
      <trackRevisions>false</trackRevisions>
    </reviewItem>
    <reviewItem>
      <errorID>579118a4-9963-467c-9205-d83899f115ea</errorID>
      <errorWord>,</errorWord>
      <group>L1_Format</group>
      <groupName>格式问题</groupName>
      <ability>L2_HalfPunc</ability>
      <abilityName>全半角检查</abilityName>
      <candidateList>
        <item>，</item>
      </candidateList>
      <explain>文本全半角错误。</explain>
      <paraID> 224419C</paraID>
      <start>68</start>
      <end>69</end>
      <status>unmodified</status>
      <modifiedWord/>
      <trackRevisions>false</trackRevisions>
    </reviewItem>
    <reviewItem>
      <errorID>9bfa3a68-410f-4cd0-bec1-86086fb7a70b</errorID>
      <errorWord>:</errorWord>
      <group>L1_Format</group>
      <groupName>格式问题</groupName>
      <ability>L2_HalfPunc</ability>
      <abilityName>全半角检查</abilityName>
      <candidateList>
        <item>：</item>
      </candidateList>
      <explain>文本全半角错误。</explain>
      <paraID>1EC75C8C</paraID>
      <start>29</start>
      <end>30</end>
      <status>unmodified</status>
      <modifiedWord/>
      <trackRevisions>false</trackRevisions>
    </reviewItem>
    <reviewItem>
      <errorID>11cb70d9-f50a-4fd9-8297-2f5073247342</errorID>
      <errorWord>,</errorWord>
      <group>L1_Format</group>
      <groupName>格式问题</groupName>
      <ability>L2_HalfPunc</ability>
      <abilityName>全半角检查</abilityName>
      <candidateList>
        <item>，</item>
      </candidateList>
      <explain>文本全半角错误。</explain>
      <paraID>1EC75C8C</paraID>
      <start>65</start>
      <end>66</end>
      <status>unmodified</status>
      <modifiedWord/>
      <trackRevisions>false</trackRevisions>
    </reviewItem>
    <reviewItem>
      <errorID>2d0311c9-6e07-4e71-92ee-9e1e32e9c9e1</errorID>
      <errorWord>:</errorWord>
      <group>L1_Format</group>
      <groupName>格式问题</groupName>
      <ability>L2_HalfPunc</ability>
      <abilityName>全半角检查</abilityName>
      <candidateList>
        <item>：</item>
      </candidateList>
      <explain>文本全半角错误。</explain>
      <paraID>6091D038</paraID>
      <start>29</start>
      <end>30</end>
      <status>unmodified</status>
      <modifiedWord/>
      <trackRevisions>false</trackRevisions>
    </reviewItem>
    <reviewItem>
      <errorID>2026deb8-bf09-47fc-a2ed-8cfd09c2c4f1</errorID>
      <errorWord>,</errorWord>
      <group>L1_Format</group>
      <groupName>格式问题</groupName>
      <ability>L2_HalfPunc</ability>
      <abilityName>全半角检查</abilityName>
      <candidateList>
        <item>，</item>
      </candidateList>
      <explain>文本全半角错误。</explain>
      <paraID>6091D038</paraID>
      <start>68</start>
      <end>69</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34c046-a0bc-4c7c-87cf-b5a650bed061}">
  <ds:schemaRefs/>
</ds:datastoreItem>
</file>

<file path=docProps/app.xml><?xml version="1.0" encoding="utf-8"?>
<Properties xmlns="http://schemas.openxmlformats.org/officeDocument/2006/extended-properties" xmlns:vt="http://schemas.openxmlformats.org/officeDocument/2006/docPropsVTypes">
  <Template>Normal.dotm</Template>
  <Pages>19</Pages>
  <Words>5661</Words>
  <Characters>6499</Characters>
  <Lines>0</Lines>
  <Paragraphs>0</Paragraphs>
  <TotalTime>0</TotalTime>
  <ScaleCrop>false</ScaleCrop>
  <LinksUpToDate>false</LinksUpToDate>
  <CharactersWithSpaces>6509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2025-09-30T03:51:00Z</cp:lastPrinted>
  <dcterms:modified xsi:type="dcterms:W3CDTF">2025-11-07T11:29:05Z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