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AC779">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532CFE9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9DE83F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AFB576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F7C4EA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54323D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裕民县供销合作社联合社2024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22BCCC0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4178455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19D48D20">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30C0DFA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45A7F7C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32C236C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0001999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435341B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173AD7C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4E51955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2F73568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204D824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3D61509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05B14E3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704EDA2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0D492A0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3242CD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1043F41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B8DD7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3B2D8A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3C8A70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A0A26E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1183BBE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554CE9E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16BB0D35">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555A4F7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77A601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6EA517C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726FD60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7C18301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0A343E2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33DE052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89A4E0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3736F20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5BADA76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51404CD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74692AA">
      <w:r>
        <w:br w:type="page"/>
      </w:r>
    </w:p>
    <w:p w14:paraId="45D1760F">
      <w:pPr>
        <w:spacing w:line="640" w:lineRule="exact"/>
        <w:jc w:val="center"/>
        <w:outlineLvl w:val="1"/>
      </w:pPr>
      <w:r>
        <w:rPr>
          <w:rFonts w:ascii="黑体" w:hAnsi="黑体" w:eastAsia="黑体"/>
          <w:sz w:val="32"/>
        </w:rPr>
        <w:t>第一部分 单位概况</w:t>
      </w:r>
    </w:p>
    <w:p w14:paraId="7A9B679F">
      <w:pPr>
        <w:spacing w:line="640" w:lineRule="exact"/>
        <w:ind w:firstLine="640"/>
        <w:jc w:val="both"/>
        <w:outlineLvl w:val="2"/>
      </w:pPr>
      <w:r>
        <w:rPr>
          <w:rFonts w:ascii="黑体" w:hAnsi="黑体" w:eastAsia="黑体"/>
          <w:sz w:val="32"/>
        </w:rPr>
        <w:t>一、主要职能</w:t>
      </w:r>
    </w:p>
    <w:p w14:paraId="79CA82F1">
      <w:pPr>
        <w:spacing w:line="580" w:lineRule="exact"/>
        <w:ind w:firstLine="640"/>
        <w:jc w:val="both"/>
        <w:rPr>
          <w:w w:val="98"/>
          <w:sz w:val="32"/>
        </w:rPr>
      </w:pPr>
      <w:r>
        <w:rPr>
          <w:rFonts w:hint="eastAsia" w:ascii="仿宋_GB2312" w:hAnsi="仿宋_GB2312" w:eastAsia="仿宋_GB2312"/>
          <w:w w:val="98"/>
          <w:sz w:val="32"/>
          <w:lang w:eastAsia="zh-CN"/>
        </w:rPr>
        <w:t>1.</w:t>
      </w:r>
      <w:r>
        <w:rPr>
          <w:rFonts w:ascii="仿宋_GB2312" w:hAnsi="仿宋_GB2312" w:eastAsia="仿宋_GB2312"/>
          <w:w w:val="98"/>
          <w:sz w:val="32"/>
        </w:rPr>
        <w:t>制定本社的发展战略和发展规划，指导社属企业的改革和发展，建立和完善为农业社会化服务的体系，强化为农服务功能。</w:t>
      </w:r>
    </w:p>
    <w:p w14:paraId="4734F609">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宣传党和政府有关农村经济的方针、政策；向县委、县政府和有关部门反映农民的合理要求，协调与政府有关部门及其他社会组织的关系，提出有关发展合作社事业的政策建议，维护供销合作社的合法权益。</w:t>
      </w:r>
    </w:p>
    <w:p w14:paraId="7189C4C8">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引领社属企业对本县的农副产品、农业生产资料经营，开拓农村市场，农业产业化进程，引导农民有组织进入市场。</w:t>
      </w:r>
    </w:p>
    <w:p w14:paraId="6A151244">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管理社属企业的组织、队伍建设，指导本系统人才资源开发，不断提高职工队伍素质，贯彻民主办社的原则，加强系统自身组织联合与合作。</w:t>
      </w:r>
    </w:p>
    <w:p w14:paraId="5C7E4DE9">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深化供销合作社综合改革，经营管理本社社有资产，确保社有资产的保值增值。</w:t>
      </w:r>
    </w:p>
    <w:p w14:paraId="5EBD4F6B">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推动本系统参与社会主义新农村建设，加强农村现代流通体系建设，整合网络资源,引领本系统开展以连锁经营为主的经营业态创新和经营网络改造工作。</w:t>
      </w:r>
    </w:p>
    <w:p w14:paraId="183C6003">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承办县委</w:t>
      </w:r>
      <w:r>
        <w:rPr>
          <w:rFonts w:hint="eastAsia" w:ascii="仿宋_GB2312" w:hAnsi="仿宋_GB2312" w:eastAsia="仿宋_GB2312"/>
          <w:sz w:val="32"/>
          <w:lang w:eastAsia="zh-CN"/>
        </w:rPr>
        <w:t>、</w:t>
      </w:r>
      <w:r>
        <w:rPr>
          <w:rFonts w:ascii="仿宋_GB2312" w:hAnsi="仿宋_GB2312" w:eastAsia="仿宋_GB2312"/>
          <w:sz w:val="32"/>
        </w:rPr>
        <w:t>县政府交办的其他事项。</w:t>
      </w:r>
    </w:p>
    <w:p w14:paraId="0E040115">
      <w:pPr>
        <w:spacing w:line="640" w:lineRule="exact"/>
        <w:ind w:firstLine="640"/>
        <w:jc w:val="both"/>
        <w:outlineLvl w:val="2"/>
      </w:pPr>
      <w:r>
        <w:rPr>
          <w:rFonts w:ascii="黑体" w:hAnsi="黑体" w:eastAsia="黑体"/>
          <w:sz w:val="32"/>
        </w:rPr>
        <w:t>二、机构设置及人员情况</w:t>
      </w:r>
    </w:p>
    <w:p w14:paraId="51CF2E3B">
      <w:pPr>
        <w:spacing w:line="580" w:lineRule="exact"/>
        <w:ind w:firstLine="640"/>
        <w:jc w:val="both"/>
      </w:pPr>
      <w:r>
        <w:rPr>
          <w:rFonts w:ascii="仿宋_GB2312" w:hAnsi="仿宋_GB2312" w:eastAsia="仿宋_GB2312"/>
          <w:sz w:val="32"/>
        </w:rPr>
        <w:t>裕民县供销合作社联合社2024年度，实有人数18人，其中：在职人员7人，增加1人；离休人员0人，增加0人；退休人员11人,增加0人。</w:t>
      </w:r>
    </w:p>
    <w:p w14:paraId="6A317C27">
      <w:pPr>
        <w:spacing w:line="580" w:lineRule="exact"/>
        <w:ind w:firstLine="640"/>
        <w:jc w:val="both"/>
      </w:pPr>
      <w:r>
        <w:rPr>
          <w:rFonts w:ascii="仿宋_GB2312" w:hAnsi="仿宋_GB2312" w:eastAsia="仿宋_GB2312"/>
          <w:sz w:val="32"/>
        </w:rPr>
        <w:t>裕民县供销合作社联合社无下属预算单位，下设2个科室，分别是：行政办公室、财务室。</w:t>
      </w:r>
    </w:p>
    <w:p w14:paraId="59E78D96">
      <w:r>
        <w:br w:type="page"/>
      </w:r>
    </w:p>
    <w:p w14:paraId="3FC44329">
      <w:pPr>
        <w:spacing w:line="240" w:lineRule="auto"/>
        <w:jc w:val="center"/>
        <w:outlineLvl w:val="1"/>
      </w:pPr>
      <w:r>
        <w:rPr>
          <w:rFonts w:ascii="黑体" w:hAnsi="黑体" w:eastAsia="黑体"/>
          <w:sz w:val="32"/>
        </w:rPr>
        <w:t>第二部分 部门决算情况说明</w:t>
      </w:r>
    </w:p>
    <w:p w14:paraId="32EEA348">
      <w:pPr>
        <w:spacing w:line="640" w:lineRule="exact"/>
        <w:ind w:firstLine="640"/>
        <w:jc w:val="both"/>
        <w:outlineLvl w:val="2"/>
      </w:pPr>
      <w:r>
        <w:rPr>
          <w:rFonts w:ascii="黑体" w:hAnsi="黑体" w:eastAsia="黑体"/>
          <w:sz w:val="32"/>
        </w:rPr>
        <w:t>一、收入支出决算总体情况说明</w:t>
      </w:r>
    </w:p>
    <w:p w14:paraId="242CA747">
      <w:pPr>
        <w:spacing w:line="580" w:lineRule="exact"/>
        <w:ind w:firstLine="640"/>
        <w:jc w:val="both"/>
      </w:pPr>
      <w:r>
        <w:rPr>
          <w:rFonts w:ascii="仿宋_GB2312" w:hAnsi="仿宋_GB2312" w:eastAsia="仿宋_GB2312"/>
          <w:b/>
          <w:sz w:val="32"/>
        </w:rPr>
        <w:t>2024年度收入总计139.44万元，</w:t>
      </w:r>
      <w:r>
        <w:rPr>
          <w:rFonts w:ascii="仿宋_GB2312" w:hAnsi="仿宋_GB2312" w:eastAsia="仿宋_GB2312"/>
          <w:b w:val="0"/>
          <w:sz w:val="32"/>
        </w:rPr>
        <w:t>其中：本年收入合计139.44万元，使用非财政拨款结余（含专用结余）0.00万元，年初结转和结余0.00万元。</w:t>
      </w:r>
    </w:p>
    <w:p w14:paraId="2FC50C6D">
      <w:pPr>
        <w:spacing w:line="580" w:lineRule="exact"/>
        <w:ind w:firstLine="640"/>
        <w:jc w:val="both"/>
      </w:pPr>
      <w:r>
        <w:rPr>
          <w:rFonts w:ascii="仿宋_GB2312" w:hAnsi="仿宋_GB2312" w:eastAsia="仿宋_GB2312"/>
          <w:b/>
          <w:sz w:val="32"/>
        </w:rPr>
        <w:t>2024年度支出总计139.44万元，</w:t>
      </w:r>
      <w:r>
        <w:rPr>
          <w:rFonts w:ascii="仿宋_GB2312" w:hAnsi="仿宋_GB2312" w:eastAsia="仿宋_GB2312"/>
          <w:b w:val="0"/>
          <w:sz w:val="32"/>
        </w:rPr>
        <w:t>其中：本年支出合计139.44万元，结余分配0.00万元，年末结转和结余0.00万元。</w:t>
      </w:r>
    </w:p>
    <w:p w14:paraId="27B1103E">
      <w:pPr>
        <w:spacing w:line="580" w:lineRule="exact"/>
        <w:ind w:firstLine="640"/>
        <w:jc w:val="both"/>
      </w:pPr>
      <w:r>
        <w:rPr>
          <w:rFonts w:ascii="仿宋_GB2312" w:hAnsi="仿宋_GB2312" w:eastAsia="仿宋_GB2312"/>
          <w:b w:val="0"/>
          <w:sz w:val="32"/>
        </w:rPr>
        <w:t>收入支出总体与上年相比，增加23.64万元，增长20.41%，主要原因是：本年新增1人，人员工资调增，支付2023年度考核绩效奖，导致人员经费增加。</w:t>
      </w:r>
    </w:p>
    <w:p w14:paraId="4EF4EC11">
      <w:pPr>
        <w:spacing w:line="640" w:lineRule="exact"/>
        <w:ind w:firstLine="640"/>
        <w:jc w:val="both"/>
        <w:outlineLvl w:val="2"/>
      </w:pPr>
      <w:r>
        <w:rPr>
          <w:rFonts w:ascii="黑体" w:hAnsi="黑体" w:eastAsia="黑体"/>
          <w:sz w:val="32"/>
        </w:rPr>
        <w:t>二、收入决算情况说明</w:t>
      </w:r>
    </w:p>
    <w:p w14:paraId="6273DEA4">
      <w:pPr>
        <w:spacing w:line="580" w:lineRule="exact"/>
        <w:ind w:firstLine="640"/>
        <w:jc w:val="both"/>
      </w:pPr>
      <w:r>
        <w:rPr>
          <w:rFonts w:ascii="仿宋_GB2312" w:hAnsi="仿宋_GB2312" w:eastAsia="仿宋_GB2312"/>
          <w:b/>
          <w:sz w:val="32"/>
        </w:rPr>
        <w:t>本年收入139.44万元，</w:t>
      </w:r>
      <w:r>
        <w:rPr>
          <w:rFonts w:ascii="仿宋_GB2312" w:hAnsi="仿宋_GB2312" w:eastAsia="仿宋_GB2312"/>
          <w:b w:val="0"/>
          <w:sz w:val="32"/>
        </w:rPr>
        <w:t>其中：财政拨款收入139.44万元，占100.00%；上级补助收入0.00万元，占0.00%；事业收入0.00万元，占0.00%；经营收入0.00万元，占0.00%；附属单位上缴收入0.00万元，占0.00%；其他收入0.00万元，占0.00%。</w:t>
      </w:r>
    </w:p>
    <w:p w14:paraId="321E7824">
      <w:pPr>
        <w:spacing w:line="640" w:lineRule="exact"/>
        <w:ind w:firstLine="640"/>
        <w:jc w:val="both"/>
        <w:outlineLvl w:val="2"/>
      </w:pPr>
      <w:r>
        <w:rPr>
          <w:rFonts w:ascii="黑体" w:hAnsi="黑体" w:eastAsia="黑体"/>
          <w:sz w:val="32"/>
        </w:rPr>
        <w:t>三、支出决算情况说明</w:t>
      </w:r>
    </w:p>
    <w:p w14:paraId="36110445">
      <w:pPr>
        <w:spacing w:line="580" w:lineRule="exact"/>
        <w:ind w:firstLine="640"/>
        <w:jc w:val="both"/>
      </w:pPr>
      <w:r>
        <w:rPr>
          <w:rFonts w:ascii="仿宋_GB2312" w:hAnsi="仿宋_GB2312" w:eastAsia="仿宋_GB2312"/>
          <w:b/>
          <w:sz w:val="32"/>
        </w:rPr>
        <w:t>本年支出139.44万元，</w:t>
      </w:r>
      <w:r>
        <w:rPr>
          <w:rFonts w:ascii="仿宋_GB2312" w:hAnsi="仿宋_GB2312" w:eastAsia="仿宋_GB2312"/>
          <w:b w:val="0"/>
          <w:sz w:val="32"/>
        </w:rPr>
        <w:t>其中：基本支出139.44万元，占100.00%；项目支出0.00万元，占0.00%；上缴上级支出0.00万元，占0.00%；经营支出0.00万元，占0.00%；对附属单位补助支出0.00万元，占0.00%。</w:t>
      </w:r>
    </w:p>
    <w:p w14:paraId="217312DE">
      <w:pPr>
        <w:spacing w:line="640" w:lineRule="exact"/>
        <w:ind w:firstLine="640"/>
        <w:jc w:val="both"/>
        <w:outlineLvl w:val="2"/>
      </w:pPr>
      <w:r>
        <w:rPr>
          <w:rFonts w:ascii="黑体" w:hAnsi="黑体" w:eastAsia="黑体"/>
          <w:sz w:val="32"/>
        </w:rPr>
        <w:t>四、财政拨款收入支出决算总体情况说明</w:t>
      </w:r>
    </w:p>
    <w:p w14:paraId="2EFFDC05">
      <w:pPr>
        <w:spacing w:line="580" w:lineRule="exact"/>
        <w:ind w:firstLine="640"/>
        <w:jc w:val="both"/>
      </w:pPr>
      <w:r>
        <w:rPr>
          <w:rFonts w:ascii="仿宋_GB2312" w:hAnsi="仿宋_GB2312" w:eastAsia="仿宋_GB2312"/>
          <w:b/>
          <w:sz w:val="32"/>
        </w:rPr>
        <w:t>2024年度财政拨款收入总计139.44万元，</w:t>
      </w:r>
      <w:r>
        <w:rPr>
          <w:rFonts w:ascii="仿宋_GB2312" w:hAnsi="仿宋_GB2312" w:eastAsia="仿宋_GB2312"/>
          <w:b w:val="0"/>
          <w:sz w:val="32"/>
        </w:rPr>
        <w:t>其中：年初财政拨款结转和结余0.00万元，本年财政拨款收入139.44万元。</w:t>
      </w:r>
      <w:r>
        <w:rPr>
          <w:rFonts w:ascii="仿宋_GB2312" w:hAnsi="仿宋_GB2312" w:eastAsia="仿宋_GB2312"/>
          <w:b/>
          <w:sz w:val="32"/>
        </w:rPr>
        <w:t>财政拨款支出总计139.44万元，</w:t>
      </w:r>
      <w:r>
        <w:rPr>
          <w:rFonts w:ascii="仿宋_GB2312" w:hAnsi="仿宋_GB2312" w:eastAsia="仿宋_GB2312"/>
          <w:b w:val="0"/>
          <w:sz w:val="32"/>
        </w:rPr>
        <w:t>其中：年末财政拨款结转和结余0.00万元，本年财政拨款支出139.44万元。</w:t>
      </w:r>
    </w:p>
    <w:p w14:paraId="08E25FD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增加23.64万元，增长20.41%，主要原因是：本年新增1人，人员工资调增，支付2023年度考核绩效奖，导致人员经费增加。</w:t>
      </w:r>
      <w:r>
        <w:rPr>
          <w:rFonts w:ascii="仿宋_GB2312" w:hAnsi="仿宋_GB2312" w:eastAsia="仿宋_GB2312"/>
          <w:b/>
          <w:sz w:val="32"/>
        </w:rPr>
        <w:t>与年初预算相比，</w:t>
      </w:r>
      <w:r>
        <w:rPr>
          <w:rFonts w:ascii="仿宋_GB2312" w:hAnsi="仿宋_GB2312" w:eastAsia="仿宋_GB2312"/>
          <w:b w:val="0"/>
          <w:sz w:val="32"/>
        </w:rPr>
        <w:t>年初预算数125.75万元，决算数139.44万元，预决算差异率10.89%，主要原因是：本年新增1人，人员工资调增，支付2023年度考核绩效奖，年中追加人员经费。</w:t>
      </w:r>
    </w:p>
    <w:p w14:paraId="4AE5C5A4">
      <w:pPr>
        <w:spacing w:line="640" w:lineRule="exact"/>
        <w:ind w:firstLine="640"/>
        <w:jc w:val="both"/>
        <w:outlineLvl w:val="2"/>
      </w:pPr>
      <w:r>
        <w:rPr>
          <w:rFonts w:ascii="黑体" w:hAnsi="黑体" w:eastAsia="黑体"/>
          <w:sz w:val="32"/>
        </w:rPr>
        <w:t>五、一般公共预算财政拨款支出决算情况说明</w:t>
      </w:r>
    </w:p>
    <w:p w14:paraId="35B0B5EB">
      <w:pPr>
        <w:spacing w:line="640" w:lineRule="exact"/>
        <w:ind w:firstLine="640"/>
        <w:jc w:val="both"/>
        <w:outlineLvl w:val="3"/>
      </w:pPr>
      <w:r>
        <w:rPr>
          <w:rFonts w:ascii="楷体_GB2312" w:hAnsi="楷体_GB2312" w:eastAsia="楷体_GB2312"/>
          <w:b/>
          <w:sz w:val="32"/>
        </w:rPr>
        <w:t>（一）一般公共预算财政拨款支出决算总体情况</w:t>
      </w:r>
    </w:p>
    <w:p w14:paraId="6E9FC49E">
      <w:pPr>
        <w:spacing w:line="580" w:lineRule="exact"/>
        <w:ind w:firstLine="640"/>
        <w:jc w:val="both"/>
      </w:pPr>
      <w:r>
        <w:rPr>
          <w:rFonts w:ascii="仿宋_GB2312" w:hAnsi="仿宋_GB2312" w:eastAsia="仿宋_GB2312"/>
          <w:b/>
          <w:sz w:val="32"/>
        </w:rPr>
        <w:t>2024年度一般公共预算财政拨款支出139.44万元，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增加23.64万元，增长20.41%，主要原因是：本年新增1人，人员工资调增，支付2023年度考核绩效奖，导致人员经费增加。</w:t>
      </w:r>
      <w:r>
        <w:rPr>
          <w:rFonts w:ascii="仿宋_GB2312" w:hAnsi="仿宋_GB2312" w:eastAsia="仿宋_GB2312"/>
          <w:b/>
          <w:sz w:val="32"/>
        </w:rPr>
        <w:t>与年初预算相比,</w:t>
      </w:r>
      <w:r>
        <w:rPr>
          <w:rFonts w:ascii="仿宋_GB2312" w:hAnsi="仿宋_GB2312" w:eastAsia="仿宋_GB2312"/>
          <w:b w:val="0"/>
          <w:sz w:val="32"/>
        </w:rPr>
        <w:t>年初预算数125.75万元，决算数139.44万元，预决算差异率10.89%，主要原因是：本年新增1人，人员工资调增，支付2023年度考核绩效奖，年中追加人员经费。</w:t>
      </w:r>
    </w:p>
    <w:p w14:paraId="452C0419">
      <w:pPr>
        <w:spacing w:line="640" w:lineRule="exact"/>
        <w:ind w:firstLine="640"/>
        <w:jc w:val="both"/>
        <w:outlineLvl w:val="3"/>
      </w:pPr>
      <w:r>
        <w:rPr>
          <w:rFonts w:ascii="楷体_GB2312" w:hAnsi="楷体_GB2312" w:eastAsia="楷体_GB2312"/>
          <w:b/>
          <w:sz w:val="32"/>
        </w:rPr>
        <w:t>（二）一般公共预算财政拨款支出决算结构情况</w:t>
      </w:r>
    </w:p>
    <w:p w14:paraId="38E0B155">
      <w:pPr>
        <w:spacing w:line="580" w:lineRule="exact"/>
        <w:ind w:firstLine="640"/>
        <w:jc w:val="both"/>
      </w:pPr>
      <w:r>
        <w:rPr>
          <w:rFonts w:ascii="仿宋_GB2312" w:hAnsi="仿宋_GB2312" w:eastAsia="仿宋_GB2312"/>
          <w:b w:val="0"/>
          <w:sz w:val="32"/>
        </w:rPr>
        <w:t>1.社会保障和就业支出(类)28.79万元,占20.65%。</w:t>
      </w:r>
    </w:p>
    <w:p w14:paraId="0E059DAD">
      <w:pPr>
        <w:spacing w:line="580" w:lineRule="exact"/>
        <w:ind w:firstLine="640"/>
        <w:jc w:val="both"/>
      </w:pPr>
      <w:r>
        <w:rPr>
          <w:rFonts w:ascii="仿宋_GB2312" w:hAnsi="仿宋_GB2312" w:eastAsia="仿宋_GB2312"/>
          <w:b w:val="0"/>
          <w:sz w:val="32"/>
        </w:rPr>
        <w:t>2.卫生健康支出(类)5.28万元,占3.79%。</w:t>
      </w:r>
    </w:p>
    <w:p w14:paraId="418EC768">
      <w:pPr>
        <w:spacing w:line="580" w:lineRule="exact"/>
        <w:ind w:firstLine="640"/>
        <w:jc w:val="both"/>
      </w:pPr>
      <w:r>
        <w:rPr>
          <w:rFonts w:ascii="仿宋_GB2312" w:hAnsi="仿宋_GB2312" w:eastAsia="仿宋_GB2312"/>
          <w:b w:val="0"/>
          <w:sz w:val="32"/>
        </w:rPr>
        <w:t>3.商业服务业等支出(类)95.68万元,占68.62%。</w:t>
      </w:r>
    </w:p>
    <w:p w14:paraId="663A800C">
      <w:pPr>
        <w:spacing w:line="580" w:lineRule="exact"/>
        <w:ind w:firstLine="640"/>
        <w:jc w:val="both"/>
      </w:pPr>
      <w:r>
        <w:rPr>
          <w:rFonts w:ascii="仿宋_GB2312" w:hAnsi="仿宋_GB2312" w:eastAsia="仿宋_GB2312"/>
          <w:b w:val="0"/>
          <w:sz w:val="32"/>
        </w:rPr>
        <w:t>4.住房保障支出(类)9.68万元,占6.94%。</w:t>
      </w:r>
    </w:p>
    <w:p w14:paraId="1CDB115A">
      <w:pPr>
        <w:spacing w:line="640" w:lineRule="exact"/>
        <w:ind w:firstLine="640"/>
        <w:jc w:val="both"/>
        <w:outlineLvl w:val="3"/>
      </w:pPr>
      <w:r>
        <w:rPr>
          <w:rFonts w:ascii="楷体_GB2312" w:hAnsi="楷体_GB2312" w:eastAsia="楷体_GB2312"/>
          <w:b/>
          <w:sz w:val="32"/>
        </w:rPr>
        <w:t>（三）一般公共预算财政拨款支出决算具体情况</w:t>
      </w:r>
    </w:p>
    <w:p w14:paraId="0C64277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1.社会保障和就业支出(类)行政事业单位养老支出(款)事业单位离退休(项):支出决算数为7.73万元，比上年决算增加2.37万元，增长44.22%,主要原因是：本年增加退休人员基础绩效奖，退休费支出增加。</w:t>
      </w:r>
    </w:p>
    <w:p w14:paraId="5041028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12.33万元，比上年决算增加2.27万元，增长22.56%,主要原因是：本年在职人员工资基数调增，养老缴费基数上涨，相应支出增加。</w:t>
      </w:r>
    </w:p>
    <w:p w14:paraId="4F631243">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3.社会保障和就业支出(类)行政事业单位养老支出(款)机关事业单位职业年金缴费支出(项):支出决算数为8.74万元，比上年决算增加3.53万元，增长67.75%,主要原因是：本年</w:t>
      </w:r>
      <w:r>
        <w:rPr>
          <w:rFonts w:hint="eastAsia" w:ascii="仿宋_GB2312" w:hAnsi="仿宋_GB2312" w:eastAsia="仿宋_GB2312"/>
          <w:b w:val="0"/>
          <w:sz w:val="32"/>
          <w:lang w:val="en-US" w:eastAsia="zh-CN"/>
        </w:rPr>
        <w:t>补缴</w:t>
      </w:r>
      <w:r>
        <w:rPr>
          <w:rFonts w:ascii="仿宋_GB2312" w:hAnsi="仿宋_GB2312" w:eastAsia="仿宋_GB2312"/>
          <w:b w:val="0"/>
          <w:sz w:val="32"/>
        </w:rPr>
        <w:t>职业年金缴费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导致经费支出</w:t>
      </w:r>
      <w:r>
        <w:rPr>
          <w:rFonts w:ascii="仿宋_GB2312" w:hAnsi="仿宋_GB2312" w:eastAsia="仿宋_GB2312"/>
          <w:b w:val="0"/>
          <w:sz w:val="32"/>
        </w:rPr>
        <w:t>增加。</w:t>
      </w:r>
    </w:p>
    <w:p w14:paraId="0E88749E">
      <w:pPr>
        <w:spacing w:line="580" w:lineRule="exact"/>
        <w:ind w:firstLine="640"/>
        <w:jc w:val="both"/>
      </w:pPr>
      <w:r>
        <w:rPr>
          <w:rFonts w:ascii="仿宋_GB2312" w:hAnsi="仿宋_GB2312" w:eastAsia="仿宋_GB2312"/>
          <w:b w:val="0"/>
          <w:sz w:val="32"/>
        </w:rPr>
        <w:t>4.卫生健康支出(类)行政事业单位医疗(款)事业单位医疗(项):支出决算数为5.28万元，比上年决算增加0.61万元，增长13.06%,主要原因是：本年在职人员工资基数调增，医疗缴费基数上涨，相应支出增加。</w:t>
      </w:r>
    </w:p>
    <w:p w14:paraId="3BE625CF">
      <w:pPr>
        <w:spacing w:line="580" w:lineRule="exact"/>
        <w:ind w:firstLine="640"/>
        <w:jc w:val="both"/>
      </w:pPr>
      <w:r>
        <w:rPr>
          <w:rFonts w:ascii="仿宋_GB2312" w:hAnsi="仿宋_GB2312" w:eastAsia="仿宋_GB2312"/>
          <w:b w:val="0"/>
          <w:sz w:val="32"/>
        </w:rPr>
        <w:t>5.商业服务业等支出(类)商业流通事务(款)其他商业流通事务支出(项):支出决算数为95.68万元，比上年决算增加13.10万元，增长15.86%,主要原因是：本年新增1人，人员工资调增，支付2023年度考核绩效奖，导致人员经费增加。</w:t>
      </w:r>
    </w:p>
    <w:p w14:paraId="22BDF56F">
      <w:pPr>
        <w:spacing w:line="580" w:lineRule="exact"/>
        <w:ind w:firstLine="640"/>
        <w:jc w:val="both"/>
      </w:pPr>
      <w:r>
        <w:rPr>
          <w:rFonts w:ascii="仿宋_GB2312" w:hAnsi="仿宋_GB2312" w:eastAsia="仿宋_GB2312"/>
          <w:b w:val="0"/>
          <w:sz w:val="32"/>
        </w:rPr>
        <w:t>6.住房保障支出(类)住房改革支出(款)住房公积金(项):支出决算数为9.68万元，比上年决算增加1.75万元，增长22.07%,主要原因是：本年在职人员工资基数调增，公积金缴费基数上涨，相应支出增加。</w:t>
      </w:r>
    </w:p>
    <w:p w14:paraId="354AC0B3">
      <w:pPr>
        <w:spacing w:line="640" w:lineRule="exact"/>
        <w:ind w:firstLine="640"/>
        <w:jc w:val="both"/>
        <w:outlineLvl w:val="2"/>
      </w:pPr>
      <w:r>
        <w:rPr>
          <w:rFonts w:ascii="黑体" w:hAnsi="黑体" w:eastAsia="黑体"/>
          <w:sz w:val="32"/>
        </w:rPr>
        <w:t>六、一般公共预算财政拨款基本支出决算情况说明</w:t>
      </w:r>
    </w:p>
    <w:p w14:paraId="763C7126">
      <w:pPr>
        <w:spacing w:line="580" w:lineRule="exact"/>
        <w:ind w:firstLine="640"/>
        <w:jc w:val="both"/>
      </w:pPr>
      <w:r>
        <w:rPr>
          <w:rFonts w:ascii="仿宋_GB2312" w:hAnsi="仿宋_GB2312" w:eastAsia="仿宋_GB2312"/>
          <w:b w:val="0"/>
          <w:sz w:val="32"/>
        </w:rPr>
        <w:t>2024年度一般公共预算财政拨款基本支出139.44万元，其中：</w:t>
      </w:r>
      <w:r>
        <w:rPr>
          <w:rFonts w:ascii="仿宋_GB2312" w:hAnsi="仿宋_GB2312" w:eastAsia="仿宋_GB2312"/>
          <w:b/>
          <w:sz w:val="32"/>
        </w:rPr>
        <w:t>人员经费132.89万元，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包括：基本工资、津贴补贴、奖金、绩效工资、机关事业单位基本养老保险缴费、职业年金缴费、职工基本医疗保险缴费、其他社会保障缴费、住房公积金、退休费、医疗费补助。</w:t>
      </w:r>
    </w:p>
    <w:p w14:paraId="328B1F42">
      <w:pPr>
        <w:spacing w:line="580" w:lineRule="exact"/>
        <w:ind w:firstLine="640"/>
        <w:jc w:val="both"/>
      </w:pPr>
      <w:r>
        <w:rPr>
          <w:rFonts w:ascii="仿宋_GB2312" w:hAnsi="仿宋_GB2312" w:eastAsia="仿宋_GB2312"/>
          <w:b/>
          <w:sz w:val="32"/>
        </w:rPr>
        <w:t>公用经费6.55万元，</w:t>
      </w:r>
      <w:r>
        <w:rPr>
          <w:rFonts w:ascii="仿宋_GB2312" w:hAnsi="仿宋_GB2312" w:eastAsia="仿宋_GB2312"/>
          <w:b w:val="0"/>
          <w:sz w:val="32"/>
        </w:rPr>
        <w:t>包括：办公费、电费、邮电费、取暖费、差旅费、工会经费、其他商品和服务支出。</w:t>
      </w:r>
    </w:p>
    <w:p w14:paraId="707A7351">
      <w:pPr>
        <w:spacing w:line="640" w:lineRule="exact"/>
        <w:ind w:firstLine="640"/>
        <w:jc w:val="both"/>
        <w:outlineLvl w:val="2"/>
      </w:pPr>
      <w:r>
        <w:rPr>
          <w:rFonts w:ascii="黑体" w:hAnsi="黑体" w:eastAsia="黑体"/>
          <w:sz w:val="32"/>
        </w:rPr>
        <w:t>七、政府性基金预算财政拨款收入支出决算情况说明</w:t>
      </w:r>
    </w:p>
    <w:p w14:paraId="4E56F7C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0C2FC21">
      <w:pPr>
        <w:spacing w:line="640" w:lineRule="exact"/>
        <w:ind w:firstLine="640"/>
        <w:jc w:val="both"/>
        <w:outlineLvl w:val="2"/>
      </w:pPr>
      <w:r>
        <w:rPr>
          <w:rFonts w:ascii="黑体" w:hAnsi="黑体" w:eastAsia="黑体"/>
          <w:sz w:val="32"/>
        </w:rPr>
        <w:t>八、国有资本经营预算财政拨款收入支出决算情况说明</w:t>
      </w:r>
    </w:p>
    <w:p w14:paraId="061B466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AB17C00">
      <w:pPr>
        <w:spacing w:line="640" w:lineRule="exact"/>
        <w:ind w:firstLine="640"/>
        <w:jc w:val="both"/>
        <w:outlineLvl w:val="2"/>
      </w:pPr>
      <w:r>
        <w:rPr>
          <w:rFonts w:ascii="黑体" w:hAnsi="黑体" w:eastAsia="黑体"/>
          <w:sz w:val="32"/>
        </w:rPr>
        <w:t>九、财政拨款“三公”经费支出决算情况说明</w:t>
      </w:r>
    </w:p>
    <w:p w14:paraId="7FA1F46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F0D6F99">
      <w:pPr>
        <w:spacing w:line="580" w:lineRule="exact"/>
        <w:ind w:firstLine="640"/>
        <w:jc w:val="both"/>
      </w:pPr>
      <w:r>
        <w:rPr>
          <w:rFonts w:ascii="仿宋_GB2312" w:hAnsi="仿宋_GB2312" w:eastAsia="仿宋_GB2312"/>
          <w:b/>
          <w:sz w:val="32"/>
        </w:rPr>
        <w:t>具体情况如下：</w:t>
      </w:r>
    </w:p>
    <w:p w14:paraId="7E89C11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20C65CF">
      <w:pPr>
        <w:spacing w:line="580" w:lineRule="exact"/>
        <w:ind w:firstLine="640"/>
        <w:jc w:val="both"/>
        <w:rPr>
          <w:w w:val="96"/>
          <w:sz w:val="32"/>
        </w:rPr>
      </w:pPr>
      <w:r>
        <w:rPr>
          <w:rFonts w:ascii="仿宋_GB2312" w:hAnsi="仿宋_GB2312" w:eastAsia="仿宋_GB2312"/>
          <w:b w:val="0"/>
          <w:w w:val="9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86C761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55C735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DDACF46">
      <w:pPr>
        <w:spacing w:line="640" w:lineRule="exact"/>
        <w:ind w:firstLine="640"/>
        <w:jc w:val="both"/>
        <w:outlineLvl w:val="2"/>
      </w:pPr>
      <w:r>
        <w:rPr>
          <w:rFonts w:ascii="黑体" w:hAnsi="黑体" w:eastAsia="黑体"/>
          <w:sz w:val="32"/>
        </w:rPr>
        <w:t>十、其他重要事项的情况说明</w:t>
      </w:r>
    </w:p>
    <w:p w14:paraId="0353D023">
      <w:pPr>
        <w:spacing w:line="640" w:lineRule="exact"/>
        <w:ind w:firstLine="640"/>
        <w:jc w:val="both"/>
        <w:outlineLvl w:val="3"/>
      </w:pPr>
      <w:r>
        <w:rPr>
          <w:rFonts w:ascii="楷体_GB2312" w:hAnsi="楷体_GB2312" w:eastAsia="楷体_GB2312"/>
          <w:b/>
          <w:sz w:val="32"/>
        </w:rPr>
        <w:t>（一）机关运行经费及公用经费支出情况</w:t>
      </w:r>
    </w:p>
    <w:p w14:paraId="038A3386">
      <w:pPr>
        <w:spacing w:line="580" w:lineRule="exact"/>
        <w:ind w:firstLine="640"/>
        <w:jc w:val="both"/>
      </w:pPr>
      <w:r>
        <w:rPr>
          <w:rFonts w:ascii="仿宋_GB2312" w:hAnsi="仿宋_GB2312" w:eastAsia="仿宋_GB2312"/>
          <w:b w:val="0"/>
          <w:sz w:val="32"/>
        </w:rPr>
        <w:t>2024年度裕民县供销合作社联合社（事业单位）公用经费支出6.55万元，比上年增加1.83万元，增长38.77%，主要原因是：本年度差旅费、办公费较上年增加。</w:t>
      </w:r>
    </w:p>
    <w:p w14:paraId="0792F6FC">
      <w:pPr>
        <w:spacing w:line="640" w:lineRule="exact"/>
        <w:ind w:firstLine="640"/>
        <w:jc w:val="both"/>
        <w:outlineLvl w:val="3"/>
      </w:pPr>
      <w:r>
        <w:rPr>
          <w:rFonts w:ascii="楷体_GB2312" w:hAnsi="楷体_GB2312" w:eastAsia="楷体_GB2312"/>
          <w:b/>
          <w:sz w:val="32"/>
        </w:rPr>
        <w:t>（二）政府采购情况</w:t>
      </w:r>
    </w:p>
    <w:p w14:paraId="2D470888">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8CC2974">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156162D">
      <w:pPr>
        <w:spacing w:line="640" w:lineRule="exact"/>
        <w:ind w:firstLine="640"/>
        <w:jc w:val="both"/>
        <w:outlineLvl w:val="3"/>
      </w:pPr>
      <w:r>
        <w:rPr>
          <w:rFonts w:ascii="楷体_GB2312" w:hAnsi="楷体_GB2312" w:eastAsia="楷体_GB2312"/>
          <w:b/>
          <w:sz w:val="32"/>
        </w:rPr>
        <w:t>（三）国有资产占用情况说明</w:t>
      </w:r>
    </w:p>
    <w:p w14:paraId="1F9D5642">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w:t>
      </w:r>
    </w:p>
    <w:p w14:paraId="2C5221FF">
      <w:pPr>
        <w:spacing w:line="640" w:lineRule="exact"/>
        <w:ind w:firstLine="640"/>
        <w:jc w:val="both"/>
        <w:outlineLvl w:val="2"/>
      </w:pPr>
      <w:r>
        <w:rPr>
          <w:rFonts w:ascii="黑体" w:hAnsi="黑体" w:eastAsia="黑体"/>
          <w:sz w:val="32"/>
        </w:rPr>
        <w:t>十一、预算绩效的情况说明</w:t>
      </w:r>
    </w:p>
    <w:p w14:paraId="562DCC7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139.44万元，实际执行总额139.44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14:paraId="28A871E6">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13872FB1">
        <w:tblPrEx>
          <w:tblCellMar>
            <w:top w:w="0" w:type="dxa"/>
            <w:left w:w="108" w:type="dxa"/>
            <w:bottom w:w="0" w:type="dxa"/>
            <w:right w:w="108" w:type="dxa"/>
          </w:tblCellMar>
        </w:tblPrEx>
        <w:tc>
          <w:tcPr>
            <w:tcW w:w="8840" w:type="dxa"/>
            <w:gridSpan w:val="8"/>
            <w:vAlign w:val="center"/>
          </w:tcPr>
          <w:p w14:paraId="7B665896">
            <w:pPr>
              <w:jc w:val="center"/>
            </w:pPr>
            <w:r>
              <w:rPr>
                <w:rFonts w:ascii="宋体" w:hAnsi="宋体" w:eastAsia="宋体"/>
                <w:sz w:val="24"/>
              </w:rPr>
              <w:t>单位整体支出绩效自评表</w:t>
            </w:r>
          </w:p>
        </w:tc>
      </w:tr>
      <w:tr w14:paraId="165215EB">
        <w:tblPrEx>
          <w:tblCellMar>
            <w:top w:w="0" w:type="dxa"/>
            <w:left w:w="108" w:type="dxa"/>
            <w:bottom w:w="0" w:type="dxa"/>
            <w:right w:w="108" w:type="dxa"/>
          </w:tblCellMar>
        </w:tblPrEx>
        <w:tc>
          <w:tcPr>
            <w:tcW w:w="8840" w:type="dxa"/>
            <w:gridSpan w:val="8"/>
            <w:vAlign w:val="center"/>
          </w:tcPr>
          <w:p w14:paraId="28A29F22">
            <w:pPr>
              <w:jc w:val="center"/>
            </w:pPr>
            <w:r>
              <w:rPr>
                <w:rFonts w:ascii="宋体" w:hAnsi="宋体" w:eastAsia="宋体"/>
                <w:sz w:val="24"/>
              </w:rPr>
              <w:t>（2024年度）</w:t>
            </w:r>
          </w:p>
        </w:tc>
      </w:tr>
      <w:tr w14:paraId="7751461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790B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5B3046">
            <w:pPr>
              <w:jc w:val="center"/>
            </w:pPr>
            <w:r>
              <w:rPr>
                <w:rFonts w:ascii="宋体" w:hAnsi="宋体" w:eastAsia="宋体"/>
                <w:sz w:val="16"/>
              </w:rPr>
              <w:t>裕民县供销合作社联合社</w:t>
            </w:r>
          </w:p>
        </w:tc>
      </w:tr>
      <w:tr w14:paraId="19BB4EF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9CD9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D277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0BB5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C8FF6">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0CBCC">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A838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D757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9290E">
            <w:pPr>
              <w:jc w:val="center"/>
            </w:pPr>
            <w:r>
              <w:rPr>
                <w:rFonts w:ascii="宋体" w:hAnsi="宋体" w:eastAsia="宋体"/>
                <w:sz w:val="16"/>
              </w:rPr>
              <w:t>得分</w:t>
            </w:r>
          </w:p>
        </w:tc>
      </w:tr>
      <w:tr w14:paraId="47A9A9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3ECD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CE9D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CAB01">
            <w:pPr>
              <w:jc w:val="center"/>
            </w:pPr>
            <w:r>
              <w:rPr>
                <w:rFonts w:ascii="宋体" w:hAnsi="宋体" w:eastAsia="宋体"/>
                <w:sz w:val="16"/>
              </w:rPr>
              <w:t>125.75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1AF39">
            <w:pPr>
              <w:jc w:val="center"/>
            </w:pPr>
            <w:r>
              <w:rPr>
                <w:rFonts w:ascii="宋体" w:hAnsi="宋体" w:eastAsia="宋体"/>
                <w:sz w:val="16"/>
              </w:rPr>
              <w:t>139.44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38409">
            <w:pPr>
              <w:jc w:val="center"/>
            </w:pPr>
            <w:r>
              <w:rPr>
                <w:rFonts w:ascii="宋体" w:hAnsi="宋体" w:eastAsia="宋体"/>
                <w:sz w:val="16"/>
              </w:rPr>
              <w:t>139.44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9906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C2FA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93F73">
            <w:pPr>
              <w:jc w:val="center"/>
            </w:pPr>
            <w:r>
              <w:rPr>
                <w:rFonts w:ascii="宋体" w:hAnsi="宋体" w:eastAsia="宋体"/>
                <w:sz w:val="16"/>
              </w:rPr>
              <w:t>10</w:t>
            </w:r>
          </w:p>
        </w:tc>
      </w:tr>
      <w:tr w14:paraId="154C19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54207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38192">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24F2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2E8A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3E69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5B97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DFE7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0E5C0">
            <w:pPr>
              <w:jc w:val="center"/>
            </w:pPr>
            <w:r>
              <w:rPr>
                <w:rFonts w:ascii="宋体" w:hAnsi="宋体" w:eastAsia="宋体"/>
                <w:sz w:val="16"/>
              </w:rPr>
              <w:t>-</w:t>
            </w:r>
          </w:p>
        </w:tc>
      </w:tr>
      <w:tr w14:paraId="15DE7E1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D40B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02EFC">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32368">
            <w:pPr>
              <w:jc w:val="center"/>
            </w:pPr>
            <w:r>
              <w:rPr>
                <w:rFonts w:ascii="宋体" w:hAnsi="宋体" w:eastAsia="宋体"/>
                <w:sz w:val="16"/>
              </w:rPr>
              <w:t>125.75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DBDC7">
            <w:pPr>
              <w:jc w:val="center"/>
            </w:pPr>
            <w:r>
              <w:rPr>
                <w:rFonts w:ascii="宋体" w:hAnsi="宋体" w:eastAsia="宋体"/>
                <w:sz w:val="16"/>
              </w:rPr>
              <w:t>139.44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9721B">
            <w:pPr>
              <w:jc w:val="center"/>
            </w:pPr>
            <w:r>
              <w:rPr>
                <w:rFonts w:ascii="宋体" w:hAnsi="宋体" w:eastAsia="宋体"/>
                <w:sz w:val="16"/>
              </w:rPr>
              <w:t>139.44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CF67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59F4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73D74">
            <w:pPr>
              <w:jc w:val="center"/>
            </w:pPr>
            <w:r>
              <w:rPr>
                <w:rFonts w:ascii="宋体" w:hAnsi="宋体" w:eastAsia="宋体"/>
                <w:sz w:val="16"/>
              </w:rPr>
              <w:t>-</w:t>
            </w:r>
          </w:p>
        </w:tc>
      </w:tr>
      <w:tr w14:paraId="117370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294BD8">
            <w:bookmarkStart w:id="0" w:name="_GoBack" w:colFirst="5" w:colLast="7"/>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76D43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D1A6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53BB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11FF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450E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96B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1CCFD">
            <w:pPr>
              <w:jc w:val="center"/>
            </w:pPr>
            <w:r>
              <w:rPr>
                <w:rFonts w:ascii="宋体" w:hAnsi="宋体" w:eastAsia="宋体"/>
                <w:sz w:val="16"/>
              </w:rPr>
              <w:t>-</w:t>
            </w:r>
          </w:p>
        </w:tc>
      </w:tr>
      <w:bookmarkEnd w:id="0"/>
      <w:tr w14:paraId="7AA04A3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CC03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381C0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20BF11">
            <w:pPr>
              <w:jc w:val="center"/>
            </w:pPr>
            <w:r>
              <w:rPr>
                <w:rFonts w:ascii="宋体" w:hAnsi="宋体" w:eastAsia="宋体"/>
                <w:sz w:val="16"/>
              </w:rPr>
              <w:t>实际完成情况</w:t>
            </w:r>
          </w:p>
        </w:tc>
      </w:tr>
      <w:tr w14:paraId="4AC5F6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8894E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C2094C">
            <w:pPr>
              <w:jc w:val="both"/>
            </w:pPr>
            <w:r>
              <w:rPr>
                <w:rFonts w:hint="eastAsia" w:ascii="宋体" w:hAnsi="宋体"/>
                <w:sz w:val="16"/>
                <w:lang w:eastAsia="zh-CN"/>
              </w:rPr>
              <w:t>1.</w:t>
            </w:r>
            <w:r>
              <w:rPr>
                <w:rFonts w:ascii="宋体" w:hAnsi="宋体" w:eastAsia="宋体"/>
                <w:sz w:val="16"/>
              </w:rPr>
              <w:t>贯彻执行中央、自治区关于农村经济工作和社会发展的方针、政策，研究制定县供销社的发展战略和发展规划，参与有关政策的制定，对社属企业进行指导、协调、监督、服务。2、参与和推动农业产业化经营，负责全县农业产业化发展指导，积极培植龙头企业；指导</w:t>
            </w:r>
            <w:r>
              <w:rPr>
                <w:rFonts w:hint="eastAsia" w:ascii="宋体" w:hAnsi="宋体"/>
                <w:sz w:val="16"/>
                <w:lang w:eastAsia="zh-CN"/>
              </w:rPr>
              <w:t>农民专业合作社</w:t>
            </w:r>
            <w:r>
              <w:rPr>
                <w:rFonts w:ascii="宋体" w:hAnsi="宋体" w:eastAsia="宋体"/>
                <w:sz w:val="16"/>
              </w:rPr>
              <w:t>的经营，强化为农服务功能。3、指导社属公司的改革和发展，切实履行</w:t>
            </w:r>
            <w:r>
              <w:rPr>
                <w:rFonts w:hint="eastAsia" w:ascii="宋体" w:hAnsi="宋体"/>
                <w:sz w:val="16"/>
                <w:lang w:eastAsia="zh-CN"/>
              </w:rPr>
              <w:t>农村集体经济组织</w:t>
            </w:r>
            <w:r>
              <w:rPr>
                <w:rFonts w:ascii="宋体" w:hAnsi="宋体" w:eastAsia="宋体"/>
                <w:sz w:val="16"/>
              </w:rPr>
              <w:t>、引导、服务职能，在组织管理经营上实行开门办社，指导农村合作经济的健康发展。4、建立和完善农业社会服务体系，做好为“农业、农村、农民”的服务工作。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B4F84F">
            <w:pPr>
              <w:jc w:val="both"/>
            </w:pPr>
            <w:r>
              <w:rPr>
                <w:rFonts w:ascii="宋体" w:hAnsi="宋体" w:eastAsia="宋体"/>
                <w:sz w:val="16"/>
              </w:rPr>
              <w:t>一是围绕农业产前、产中、产后各环节，依托中心基层社（新疆西部绿业农资有限责任公司）所在各乡村的农资网点开展农资配送服务19.2万亩；依托领办的向阳花农民专业合作社采用“订单＋入股＋合作＋土地流转＋工厂”的合作运营模式，种植订单作物制酱番茄3000亩以上，带动富余劳动力就业200余人，进一步提升农业社会化服务能力。二是充分发挥县域流通网络枢纽作用，组织指导参股农资企业采取上门对接、电话洽商、微信等渠道方式，开展“点对点”农资直供，减少中间环节，降低流通成本，确保农资到乡进村入店。截至目前，已销售化肥8000吨、农药110万元、种子（玉米）300万元、盐产品440.4吨。三是今年以来，主要领导多次带队深入基层开展调研走访，已通过“挂牌”的方式新建综合服务社2个（吉兰德综合服务社、江格斯北村综合服务社）；通过店面粉刷、更换店牌的方式对吉也克齐村为农服务中心、基层中心社、阿勒腾也木勒村基层社、木乎尔村综合服务社以及阿勒腾也木勒村综合服务社进行升级改造，为村民提供“一站式”综合服务，功能涵盖日用品购销、快递入村及农业生产资料配送等服务。成立全资社有企业（裕民县裕供供销合作社）1个，建立社有资产管理委员会运营平台1个，并及时调整社有资产管理委员会成员。</w:t>
            </w:r>
          </w:p>
        </w:tc>
      </w:tr>
      <w:tr w14:paraId="45B0D87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0703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1C57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7C23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A8FCA">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40AF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36AA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5AD9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CAFC1F">
            <w:pPr>
              <w:jc w:val="center"/>
            </w:pPr>
            <w:r>
              <w:rPr>
                <w:rFonts w:ascii="宋体" w:hAnsi="宋体" w:eastAsia="宋体"/>
                <w:sz w:val="16"/>
              </w:rPr>
              <w:t>得分</w:t>
            </w:r>
          </w:p>
        </w:tc>
      </w:tr>
      <w:tr w14:paraId="66DBEA6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F601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1631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B1EF5">
            <w:pPr>
              <w:jc w:val="center"/>
            </w:pPr>
            <w:r>
              <w:rPr>
                <w:rFonts w:ascii="宋体" w:hAnsi="宋体" w:eastAsia="宋体"/>
                <w:sz w:val="16"/>
              </w:rPr>
              <w:t>改造升级乡村基层社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7C722A">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D8E70">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50A9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B3272">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086481">
            <w:pPr>
              <w:jc w:val="center"/>
            </w:pPr>
            <w:r>
              <w:rPr>
                <w:rFonts w:ascii="宋体" w:hAnsi="宋体" w:eastAsia="宋体"/>
                <w:sz w:val="16"/>
              </w:rPr>
              <w:t>15</w:t>
            </w:r>
          </w:p>
        </w:tc>
      </w:tr>
      <w:tr w14:paraId="72EC6D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4B59F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F8A6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5A694">
            <w:pPr>
              <w:jc w:val="center"/>
            </w:pPr>
            <w:r>
              <w:rPr>
                <w:rFonts w:ascii="宋体" w:hAnsi="宋体" w:eastAsia="宋体"/>
                <w:sz w:val="16"/>
              </w:rPr>
              <w:t>引导成立、改造农村综合服务社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4821E3">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3D33A">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C2DC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A342C">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723BF">
            <w:pPr>
              <w:jc w:val="center"/>
            </w:pPr>
            <w:r>
              <w:rPr>
                <w:rFonts w:ascii="宋体" w:hAnsi="宋体" w:eastAsia="宋体"/>
                <w:sz w:val="16"/>
              </w:rPr>
              <w:t>15</w:t>
            </w:r>
          </w:p>
        </w:tc>
      </w:tr>
      <w:tr w14:paraId="416080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077C9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774A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C87B6">
            <w:pPr>
              <w:jc w:val="center"/>
            </w:pPr>
            <w:r>
              <w:rPr>
                <w:rFonts w:ascii="宋体" w:hAnsi="宋体" w:eastAsia="宋体"/>
                <w:sz w:val="16"/>
              </w:rPr>
              <w:t>保障农资销售稳定供应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4717C">
            <w:pPr>
              <w:jc w:val="center"/>
            </w:pPr>
            <w:r>
              <w:rPr>
                <w:rFonts w:ascii="宋体" w:hAnsi="宋体" w:eastAsia="宋体"/>
                <w:sz w:val="16"/>
              </w:rPr>
              <w:t>0.8万吨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E5BDE">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BD85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FEB29">
            <w:pPr>
              <w:jc w:val="center"/>
            </w:pPr>
            <w:r>
              <w:rPr>
                <w:rFonts w:ascii="宋体" w:hAnsi="宋体" w:eastAsia="宋体"/>
                <w:sz w:val="16"/>
              </w:rPr>
              <w:t>0.8万吨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748FB">
            <w:pPr>
              <w:jc w:val="center"/>
            </w:pPr>
            <w:r>
              <w:rPr>
                <w:rFonts w:ascii="宋体" w:hAnsi="宋体" w:eastAsia="宋体"/>
                <w:sz w:val="16"/>
              </w:rPr>
              <w:t>15</w:t>
            </w:r>
          </w:p>
        </w:tc>
      </w:tr>
      <w:tr w14:paraId="3D1117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5AA34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587E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56819">
            <w:pPr>
              <w:jc w:val="center"/>
            </w:pPr>
            <w:r>
              <w:rPr>
                <w:rFonts w:ascii="宋体" w:hAnsi="宋体" w:eastAsia="宋体"/>
                <w:sz w:val="16"/>
              </w:rPr>
              <w:t>农业化生产社会服务亩次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3F155">
            <w:pPr>
              <w:jc w:val="center"/>
            </w:pPr>
            <w:r>
              <w:rPr>
                <w:rFonts w:ascii="宋体" w:hAnsi="宋体" w:eastAsia="宋体"/>
                <w:sz w:val="16"/>
              </w:rPr>
              <w:t>3000亩/次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33F48">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ABDD2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00197">
            <w:pPr>
              <w:jc w:val="center"/>
            </w:pPr>
            <w:r>
              <w:rPr>
                <w:rFonts w:ascii="宋体" w:hAnsi="宋体" w:eastAsia="宋体"/>
                <w:sz w:val="16"/>
              </w:rPr>
              <w:t>3000亩/次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222BB">
            <w:pPr>
              <w:jc w:val="center"/>
            </w:pPr>
            <w:r>
              <w:rPr>
                <w:rFonts w:ascii="宋体" w:hAnsi="宋体" w:eastAsia="宋体"/>
                <w:sz w:val="16"/>
              </w:rPr>
              <w:t>15</w:t>
            </w:r>
          </w:p>
        </w:tc>
      </w:tr>
      <w:tr w14:paraId="5F682B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83ED0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B6B5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F92F9">
            <w:pPr>
              <w:jc w:val="center"/>
            </w:pPr>
            <w:r>
              <w:rPr>
                <w:rFonts w:ascii="宋体" w:hAnsi="宋体" w:eastAsia="宋体"/>
                <w:sz w:val="16"/>
              </w:rPr>
              <w:t>规范发展农民专业合作社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FBA06">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B881E">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E570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E66AD">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CCF67">
            <w:pPr>
              <w:jc w:val="center"/>
            </w:pPr>
            <w:r>
              <w:rPr>
                <w:rFonts w:ascii="宋体" w:hAnsi="宋体" w:eastAsia="宋体"/>
                <w:sz w:val="16"/>
              </w:rPr>
              <w:t>15</w:t>
            </w:r>
          </w:p>
        </w:tc>
      </w:tr>
      <w:tr w14:paraId="70BBED9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E9146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8DFF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70E66">
            <w:pPr>
              <w:jc w:val="center"/>
            </w:pPr>
            <w:r>
              <w:rPr>
                <w:rFonts w:ascii="宋体" w:hAnsi="宋体" w:eastAsia="宋体"/>
                <w:sz w:val="16"/>
              </w:rPr>
              <w:t>建立社有资产运营管理平台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F4B89">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BEA81">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F58F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E8641">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52376">
            <w:pPr>
              <w:jc w:val="center"/>
            </w:pPr>
            <w:r>
              <w:rPr>
                <w:rFonts w:ascii="宋体" w:hAnsi="宋体" w:eastAsia="宋体"/>
                <w:sz w:val="16"/>
              </w:rPr>
              <w:t>15</w:t>
            </w:r>
          </w:p>
        </w:tc>
      </w:tr>
    </w:tbl>
    <w:p w14:paraId="775B516E">
      <w:r>
        <w:br w:type="page"/>
      </w:r>
    </w:p>
    <w:p w14:paraId="6E855ACC">
      <w:pPr>
        <w:spacing w:line="640" w:lineRule="exact"/>
        <w:ind w:firstLine="640"/>
        <w:jc w:val="both"/>
        <w:outlineLvl w:val="2"/>
      </w:pPr>
      <w:r>
        <w:rPr>
          <w:rFonts w:ascii="黑体" w:hAnsi="黑体" w:eastAsia="黑体"/>
          <w:sz w:val="32"/>
        </w:rPr>
        <w:t>十二、其他需说明的事项</w:t>
      </w:r>
    </w:p>
    <w:p w14:paraId="02601458">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0B51A78D">
      <w:r>
        <w:br w:type="page"/>
      </w:r>
    </w:p>
    <w:p w14:paraId="408F2A97">
      <w:pPr>
        <w:spacing w:line="240" w:lineRule="auto"/>
        <w:jc w:val="center"/>
        <w:outlineLvl w:val="1"/>
      </w:pPr>
      <w:r>
        <w:rPr>
          <w:rFonts w:ascii="黑体" w:hAnsi="黑体" w:eastAsia="黑体"/>
          <w:sz w:val="32"/>
        </w:rPr>
        <w:t>第三部分 专业名词解释</w:t>
      </w:r>
    </w:p>
    <w:p w14:paraId="001359B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91EADD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5AB37E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B6F802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8DAB57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DF121C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887DAF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434CAB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F6AC9B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B6B70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E77593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92A9C1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19E0EF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AEDBAA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40FC38">
      <w:r>
        <w:br w:type="page"/>
      </w:r>
    </w:p>
    <w:p w14:paraId="31868155">
      <w:pPr>
        <w:spacing w:line="240" w:lineRule="auto"/>
        <w:jc w:val="center"/>
        <w:outlineLvl w:val="1"/>
      </w:pPr>
      <w:r>
        <w:rPr>
          <w:rFonts w:ascii="黑体" w:hAnsi="黑体" w:eastAsia="黑体"/>
          <w:sz w:val="32"/>
        </w:rPr>
        <w:t>第四部分 部门决算报表（见附表）</w:t>
      </w:r>
    </w:p>
    <w:p w14:paraId="4CCBDCF8">
      <w:pPr>
        <w:spacing w:line="240" w:lineRule="auto"/>
        <w:ind w:firstLine="640"/>
        <w:jc w:val="both"/>
      </w:pPr>
      <w:r>
        <w:rPr>
          <w:rFonts w:ascii="仿宋_GB2312" w:hAnsi="仿宋_GB2312" w:eastAsia="仿宋_GB2312"/>
          <w:b w:val="0"/>
          <w:sz w:val="32"/>
        </w:rPr>
        <w:t>一、《收入支出决算总表》</w:t>
      </w:r>
    </w:p>
    <w:p w14:paraId="460DDED8">
      <w:pPr>
        <w:spacing w:line="240" w:lineRule="auto"/>
        <w:ind w:firstLine="640"/>
        <w:jc w:val="both"/>
      </w:pPr>
      <w:r>
        <w:rPr>
          <w:rFonts w:ascii="仿宋_GB2312" w:hAnsi="仿宋_GB2312" w:eastAsia="仿宋_GB2312"/>
          <w:b w:val="0"/>
          <w:sz w:val="32"/>
        </w:rPr>
        <w:t>二、《收入决算表》</w:t>
      </w:r>
    </w:p>
    <w:p w14:paraId="0A40145D">
      <w:pPr>
        <w:spacing w:line="240" w:lineRule="auto"/>
        <w:ind w:firstLine="640"/>
        <w:jc w:val="both"/>
      </w:pPr>
      <w:r>
        <w:rPr>
          <w:rFonts w:ascii="仿宋_GB2312" w:hAnsi="仿宋_GB2312" w:eastAsia="仿宋_GB2312"/>
          <w:b w:val="0"/>
          <w:sz w:val="32"/>
        </w:rPr>
        <w:t>三、《支出决算表》</w:t>
      </w:r>
    </w:p>
    <w:p w14:paraId="0C5B59D6">
      <w:pPr>
        <w:spacing w:line="240" w:lineRule="auto"/>
        <w:ind w:firstLine="640"/>
        <w:jc w:val="both"/>
      </w:pPr>
      <w:r>
        <w:rPr>
          <w:rFonts w:ascii="仿宋_GB2312" w:hAnsi="仿宋_GB2312" w:eastAsia="仿宋_GB2312"/>
          <w:b w:val="0"/>
          <w:sz w:val="32"/>
        </w:rPr>
        <w:t>四、《财政拨款收入支出决算总表》</w:t>
      </w:r>
    </w:p>
    <w:p w14:paraId="003B3B01">
      <w:pPr>
        <w:spacing w:line="240" w:lineRule="auto"/>
        <w:ind w:firstLine="640"/>
        <w:jc w:val="both"/>
      </w:pPr>
      <w:r>
        <w:rPr>
          <w:rFonts w:ascii="仿宋_GB2312" w:hAnsi="仿宋_GB2312" w:eastAsia="仿宋_GB2312"/>
          <w:b w:val="0"/>
          <w:sz w:val="32"/>
        </w:rPr>
        <w:t>五、《一般公共预算财政拨款支出决算表》</w:t>
      </w:r>
    </w:p>
    <w:p w14:paraId="4C9F4D45">
      <w:pPr>
        <w:spacing w:line="240" w:lineRule="auto"/>
        <w:ind w:firstLine="640"/>
        <w:jc w:val="both"/>
      </w:pPr>
      <w:r>
        <w:rPr>
          <w:rFonts w:ascii="仿宋_GB2312" w:hAnsi="仿宋_GB2312" w:eastAsia="仿宋_GB2312"/>
          <w:b w:val="0"/>
          <w:sz w:val="32"/>
        </w:rPr>
        <w:t>六、《一般公共预算财政拨款基本支出决算表》</w:t>
      </w:r>
    </w:p>
    <w:p w14:paraId="4CFC4EE1">
      <w:pPr>
        <w:spacing w:line="240" w:lineRule="auto"/>
        <w:ind w:firstLine="640"/>
        <w:jc w:val="both"/>
      </w:pPr>
      <w:r>
        <w:rPr>
          <w:rFonts w:ascii="仿宋_GB2312" w:hAnsi="仿宋_GB2312" w:eastAsia="仿宋_GB2312"/>
          <w:b w:val="0"/>
          <w:sz w:val="32"/>
        </w:rPr>
        <w:t>七、《政府性基金预算财政拨款收入支出决算表》</w:t>
      </w:r>
    </w:p>
    <w:p w14:paraId="2E7E5F66">
      <w:pPr>
        <w:spacing w:line="240" w:lineRule="auto"/>
        <w:ind w:firstLine="640"/>
        <w:jc w:val="both"/>
      </w:pPr>
      <w:r>
        <w:rPr>
          <w:rFonts w:ascii="仿宋_GB2312" w:hAnsi="仿宋_GB2312" w:eastAsia="仿宋_GB2312"/>
          <w:b w:val="0"/>
          <w:sz w:val="32"/>
        </w:rPr>
        <w:t>八、《国有资本经营预算财政拨款收入支出决算表》</w:t>
      </w:r>
    </w:p>
    <w:p w14:paraId="76A19735">
      <w:pPr>
        <w:spacing w:line="240" w:lineRule="auto"/>
        <w:ind w:firstLine="640"/>
        <w:jc w:val="both"/>
      </w:pPr>
      <w:r>
        <w:rPr>
          <w:rFonts w:ascii="仿宋_GB2312" w:hAnsi="仿宋_GB2312" w:eastAsia="仿宋_GB2312"/>
          <w:b w:val="0"/>
          <w:sz w:val="32"/>
        </w:rPr>
        <w:t>九、《财政拨款“三公”经费支出决算表》</w:t>
      </w:r>
    </w:p>
    <w:p w14:paraId="3C4B6B41">
      <w:pPr>
        <w:spacing w:line="240" w:lineRule="auto"/>
        <w:ind w:firstLine="640"/>
        <w:jc w:val="both"/>
      </w:pPr>
    </w:p>
    <w:p w14:paraId="094107AD">
      <w:pPr>
        <w:spacing w:line="240" w:lineRule="auto"/>
        <w:ind w:firstLine="640"/>
        <w:jc w:val="both"/>
      </w:pPr>
    </w:p>
    <w:p w14:paraId="0367CF9C">
      <w:pPr>
        <w:spacing w:line="240" w:lineRule="auto"/>
        <w:ind w:firstLine="640"/>
        <w:jc w:val="both"/>
      </w:pPr>
    </w:p>
    <w:p w14:paraId="595CE08F">
      <w:pPr>
        <w:spacing w:line="240" w:lineRule="auto"/>
        <w:ind w:firstLine="640"/>
        <w:jc w:val="both"/>
      </w:pPr>
    </w:p>
    <w:p w14:paraId="0D106B3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040D4E-252B-4DD0-B4DB-28DF8ADB98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9DD03D25-7D86-452F-B474-6ED14B53264B}"/>
  </w:font>
  <w:font w:name="楷体_GB2312">
    <w:panose1 w:val="02010609030101010101"/>
    <w:charset w:val="86"/>
    <w:family w:val="auto"/>
    <w:pitch w:val="default"/>
    <w:sig w:usb0="00000001" w:usb1="080E0000" w:usb2="00000000" w:usb3="00000000" w:csb0="00040000" w:csb1="00000000"/>
    <w:embedRegular r:id="rId3" w:fontKey="{7E1C0290-1BBC-4067-8505-C014B024DAC1}"/>
  </w:font>
  <w:font w:name="方正小标宋_GBK">
    <w:panose1 w:val="02000000000000000000"/>
    <w:charset w:val="86"/>
    <w:family w:val="script"/>
    <w:pitch w:val="default"/>
    <w:sig w:usb0="A00002BF" w:usb1="38CF7CFA" w:usb2="00082016" w:usb3="00000000" w:csb0="00040001" w:csb1="00000000"/>
    <w:embedRegular r:id="rId4" w:fontKey="{DBEA9F3C-59C3-4F66-AED8-4FE67A42E1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246F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C1629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AC1629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58398D"/>
    <w:rsid w:val="0A7B4867"/>
    <w:rsid w:val="0B8C3ECC"/>
    <w:rsid w:val="0C3613A3"/>
    <w:rsid w:val="0C7227A7"/>
    <w:rsid w:val="0DCA6EF7"/>
    <w:rsid w:val="0E4B1576"/>
    <w:rsid w:val="0EA04331"/>
    <w:rsid w:val="0F907929"/>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8E3750"/>
    <w:rsid w:val="2DAE0E44"/>
    <w:rsid w:val="2E5B708A"/>
    <w:rsid w:val="2FD27414"/>
    <w:rsid w:val="313F1D52"/>
    <w:rsid w:val="318029AB"/>
    <w:rsid w:val="31C63837"/>
    <w:rsid w:val="326F0A17"/>
    <w:rsid w:val="3277581B"/>
    <w:rsid w:val="38006E2C"/>
    <w:rsid w:val="38AB0322"/>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0d0ed3d8-4ffd-46ab-adeb-0d1495f72070</errorID>
      <errorWord>2月31日</errorWord>
      <group>L1_Sensitive</group>
      <groupName>敏感问题</groupName>
      <ability>L2_UserSensitive</ability>
      <abilityName>自定义敏感词</abilityName>
      <candidateList/>
      <explain>来自自定义敏感词库。</explain>
      <paraID>1F9D5642</paraID>
      <start>8</start>
      <end>13</end>
      <status>ignored</status>
      <modifiedWord/>
      <trackRevisions>false</trackRevisions>
    </reviewItem>
    <reviewItem>
      <errorID>f48b6fcb-7cbf-493e-8ea2-2eaf6f75297b</errorID>
      <errorWord>番茄</errorWord>
      <group>L1_Sensitive</group>
      <groupName>敏感问题</groupName>
      <ability>L2_UserSensitive</ability>
      <abilityName>自定义敏感词</abilityName>
      <candidateList/>
      <explain>来自自定义敏感词库。</explain>
      <paraID>7FB4F84F</paraID>
      <start>117</start>
      <end>119</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e7c9be-f15d-43b6-8f9c-af5b3b6be9f7}">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6300</Words>
  <Characters>7035</Characters>
  <Lines>0</Lines>
  <Paragraphs>0</Paragraphs>
  <TotalTime>2</TotalTime>
  <ScaleCrop>false</ScaleCrop>
  <LinksUpToDate>false</LinksUpToDate>
  <CharactersWithSpaces>7045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2025-11-07T08:12:19Z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