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D983BC">
      <w:r>
        <w:br w:type="page"/>
      </w:r>
    </w:p>
    <w:p w14:paraId="1F420CE5">
      <w:pPr>
        <w:spacing w:line="640" w:lineRule="exact"/>
        <w:jc w:val="center"/>
        <w:outlineLvl w:val="1"/>
      </w:pPr>
      <w:r>
        <w:rPr>
          <w:rFonts w:ascii="黑体" w:hAnsi="黑体" w:eastAsia="黑体"/>
          <w:sz w:val="32"/>
        </w:rPr>
        <w:t>第一部分 单位概况</w:t>
      </w:r>
    </w:p>
    <w:p w14:paraId="01211D5C">
      <w:pPr>
        <w:spacing w:line="640" w:lineRule="exact"/>
        <w:ind w:firstLine="640"/>
        <w:jc w:val="both"/>
        <w:outlineLvl w:val="2"/>
      </w:pPr>
      <w:r>
        <w:rPr>
          <w:rFonts w:ascii="黑体" w:hAnsi="黑体" w:eastAsia="黑体"/>
          <w:sz w:val="32"/>
        </w:rPr>
        <w:t>一、主要职能</w:t>
      </w:r>
    </w:p>
    <w:p w14:paraId="2321D6E2">
      <w:pPr>
        <w:spacing w:line="580" w:lineRule="exact"/>
        <w:ind w:firstLine="640"/>
        <w:jc w:val="both"/>
      </w:pPr>
      <w:r>
        <w:rPr>
          <w:rFonts w:ascii="仿宋_GB2312" w:hAnsi="仿宋_GB2312" w:eastAsia="仿宋_GB2312"/>
          <w:sz w:val="32"/>
        </w:rPr>
        <w:t>政府办公室是国家行政机关，依法对国家和社会公共事务进行管理时应承担的职责和所具有的功能。政府职能反映着公共行政的基本内容和活动方向，是公共行政的本质表现。裕民县人民政府办公室贯彻落实党中央、自治区党委、地委关于政府工作的方针政策和决策部署以及县委工作要求，在履行职责过程中坚持和加强党对政府办公室工作的集中统一领导。</w:t>
      </w:r>
    </w:p>
    <w:p w14:paraId="00D83633">
      <w:pPr>
        <w:spacing w:line="580" w:lineRule="exact"/>
        <w:ind w:firstLine="640"/>
        <w:jc w:val="both"/>
      </w:pPr>
      <w:r>
        <w:rPr>
          <w:rFonts w:ascii="仿宋_GB2312" w:hAnsi="仿宋_GB2312" w:eastAsia="仿宋_GB2312"/>
          <w:sz w:val="32"/>
        </w:rPr>
        <w:t>主要职责是。</w:t>
      </w:r>
    </w:p>
    <w:p w14:paraId="3924B607">
      <w:pPr>
        <w:spacing w:line="580" w:lineRule="exact"/>
        <w:ind w:firstLine="640"/>
        <w:jc w:val="both"/>
      </w:pPr>
      <w:r>
        <w:rPr>
          <w:rFonts w:ascii="仿宋_GB2312" w:hAnsi="仿宋_GB2312" w:eastAsia="仿宋_GB2312"/>
          <w:sz w:val="32"/>
        </w:rPr>
        <w:t>（一）传达、检查、督促政府各项决议、决定、重要工作部署以及政府领导重要指示的贯彻执行情况,及时向政府领导报告。</w:t>
      </w:r>
    </w:p>
    <w:p w14:paraId="19BF31F5">
      <w:pPr>
        <w:spacing w:line="580" w:lineRule="exact"/>
        <w:ind w:firstLine="640"/>
        <w:jc w:val="both"/>
      </w:pPr>
      <w:r>
        <w:rPr>
          <w:rFonts w:ascii="仿宋_GB2312" w:hAnsi="仿宋_GB2312" w:eastAsia="仿宋_GB2312"/>
          <w:sz w:val="32"/>
        </w:rPr>
        <w:t>（二）负责政府日常文件(电报)处理和日常事务工作</w:t>
      </w:r>
      <w:r>
        <w:rPr>
          <w:rFonts w:hint="eastAsia" w:ascii="仿宋_GB2312" w:hAnsi="仿宋_GB2312" w:eastAsia="仿宋_GB2312"/>
          <w:sz w:val="32"/>
          <w:lang w:eastAsia="zh-CN"/>
        </w:rPr>
        <w:t>；</w:t>
      </w:r>
      <w:r>
        <w:rPr>
          <w:rFonts w:ascii="仿宋_GB2312" w:hAnsi="仿宋_GB2312" w:eastAsia="仿宋_GB2312"/>
          <w:sz w:val="32"/>
        </w:rPr>
        <w:t>协助政府领导同志组织起草或草拟以政府、政府办公室名义上报下发的各类文件。</w:t>
      </w:r>
    </w:p>
    <w:p w14:paraId="5E326806">
      <w:pPr>
        <w:spacing w:line="580" w:lineRule="exact"/>
        <w:ind w:firstLine="640"/>
        <w:jc w:val="both"/>
      </w:pPr>
      <w:r>
        <w:rPr>
          <w:rFonts w:ascii="仿宋_GB2312" w:hAnsi="仿宋_GB2312" w:eastAsia="仿宋_GB2312"/>
          <w:sz w:val="32"/>
        </w:rPr>
        <w:t>（三）负责政府会议的会务工作；协助政府领导同志组织实施会议决定事项；负责政府领导参加重大活动的组织协调和安排。</w:t>
      </w:r>
    </w:p>
    <w:p w14:paraId="73C49DFA">
      <w:pPr>
        <w:spacing w:line="580" w:lineRule="exact"/>
        <w:ind w:firstLine="640"/>
        <w:jc w:val="both"/>
      </w:pPr>
      <w:r>
        <w:rPr>
          <w:rFonts w:ascii="仿宋_GB2312" w:hAnsi="仿宋_GB2312" w:eastAsia="仿宋_GB2312"/>
          <w:sz w:val="32"/>
        </w:rPr>
        <w:t>（四）研究政府各部门和各乡镇(场)人民政府(管委会)请示政府的问题，提出处理意见，报政府领导审定。</w:t>
      </w:r>
    </w:p>
    <w:p w14:paraId="4D6F5F65">
      <w:pPr>
        <w:spacing w:line="580" w:lineRule="exact"/>
        <w:ind w:firstLine="640"/>
        <w:jc w:val="both"/>
      </w:pPr>
      <w:r>
        <w:rPr>
          <w:rFonts w:ascii="仿宋_GB2312" w:hAnsi="仿宋_GB2312" w:eastAsia="仿宋_GB2312"/>
          <w:sz w:val="32"/>
        </w:rPr>
        <w:t>（五）根据政府领导的指示或办理文件的需要，组织协调政府有关部门的工作，对有争议的问题提出处理意见,报政府领导决定。</w:t>
      </w:r>
    </w:p>
    <w:p w14:paraId="2294C04D">
      <w:pPr>
        <w:spacing w:line="580" w:lineRule="exact"/>
        <w:ind w:firstLine="640"/>
        <w:jc w:val="both"/>
      </w:pPr>
      <w:r>
        <w:rPr>
          <w:rFonts w:ascii="仿宋_GB2312" w:hAnsi="仿宋_GB2312" w:eastAsia="仿宋_GB2312"/>
          <w:sz w:val="32"/>
        </w:rPr>
        <w:t>（六）根据政府的工作部署和政府领导指示，组织有关调查研究，收集信息，反映情况，提出建议。</w:t>
      </w:r>
    </w:p>
    <w:p w14:paraId="6BF2CB44">
      <w:pPr>
        <w:spacing w:line="580" w:lineRule="exact"/>
        <w:ind w:firstLine="640"/>
        <w:jc w:val="both"/>
      </w:pPr>
      <w:r>
        <w:rPr>
          <w:rFonts w:ascii="仿宋_GB2312" w:hAnsi="仿宋_GB2312" w:eastAsia="仿宋_GB2312"/>
          <w:sz w:val="32"/>
        </w:rPr>
        <w:t>（七）负责政府及政府办公室的总值班工作及政府机关</w:t>
      </w:r>
      <w:r>
        <w:rPr>
          <w:rFonts w:hint="eastAsia" w:ascii="仿宋_GB2312" w:hAnsi="仿宋_GB2312" w:eastAsia="仿宋_GB2312"/>
          <w:sz w:val="32"/>
          <w:lang w:eastAsia="zh-CN"/>
        </w:rPr>
        <w:t>其他</w:t>
      </w:r>
      <w:r>
        <w:rPr>
          <w:rFonts w:ascii="仿宋_GB2312" w:hAnsi="仿宋_GB2312" w:eastAsia="仿宋_GB2312"/>
          <w:sz w:val="32"/>
        </w:rPr>
        <w:t>各项活动的协调安排，及时向政府领导报告重要情况。</w:t>
      </w:r>
    </w:p>
    <w:p w14:paraId="7460E13F">
      <w:pPr>
        <w:spacing w:line="580" w:lineRule="exact"/>
        <w:ind w:firstLine="640"/>
        <w:jc w:val="both"/>
      </w:pPr>
      <w:r>
        <w:rPr>
          <w:rFonts w:ascii="仿宋_GB2312" w:hAnsi="仿宋_GB2312" w:eastAsia="仿宋_GB2312"/>
          <w:sz w:val="32"/>
        </w:rPr>
        <w:t>（八）贯彻落实中央和自治区、地区关于信访工作的法律法规和方针政策，综合协调指导推动全县</w:t>
      </w:r>
      <w:r>
        <w:rPr>
          <w:rFonts w:hint="eastAsia" w:ascii="仿宋_GB2312" w:hAnsi="仿宋_GB2312" w:eastAsia="仿宋_GB2312"/>
          <w:sz w:val="32"/>
          <w:lang w:eastAsia="zh-CN"/>
        </w:rPr>
        <w:t>群众</w:t>
      </w:r>
      <w:r>
        <w:rPr>
          <w:rFonts w:ascii="仿宋_GB2312" w:hAnsi="仿宋_GB2312" w:eastAsia="仿宋_GB2312"/>
          <w:sz w:val="32"/>
        </w:rPr>
        <w:t>信访工作。</w:t>
      </w:r>
    </w:p>
    <w:p w14:paraId="68CF0160">
      <w:pPr>
        <w:spacing w:line="640" w:lineRule="exact"/>
        <w:ind w:firstLine="640"/>
        <w:jc w:val="both"/>
        <w:outlineLvl w:val="2"/>
      </w:pPr>
      <w:r>
        <w:rPr>
          <w:rFonts w:ascii="黑体" w:hAnsi="黑体" w:eastAsia="黑体"/>
          <w:sz w:val="32"/>
        </w:rPr>
        <w:t>二、机构设置及人员情况</w:t>
      </w:r>
    </w:p>
    <w:p w14:paraId="5D9E91AC">
      <w:pPr>
        <w:spacing w:line="580" w:lineRule="exact"/>
        <w:ind w:firstLine="640"/>
        <w:jc w:val="both"/>
      </w:pPr>
      <w:r>
        <w:rPr>
          <w:rFonts w:ascii="仿宋_GB2312" w:hAnsi="仿宋_GB2312" w:eastAsia="仿宋_GB2312"/>
          <w:sz w:val="32"/>
        </w:rPr>
        <w:t>裕民县人民政府办公室2024年度，实有人数89人，其中：在职人员53人，增加15人；离休人员0人，增加0人；退休人员36人,增加1人。</w:t>
      </w:r>
    </w:p>
    <w:p w14:paraId="35912C14">
      <w:pPr>
        <w:spacing w:line="580" w:lineRule="exact"/>
        <w:ind w:firstLine="640"/>
        <w:jc w:val="both"/>
      </w:pPr>
      <w:r>
        <w:rPr>
          <w:rFonts w:ascii="仿宋_GB2312" w:hAnsi="仿宋_GB2312" w:eastAsia="仿宋_GB2312"/>
          <w:sz w:val="32"/>
        </w:rPr>
        <w:t>裕民县人民政府办公室无下属预算单位，下设</w:t>
      </w:r>
      <w:r>
        <w:rPr>
          <w:rFonts w:hint="eastAsia" w:ascii="仿宋_GB2312" w:hAnsi="仿宋_GB2312" w:eastAsia="仿宋_GB2312"/>
          <w:sz w:val="32"/>
          <w:lang w:val="en-US" w:eastAsia="zh-CN"/>
        </w:rPr>
        <w:t>5</w:t>
      </w:r>
      <w:r>
        <w:rPr>
          <w:rFonts w:ascii="仿宋_GB2312" w:hAnsi="仿宋_GB2312" w:eastAsia="仿宋_GB2312"/>
          <w:sz w:val="32"/>
        </w:rPr>
        <w:t>个科室，分别是：秘书室、综合室、信息督查室、政府政务服务办公室、财务室。</w:t>
      </w:r>
    </w:p>
    <w:p w14:paraId="41FF17BD">
      <w:r>
        <w:br w:type="page"/>
      </w:r>
    </w:p>
    <w:p w14:paraId="5BA8DC05">
      <w:pPr>
        <w:spacing w:line="240" w:lineRule="auto"/>
        <w:jc w:val="center"/>
        <w:outlineLvl w:val="1"/>
      </w:pPr>
      <w:r>
        <w:rPr>
          <w:rFonts w:ascii="黑体" w:hAnsi="黑体" w:eastAsia="黑体"/>
          <w:sz w:val="32"/>
        </w:rPr>
        <w:t>第二部分 部门决算情况说明</w:t>
      </w:r>
    </w:p>
    <w:p w14:paraId="51B06B8D">
      <w:pPr>
        <w:spacing w:line="640" w:lineRule="exact"/>
        <w:ind w:firstLine="640"/>
        <w:jc w:val="both"/>
        <w:outlineLvl w:val="2"/>
      </w:pPr>
      <w:r>
        <w:rPr>
          <w:rFonts w:ascii="黑体" w:hAnsi="黑体" w:eastAsia="黑体"/>
          <w:sz w:val="32"/>
        </w:rPr>
        <w:t>一、收入支出决算总体情况说明</w:t>
      </w:r>
    </w:p>
    <w:p w14:paraId="5F0B9FD1">
      <w:pPr>
        <w:spacing w:line="580" w:lineRule="exact"/>
        <w:ind w:firstLine="640"/>
        <w:jc w:val="both"/>
      </w:pPr>
      <w:r>
        <w:rPr>
          <w:rFonts w:ascii="仿宋_GB2312" w:hAnsi="仿宋_GB2312" w:eastAsia="仿宋_GB2312"/>
          <w:b/>
          <w:sz w:val="32"/>
        </w:rPr>
        <w:t>2024年度收入总计1,501.62万元，</w:t>
      </w:r>
      <w:r>
        <w:rPr>
          <w:rFonts w:ascii="仿宋_GB2312" w:hAnsi="仿宋_GB2312" w:eastAsia="仿宋_GB2312"/>
          <w:b w:val="0"/>
          <w:sz w:val="32"/>
        </w:rPr>
        <w:t>其中：本年收入合计1,501.62万元，使用非财政拨款结余（含专用结余）0.00万元，年初结转和结余0.00万元。</w:t>
      </w:r>
    </w:p>
    <w:p w14:paraId="4E01DB63">
      <w:pPr>
        <w:spacing w:line="580" w:lineRule="exact"/>
        <w:ind w:firstLine="640"/>
        <w:jc w:val="both"/>
      </w:pPr>
      <w:r>
        <w:rPr>
          <w:rFonts w:ascii="仿宋_GB2312" w:hAnsi="仿宋_GB2312" w:eastAsia="仿宋_GB2312"/>
          <w:b/>
          <w:sz w:val="32"/>
        </w:rPr>
        <w:t>2024年度支出总计1,501.62万元，</w:t>
      </w:r>
      <w:r>
        <w:rPr>
          <w:rFonts w:ascii="仿宋_GB2312" w:hAnsi="仿宋_GB2312" w:eastAsia="仿宋_GB2312"/>
          <w:b w:val="0"/>
          <w:sz w:val="32"/>
        </w:rPr>
        <w:t>其中：本年支出合计1,501.62万元，结余分配0.00万元，年末结转和结余0.00万元。</w:t>
      </w:r>
    </w:p>
    <w:p w14:paraId="0A0F51A0">
      <w:pPr>
        <w:spacing w:line="580" w:lineRule="exact"/>
        <w:ind w:firstLine="640"/>
        <w:jc w:val="both"/>
      </w:pPr>
      <w:r>
        <w:rPr>
          <w:rFonts w:ascii="仿宋_GB2312" w:hAnsi="仿宋_GB2312" w:eastAsia="仿宋_GB2312"/>
          <w:b w:val="0"/>
          <w:sz w:val="32"/>
        </w:rPr>
        <w:t>收入支出总体与上年相比，增加520.09万元，增长52.99%，主要原因是：本年在职人员工资调增，人员增加，导致人员经费增加；增加人才公寓建设项目。</w:t>
      </w:r>
    </w:p>
    <w:p w14:paraId="303E303E">
      <w:pPr>
        <w:spacing w:line="640" w:lineRule="exact"/>
        <w:ind w:firstLine="640"/>
        <w:jc w:val="both"/>
        <w:outlineLvl w:val="2"/>
      </w:pPr>
      <w:r>
        <w:rPr>
          <w:rFonts w:ascii="黑体" w:hAnsi="黑体" w:eastAsia="黑体"/>
          <w:sz w:val="32"/>
        </w:rPr>
        <w:t>二、收入决算情况说明</w:t>
      </w:r>
    </w:p>
    <w:p w14:paraId="5CF049AC">
      <w:pPr>
        <w:spacing w:line="580" w:lineRule="exact"/>
        <w:ind w:firstLine="640"/>
        <w:jc w:val="both"/>
      </w:pPr>
      <w:r>
        <w:rPr>
          <w:rFonts w:ascii="仿宋_GB2312" w:hAnsi="仿宋_GB2312" w:eastAsia="仿宋_GB2312"/>
          <w:b/>
          <w:sz w:val="32"/>
        </w:rPr>
        <w:t>本年收入1,501.62万元，</w:t>
      </w:r>
      <w:r>
        <w:rPr>
          <w:rFonts w:ascii="仿宋_GB2312" w:hAnsi="仿宋_GB2312" w:eastAsia="仿宋_GB2312"/>
          <w:b w:val="0"/>
          <w:sz w:val="32"/>
        </w:rPr>
        <w:t>其中：财政拨款收入1,501.62万元，占100.00%；上级补助收入0.00万元，占0.00%；事业收入0.00万元，占0.00%；经营收入0.00万元，占0.00%；附属单位上缴收入0.00万元，占0.00%；其他收入0.00万元，占0.00%。</w:t>
      </w:r>
    </w:p>
    <w:p w14:paraId="30960548">
      <w:pPr>
        <w:spacing w:line="640" w:lineRule="exact"/>
        <w:ind w:firstLine="640"/>
        <w:jc w:val="both"/>
        <w:outlineLvl w:val="2"/>
      </w:pPr>
      <w:r>
        <w:rPr>
          <w:rFonts w:ascii="黑体" w:hAnsi="黑体" w:eastAsia="黑体"/>
          <w:sz w:val="32"/>
        </w:rPr>
        <w:t>三、支出决算情况说明</w:t>
      </w:r>
    </w:p>
    <w:p w14:paraId="58A8D6F6">
      <w:pPr>
        <w:spacing w:line="580" w:lineRule="exact"/>
        <w:ind w:firstLine="640"/>
        <w:jc w:val="both"/>
      </w:pPr>
      <w:r>
        <w:rPr>
          <w:rFonts w:ascii="仿宋_GB2312" w:hAnsi="仿宋_GB2312" w:eastAsia="仿宋_GB2312"/>
          <w:b/>
          <w:sz w:val="32"/>
        </w:rPr>
        <w:t>本年支出1,501.62万元，</w:t>
      </w:r>
      <w:r>
        <w:rPr>
          <w:rFonts w:ascii="仿宋_GB2312" w:hAnsi="仿宋_GB2312" w:eastAsia="仿宋_GB2312"/>
          <w:b w:val="0"/>
          <w:sz w:val="32"/>
        </w:rPr>
        <w:t>其中：基本支出1,101.62万元，占73.36%；项目支出400.00万元，占26.64%；上缴上级支出0.00万元，占0.00%；经营支出0.00万元，占0.00%；对附属单位补助支出0.00万元，占0.00%。</w:t>
      </w:r>
    </w:p>
    <w:p w14:paraId="13621C23">
      <w:pPr>
        <w:spacing w:line="640" w:lineRule="exact"/>
        <w:ind w:firstLine="640"/>
        <w:jc w:val="both"/>
        <w:outlineLvl w:val="2"/>
      </w:pPr>
      <w:r>
        <w:rPr>
          <w:rFonts w:ascii="黑体" w:hAnsi="黑体" w:eastAsia="黑体"/>
          <w:sz w:val="32"/>
        </w:rPr>
        <w:t>四、财政拨款收入支出决算总体情况说明</w:t>
      </w:r>
    </w:p>
    <w:p w14:paraId="4F75B2EF">
      <w:pPr>
        <w:spacing w:line="580" w:lineRule="exact"/>
        <w:ind w:firstLine="640"/>
        <w:jc w:val="both"/>
      </w:pPr>
      <w:r>
        <w:rPr>
          <w:rFonts w:ascii="仿宋_GB2312" w:hAnsi="仿宋_GB2312" w:eastAsia="仿宋_GB2312"/>
          <w:b/>
          <w:sz w:val="32"/>
        </w:rPr>
        <w:t>2024年度财政拨款收入总计1,501.62万元，</w:t>
      </w:r>
      <w:r>
        <w:rPr>
          <w:rFonts w:ascii="仿宋_GB2312" w:hAnsi="仿宋_GB2312" w:eastAsia="仿宋_GB2312"/>
          <w:b w:val="0"/>
          <w:sz w:val="32"/>
        </w:rPr>
        <w:t>其中：年初财政拨款结转和结余0.00万元，本年财政拨款收入1,501.62万元。</w:t>
      </w:r>
      <w:r>
        <w:rPr>
          <w:rFonts w:ascii="仿宋_GB2312" w:hAnsi="仿宋_GB2312" w:eastAsia="仿宋_GB2312"/>
          <w:b/>
          <w:sz w:val="32"/>
        </w:rPr>
        <w:t>财政拨款支出总计1,501.62万元，</w:t>
      </w:r>
      <w:r>
        <w:rPr>
          <w:rFonts w:ascii="仿宋_GB2312" w:hAnsi="仿宋_GB2312" w:eastAsia="仿宋_GB2312"/>
          <w:b w:val="0"/>
          <w:sz w:val="32"/>
        </w:rPr>
        <w:t>其中：年末财政拨款结转和结余0.00万元，本年财政拨款支出1,501.62万元。</w:t>
      </w:r>
    </w:p>
    <w:p w14:paraId="46E6DB9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增加520.09万元，增长52.99%，主要原因是：本年在职人员工资调增，人员增加，导致人员经费增加；增加人才公寓建设项目。</w:t>
      </w:r>
      <w:r>
        <w:rPr>
          <w:rFonts w:ascii="仿宋_GB2312" w:hAnsi="仿宋_GB2312" w:eastAsia="仿宋_GB2312"/>
          <w:b/>
          <w:sz w:val="32"/>
        </w:rPr>
        <w:t>与年初预算相比，</w:t>
      </w:r>
      <w:r>
        <w:rPr>
          <w:rFonts w:ascii="仿宋_GB2312" w:hAnsi="仿宋_GB2312" w:eastAsia="仿宋_GB2312"/>
          <w:b w:val="0"/>
          <w:sz w:val="32"/>
        </w:rPr>
        <w:t>年初预算数1,108.39万元，决算数1,501.62万元，预决算差异率35.48%，主要原因是：年中追加新增人员工资，人员工资、社保、公积金基数调增部分资金及人才公寓建设项目，导致预决算存在差异。</w:t>
      </w:r>
    </w:p>
    <w:p w14:paraId="5556F244">
      <w:pPr>
        <w:spacing w:line="640" w:lineRule="exact"/>
        <w:ind w:firstLine="640"/>
        <w:jc w:val="both"/>
        <w:outlineLvl w:val="2"/>
      </w:pPr>
      <w:r>
        <w:rPr>
          <w:rFonts w:ascii="黑体" w:hAnsi="黑体" w:eastAsia="黑体"/>
          <w:sz w:val="32"/>
        </w:rPr>
        <w:t>五、一般公共预算财政拨款支出决算情况说明</w:t>
      </w:r>
    </w:p>
    <w:p w14:paraId="6DAD588D">
      <w:pPr>
        <w:spacing w:line="640" w:lineRule="exact"/>
        <w:ind w:firstLine="640"/>
        <w:jc w:val="both"/>
        <w:outlineLvl w:val="3"/>
      </w:pPr>
      <w:r>
        <w:rPr>
          <w:rFonts w:ascii="楷体_GB2312" w:hAnsi="楷体_GB2312" w:eastAsia="楷体_GB2312"/>
          <w:b/>
          <w:sz w:val="32"/>
        </w:rPr>
        <w:t>（一）一般公共预算财政拨款支出决算总体情况</w:t>
      </w:r>
    </w:p>
    <w:p w14:paraId="3E3A83F5">
      <w:pPr>
        <w:spacing w:line="580" w:lineRule="exact"/>
        <w:ind w:firstLine="640"/>
        <w:jc w:val="both"/>
      </w:pPr>
      <w:r>
        <w:rPr>
          <w:rFonts w:ascii="仿宋_GB2312" w:hAnsi="仿宋_GB2312" w:eastAsia="仿宋_GB2312"/>
          <w:b/>
          <w:sz w:val="32"/>
        </w:rPr>
        <w:t>2024年度一般公共预算财政拨款支出1,501.62万元，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增加520.09万元，增长52.99%，主要原因是：本年在职人员工资调增，人员增加，导致人员经费增加；增加人才公寓建设项目。</w:t>
      </w:r>
      <w:r>
        <w:rPr>
          <w:rFonts w:ascii="仿宋_GB2312" w:hAnsi="仿宋_GB2312" w:eastAsia="仿宋_GB2312"/>
          <w:b/>
          <w:sz w:val="32"/>
        </w:rPr>
        <w:t>与年初预算相比,</w:t>
      </w:r>
      <w:r>
        <w:rPr>
          <w:rFonts w:ascii="仿宋_GB2312" w:hAnsi="仿宋_GB2312" w:eastAsia="仿宋_GB2312"/>
          <w:b w:val="0"/>
          <w:sz w:val="32"/>
        </w:rPr>
        <w:t>年初预算数1,108.39万元，决算数1,501.62万元，预决算差异率35.48%，主要原因是：年中追加新增人员工资，人员工资、社保、公积金基数调增部分资金及人才公寓建设项目，导致预决算存在差异。</w:t>
      </w:r>
    </w:p>
    <w:p w14:paraId="42BBDDEE">
      <w:pPr>
        <w:spacing w:line="640" w:lineRule="exact"/>
        <w:ind w:firstLine="640"/>
        <w:jc w:val="both"/>
        <w:outlineLvl w:val="3"/>
      </w:pPr>
      <w:r>
        <w:rPr>
          <w:rFonts w:ascii="楷体_GB2312" w:hAnsi="楷体_GB2312" w:eastAsia="楷体_GB2312"/>
          <w:b/>
          <w:sz w:val="32"/>
        </w:rPr>
        <w:t>（二）一般公共预算财政拨款支出决算结构情况</w:t>
      </w:r>
    </w:p>
    <w:p w14:paraId="305BEB23">
      <w:pPr>
        <w:spacing w:line="580" w:lineRule="exact"/>
        <w:ind w:firstLine="640"/>
        <w:jc w:val="both"/>
      </w:pPr>
      <w:r>
        <w:rPr>
          <w:rFonts w:ascii="仿宋_GB2312" w:hAnsi="仿宋_GB2312" w:eastAsia="仿宋_GB2312"/>
          <w:b w:val="0"/>
          <w:sz w:val="32"/>
        </w:rPr>
        <w:t>1.一般公共服务支出(类)1,305.67万元,占86.95%。</w:t>
      </w:r>
    </w:p>
    <w:p w14:paraId="49DDACAA">
      <w:pPr>
        <w:spacing w:line="580" w:lineRule="exact"/>
        <w:ind w:firstLine="640"/>
        <w:jc w:val="both"/>
      </w:pPr>
      <w:r>
        <w:rPr>
          <w:rFonts w:ascii="仿宋_GB2312" w:hAnsi="仿宋_GB2312" w:eastAsia="仿宋_GB2312"/>
          <w:b w:val="0"/>
          <w:sz w:val="32"/>
        </w:rPr>
        <w:t>2.社会保障和就业支出(类)102.53万元,占6.83%。</w:t>
      </w:r>
    </w:p>
    <w:p w14:paraId="43E7A473">
      <w:pPr>
        <w:spacing w:line="580" w:lineRule="exact"/>
        <w:ind w:firstLine="640"/>
        <w:jc w:val="both"/>
      </w:pPr>
      <w:r>
        <w:rPr>
          <w:rFonts w:ascii="仿宋_GB2312" w:hAnsi="仿宋_GB2312" w:eastAsia="仿宋_GB2312"/>
          <w:b w:val="0"/>
          <w:sz w:val="32"/>
        </w:rPr>
        <w:t>3.卫生健康支出(类)38.08万元,占2.54%。</w:t>
      </w:r>
    </w:p>
    <w:p w14:paraId="543A6046">
      <w:pPr>
        <w:spacing w:line="580" w:lineRule="exact"/>
        <w:ind w:firstLine="640"/>
        <w:jc w:val="both"/>
      </w:pPr>
      <w:r>
        <w:rPr>
          <w:rFonts w:ascii="仿宋_GB2312" w:hAnsi="仿宋_GB2312" w:eastAsia="仿宋_GB2312"/>
          <w:b w:val="0"/>
          <w:sz w:val="32"/>
        </w:rPr>
        <w:t>4.住房保障支出(类)55.33万元,占3.68%。</w:t>
      </w:r>
    </w:p>
    <w:p w14:paraId="0DD03886">
      <w:pPr>
        <w:spacing w:line="640" w:lineRule="exact"/>
        <w:ind w:firstLine="640"/>
        <w:jc w:val="both"/>
        <w:outlineLvl w:val="3"/>
      </w:pPr>
      <w:r>
        <w:rPr>
          <w:rFonts w:ascii="楷体_GB2312" w:hAnsi="楷体_GB2312" w:eastAsia="楷体_GB2312"/>
          <w:b/>
          <w:sz w:val="32"/>
        </w:rPr>
        <w:t>（三）一般公共预算财政拨款支出决算具体情况</w:t>
      </w:r>
    </w:p>
    <w:p w14:paraId="1DDD8942">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1.一般公共服务支出(类)政府办公厅（室）及相关机构事务(款)行政运行(项):支出决算数为905.67万元，比上年决算增加232.05万元，增长34.45%,主要原因是：本年新增人员，人员工资调增，人员经费增加。</w:t>
      </w:r>
    </w:p>
    <w:p w14:paraId="4EC96C47">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2.一般公共服务支出(类)政府办公厅（室）及相关机构事务(款)其他政府办公厅（室）及相关机构事务支出(项):支出决算数为400.00万元，比上年决算增加286.31万元，增长251.83%,主要原因是：增加人才公寓建设项目。</w:t>
      </w:r>
    </w:p>
    <w:p w14:paraId="1770DD0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3.社会保障和就业支出(类)行政事业单位养老支出(款)行政单位离退休(项):支出决算数为25.82万元，比上年决算减少44.53万元，下降63.30%,主要原因是：上年发放3人丧葬费，本年无此经费支出，导致经费减少。</w:t>
      </w:r>
    </w:p>
    <w:p w14:paraId="07EE4F1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69.73万元，比上年决算增加17.55万元，增长33.63%,主要原因是：本年在职人员增加，工资基数调增，养老缴费基数上涨，相应支出增加。</w:t>
      </w:r>
    </w:p>
    <w:p w14:paraId="706B0A8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5.社会保障和就业支出(类)行政事业单位养老支出(款)机关事业单位职业年金缴费支出(项):支出决算数为6.98万元，比上年决算增加6.98万元，增长100.00%,主要原因是：本年新增退休人员，职业年金缴费支出增加。</w:t>
      </w:r>
    </w:p>
    <w:p w14:paraId="35647CC4">
      <w:pPr>
        <w:spacing w:line="580" w:lineRule="exact"/>
        <w:ind w:firstLine="640"/>
        <w:jc w:val="both"/>
      </w:pPr>
      <w:r>
        <w:rPr>
          <w:rFonts w:ascii="仿宋_GB2312" w:hAnsi="仿宋_GB2312" w:eastAsia="仿宋_GB2312"/>
          <w:b w:val="0"/>
          <w:sz w:val="32"/>
        </w:rPr>
        <w:t>6.卫生健康支出(类)行政事业单位医疗(款)行政单位医疗(项):支出决算数为29.53万元，比上年决算增加6.19万元，增长26.52%,主要原因是：本年在职人员增加，工资基数调增，医疗缴费基数上涨，相应支出增加。</w:t>
      </w:r>
    </w:p>
    <w:p w14:paraId="1349987F">
      <w:pPr>
        <w:spacing w:line="580" w:lineRule="exact"/>
        <w:ind w:firstLine="640"/>
        <w:jc w:val="both"/>
      </w:pPr>
      <w:r>
        <w:rPr>
          <w:rFonts w:ascii="仿宋_GB2312" w:hAnsi="仿宋_GB2312" w:eastAsia="仿宋_GB2312"/>
          <w:b w:val="0"/>
          <w:sz w:val="32"/>
        </w:rPr>
        <w:t>7.卫生健康支出(类)行政事业单位医疗(款)公务员医疗补助(项):支出决算数为8.56万元，比上年决算增加2.22万元，增长35.02%,主要原因是：本年在职人员增加，工资基数调增，公务员医疗补助缴费基数上涨，相应支出增加。</w:t>
      </w:r>
    </w:p>
    <w:p w14:paraId="1AB7E33B">
      <w:pPr>
        <w:spacing w:line="580" w:lineRule="exact"/>
        <w:ind w:firstLine="640"/>
        <w:jc w:val="both"/>
      </w:pPr>
      <w:r>
        <w:rPr>
          <w:rFonts w:ascii="仿宋_GB2312" w:hAnsi="仿宋_GB2312" w:eastAsia="仿宋_GB2312"/>
          <w:b w:val="0"/>
          <w:sz w:val="32"/>
        </w:rPr>
        <w:t>8.住房保障支出(类)住房改革支出(款)住房公积金(项):支出决算数为55.33万元，比上年决算增加13.31万元，增长31.68%,主要原因是：本年在职人员增加，工资基数调增，住房公积金缴费基数上涨，相应支出增加。</w:t>
      </w:r>
    </w:p>
    <w:p w14:paraId="29EB486C">
      <w:pPr>
        <w:spacing w:line="640" w:lineRule="exact"/>
        <w:ind w:firstLine="640"/>
        <w:jc w:val="both"/>
        <w:outlineLvl w:val="2"/>
      </w:pPr>
      <w:r>
        <w:rPr>
          <w:rFonts w:ascii="黑体" w:hAnsi="黑体" w:eastAsia="黑体"/>
          <w:sz w:val="32"/>
        </w:rPr>
        <w:t>六、一般公共预算财政拨款基本支出决算情况说明</w:t>
      </w:r>
    </w:p>
    <w:p w14:paraId="34ACAABE">
      <w:pPr>
        <w:spacing w:line="580" w:lineRule="exact"/>
        <w:ind w:firstLine="640"/>
        <w:jc w:val="both"/>
      </w:pPr>
      <w:r>
        <w:rPr>
          <w:rFonts w:ascii="仿宋_GB2312" w:hAnsi="仿宋_GB2312" w:eastAsia="仿宋_GB2312"/>
          <w:b w:val="0"/>
          <w:sz w:val="32"/>
        </w:rPr>
        <w:t>2024年度一般公共预算财政拨款基本支出1,101.62万元，其中：</w:t>
      </w:r>
      <w:r>
        <w:rPr>
          <w:rFonts w:ascii="仿宋_GB2312" w:hAnsi="仿宋_GB2312" w:eastAsia="仿宋_GB2312"/>
          <w:b/>
          <w:sz w:val="32"/>
        </w:rPr>
        <w:t>人员经费724.43万元，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097C5928">
      <w:pPr>
        <w:spacing w:line="580" w:lineRule="exact"/>
        <w:ind w:firstLine="640"/>
        <w:jc w:val="both"/>
      </w:pPr>
      <w:r>
        <w:rPr>
          <w:rFonts w:ascii="仿宋_GB2312" w:hAnsi="仿宋_GB2312" w:eastAsia="仿宋_GB2312"/>
          <w:b/>
          <w:sz w:val="32"/>
        </w:rPr>
        <w:t>公用经费377.18万元，</w:t>
      </w:r>
      <w:r>
        <w:rPr>
          <w:rFonts w:ascii="仿宋_GB2312" w:hAnsi="仿宋_GB2312" w:eastAsia="仿宋_GB2312"/>
          <w:b w:val="0"/>
          <w:sz w:val="32"/>
        </w:rPr>
        <w:t>包括：办公费、咨询费、手续费、水费、电费、邮电费、取暖费、差旅费、维修（护）费、会议费、公务接待费、劳务费、委托业务费、工会经费、公务用车运行维护费、其他商品和服务支出、办公设备购置、专用设备购置、信息网络及软件购置更新、其他资本性支出。</w:t>
      </w:r>
    </w:p>
    <w:p w14:paraId="59D5D751">
      <w:pPr>
        <w:spacing w:line="640" w:lineRule="exact"/>
        <w:ind w:firstLine="640"/>
        <w:jc w:val="both"/>
        <w:outlineLvl w:val="2"/>
      </w:pPr>
      <w:r>
        <w:rPr>
          <w:rFonts w:ascii="黑体" w:hAnsi="黑体" w:eastAsia="黑体"/>
          <w:sz w:val="32"/>
        </w:rPr>
        <w:t>七、政府性基金预算财政拨款收入支出决算情况说明</w:t>
      </w:r>
    </w:p>
    <w:p w14:paraId="04BD286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93EFB96">
      <w:pPr>
        <w:spacing w:line="640" w:lineRule="exact"/>
        <w:ind w:firstLine="640"/>
        <w:jc w:val="both"/>
        <w:outlineLvl w:val="2"/>
      </w:pPr>
      <w:r>
        <w:rPr>
          <w:rFonts w:ascii="黑体" w:hAnsi="黑体" w:eastAsia="黑体"/>
          <w:sz w:val="32"/>
        </w:rPr>
        <w:t>八、国有资本经营预算财政拨款收入支出决算情况说明</w:t>
      </w:r>
    </w:p>
    <w:p w14:paraId="03BC10C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36CFCD">
      <w:pPr>
        <w:spacing w:line="640" w:lineRule="exact"/>
        <w:ind w:firstLine="640"/>
        <w:jc w:val="both"/>
        <w:outlineLvl w:val="2"/>
      </w:pPr>
      <w:r>
        <w:rPr>
          <w:rFonts w:ascii="黑体" w:hAnsi="黑体" w:eastAsia="黑体"/>
          <w:sz w:val="32"/>
        </w:rPr>
        <w:t>九、财政拨款“三公”经费支出决算情况说明</w:t>
      </w:r>
    </w:p>
    <w:p w14:paraId="6D0DDF3C">
      <w:pPr>
        <w:spacing w:line="580" w:lineRule="exact"/>
        <w:ind w:firstLine="640"/>
        <w:jc w:val="both"/>
      </w:pPr>
      <w:r>
        <w:rPr>
          <w:rFonts w:ascii="仿宋_GB2312" w:hAnsi="仿宋_GB2312" w:eastAsia="仿宋_GB2312"/>
          <w:b/>
          <w:sz w:val="32"/>
        </w:rPr>
        <w:t>2024年度财政拨款“三公”经费支出93.40万元，</w:t>
      </w:r>
      <w:r>
        <w:rPr>
          <w:rFonts w:ascii="仿宋_GB2312" w:hAnsi="仿宋_GB2312" w:eastAsia="仿宋_GB2312"/>
          <w:b w:val="0"/>
          <w:sz w:val="32"/>
        </w:rPr>
        <w:t>比上年减少36.68万元，下降28.20%，主要原因是：上年购置6辆车，本年无此经费支出，导致</w:t>
      </w:r>
      <w:r>
        <w:rPr>
          <w:rFonts w:hint="eastAsia" w:ascii="仿宋_GB2312" w:hAnsi="仿宋_GB2312" w:eastAsia="仿宋_GB2312"/>
          <w:b w:val="0"/>
          <w:sz w:val="32"/>
          <w:lang w:eastAsia="zh-CN"/>
        </w:rPr>
        <w:t>“三公”经费</w:t>
      </w:r>
      <w:r>
        <w:rPr>
          <w:rFonts w:ascii="仿宋_GB2312" w:hAnsi="仿宋_GB2312" w:eastAsia="仿宋_GB2312"/>
          <w:b w:val="0"/>
          <w:sz w:val="32"/>
        </w:rPr>
        <w:t>减少。其中：因公出国（境）费支出0.00万元，占0.00%，比上年增加0.00万元，增长0.00%，主要原因是：2023年与2024年均未安排因公出国（境）费支出。公务用车购置及运行维护费支出22.40万元，占23.98%，比上年减少100.22万元，下降81.73%，主要原因是：上年购置6辆车，本年无此经费支出，导致公务用车运行维护费减少。公务接待费支出71.00万元，占76.02%，比上年增加63.54万元，增长851.74%，主要原因是：2024年支付上年公务接待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故经费支出增加</w:t>
      </w:r>
      <w:r>
        <w:rPr>
          <w:rFonts w:ascii="仿宋_GB2312" w:hAnsi="仿宋_GB2312" w:eastAsia="仿宋_GB2312"/>
          <w:b w:val="0"/>
          <w:sz w:val="32"/>
        </w:rPr>
        <w:t>。</w:t>
      </w:r>
    </w:p>
    <w:p w14:paraId="1819DB9A">
      <w:pPr>
        <w:spacing w:line="580" w:lineRule="exact"/>
        <w:ind w:firstLine="640"/>
        <w:jc w:val="both"/>
      </w:pPr>
      <w:r>
        <w:rPr>
          <w:rFonts w:ascii="仿宋_GB2312" w:hAnsi="仿宋_GB2312" w:eastAsia="仿宋_GB2312"/>
          <w:b/>
          <w:sz w:val="32"/>
        </w:rPr>
        <w:t>具体情况如下：</w:t>
      </w:r>
    </w:p>
    <w:p w14:paraId="1BBDA10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5ADE83">
      <w:pPr>
        <w:spacing w:line="580" w:lineRule="exact"/>
        <w:ind w:firstLine="640"/>
        <w:jc w:val="both"/>
      </w:pPr>
      <w:r>
        <w:rPr>
          <w:rFonts w:ascii="仿宋_GB2312" w:hAnsi="仿宋_GB2312" w:eastAsia="仿宋_GB2312"/>
          <w:b w:val="0"/>
          <w:sz w:val="32"/>
        </w:rPr>
        <w:t>公务用车购置及运行维护费22.40万元，其中：公务用车购置费0.00万元，公务用车运行维护费22.40万元。公务用车运行维护费开支内容包括车辆的燃料费，维修维护费，保险费等。公务用车购置数0辆，公务用车保有量8辆。国有资产占用情况中固定资产车辆15辆，与公务用车保有量差异原因是：差异车辆为一般业务用车（4辆车划拨其他乡镇，3辆车报废无法使用），预算未安排公务用车运行维护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车辆经费由使用单位支付</w:t>
      </w:r>
      <w:r>
        <w:rPr>
          <w:rFonts w:ascii="仿宋_GB2312" w:hAnsi="仿宋_GB2312" w:eastAsia="仿宋_GB2312"/>
          <w:b w:val="0"/>
          <w:sz w:val="32"/>
        </w:rPr>
        <w:t>。</w:t>
      </w:r>
    </w:p>
    <w:p w14:paraId="5792592F">
      <w:pPr>
        <w:spacing w:line="580" w:lineRule="exact"/>
        <w:ind w:firstLine="640"/>
        <w:jc w:val="both"/>
      </w:pPr>
      <w:r>
        <w:rPr>
          <w:rFonts w:ascii="仿宋_GB2312" w:hAnsi="仿宋_GB2312" w:eastAsia="仿宋_GB2312"/>
          <w:b w:val="0"/>
          <w:sz w:val="32"/>
        </w:rPr>
        <w:t>公务接待费71.00万元，开支内容包括因各乡镇</w:t>
      </w:r>
      <w:r>
        <w:rPr>
          <w:rFonts w:hint="eastAsia" w:ascii="仿宋_GB2312" w:hAnsi="仿宋_GB2312" w:eastAsia="仿宋_GB2312"/>
          <w:b w:val="0"/>
          <w:sz w:val="32"/>
          <w:lang w:eastAsia="zh-CN"/>
        </w:rPr>
        <w:t>召开</w:t>
      </w:r>
      <w:r>
        <w:rPr>
          <w:rFonts w:ascii="仿宋_GB2312" w:hAnsi="仿宋_GB2312" w:eastAsia="仿宋_GB2312"/>
          <w:b w:val="0"/>
          <w:sz w:val="32"/>
        </w:rPr>
        <w:t>会议，</w:t>
      </w:r>
      <w:r>
        <w:rPr>
          <w:rFonts w:hint="eastAsia" w:ascii="仿宋_GB2312" w:hAnsi="仿宋_GB2312" w:eastAsia="仿宋_GB2312"/>
          <w:b w:val="0"/>
          <w:sz w:val="32"/>
          <w:lang w:eastAsia="zh-CN"/>
        </w:rPr>
        <w:t>招</w:t>
      </w:r>
      <w:r>
        <w:rPr>
          <w:rFonts w:ascii="仿宋_GB2312" w:hAnsi="仿宋_GB2312" w:eastAsia="仿宋_GB2312"/>
          <w:b w:val="0"/>
          <w:sz w:val="32"/>
        </w:rPr>
        <w:t>商引资，产生的就餐费，住宿费等。单位全年安排的国内公务接待201批次，4,734人次。</w:t>
      </w:r>
    </w:p>
    <w:p w14:paraId="521DC9F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93.40万元，决算数93.40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22.40万元，决算数22.40万元，预决算差异率0.00%，主要原因是：严格按照预算执行，预决算无差异。公务接待费全年预算数71.00万元，决算数71.00万元，预决算差异率0.00%，主要原因是：严格按照预算执行，预决算无差异。</w:t>
      </w:r>
    </w:p>
    <w:p w14:paraId="5F29599D">
      <w:pPr>
        <w:spacing w:line="640" w:lineRule="exact"/>
        <w:ind w:firstLine="640"/>
        <w:jc w:val="both"/>
        <w:outlineLvl w:val="2"/>
      </w:pPr>
      <w:r>
        <w:rPr>
          <w:rFonts w:ascii="黑体" w:hAnsi="黑体" w:eastAsia="黑体"/>
          <w:sz w:val="32"/>
        </w:rPr>
        <w:t>十、其他重要事项的情况说明</w:t>
      </w:r>
    </w:p>
    <w:p w14:paraId="3DBF9122">
      <w:pPr>
        <w:spacing w:line="640" w:lineRule="exact"/>
        <w:ind w:firstLine="640"/>
        <w:jc w:val="both"/>
        <w:outlineLvl w:val="3"/>
      </w:pPr>
      <w:r>
        <w:rPr>
          <w:rFonts w:ascii="楷体_GB2312" w:hAnsi="楷体_GB2312" w:eastAsia="楷体_GB2312"/>
          <w:b/>
          <w:sz w:val="32"/>
        </w:rPr>
        <w:t>（一）机关运行经费及公用经费支出情况</w:t>
      </w:r>
    </w:p>
    <w:p w14:paraId="63F0238C">
      <w:pPr>
        <w:spacing w:line="580" w:lineRule="exact"/>
        <w:ind w:firstLine="640"/>
        <w:jc w:val="both"/>
      </w:pPr>
      <w:r>
        <w:rPr>
          <w:rFonts w:ascii="仿宋_GB2312" w:hAnsi="仿宋_GB2312" w:eastAsia="仿宋_GB2312"/>
          <w:b w:val="0"/>
          <w:sz w:val="32"/>
        </w:rPr>
        <w:t>2024年度裕民县人民政府办公室（行政单位和参照公务员法管理事业单位）机关运行经费支出377.18万元，比上年增加130.65万元，增长53.00%，主要原因是：本年人员增加，办公经费增加；增加会议费、公务接待费等。</w:t>
      </w:r>
    </w:p>
    <w:p w14:paraId="225CB996">
      <w:pPr>
        <w:spacing w:line="640" w:lineRule="exact"/>
        <w:ind w:firstLine="640"/>
        <w:jc w:val="both"/>
        <w:outlineLvl w:val="3"/>
      </w:pPr>
      <w:r>
        <w:rPr>
          <w:rFonts w:ascii="楷体_GB2312" w:hAnsi="楷体_GB2312" w:eastAsia="楷体_GB2312"/>
          <w:b/>
          <w:sz w:val="32"/>
        </w:rPr>
        <w:t>（二）政府采购情况</w:t>
      </w:r>
    </w:p>
    <w:p w14:paraId="69B61B96">
      <w:pPr>
        <w:spacing w:line="580" w:lineRule="exact"/>
        <w:ind w:firstLine="640"/>
        <w:jc w:val="both"/>
      </w:pPr>
      <w:r>
        <w:rPr>
          <w:rFonts w:ascii="仿宋_GB2312" w:hAnsi="仿宋_GB2312" w:eastAsia="仿宋_GB2312"/>
          <w:b w:val="0"/>
          <w:sz w:val="32"/>
        </w:rPr>
        <w:t>2024年度政府采购支出总额90.67万元，其中：政府采购货物支出43.31万元、政府采购工程支出0.00万元、政府采购服务支出47.36万元。</w:t>
      </w:r>
    </w:p>
    <w:p w14:paraId="0EFC311F">
      <w:pPr>
        <w:spacing w:line="580" w:lineRule="exact"/>
        <w:ind w:firstLine="640"/>
        <w:jc w:val="both"/>
      </w:pPr>
      <w:r>
        <w:rPr>
          <w:rFonts w:ascii="仿宋_GB2312" w:hAnsi="仿宋_GB2312" w:eastAsia="仿宋_GB2312"/>
          <w:b w:val="0"/>
          <w:sz w:val="32"/>
        </w:rPr>
        <w:t>授予中小企业合同金额90.67万元，占政府采购支出总额的100.00%，其中：授予小微企业合同金额86.00万元，占政府采购支出总额的94.85%。</w:t>
      </w:r>
    </w:p>
    <w:p w14:paraId="1BEB2F79">
      <w:pPr>
        <w:spacing w:line="640" w:lineRule="exact"/>
        <w:ind w:firstLine="640"/>
        <w:jc w:val="both"/>
        <w:outlineLvl w:val="3"/>
      </w:pPr>
      <w:r>
        <w:rPr>
          <w:rFonts w:ascii="楷体_GB2312" w:hAnsi="楷体_GB2312" w:eastAsia="楷体_GB2312"/>
          <w:b/>
          <w:sz w:val="32"/>
        </w:rPr>
        <w:t>（三）国有资产占用情况说明</w:t>
      </w:r>
    </w:p>
    <w:p w14:paraId="7069AC80">
      <w:pPr>
        <w:spacing w:line="580" w:lineRule="exact"/>
        <w:ind w:firstLine="640"/>
        <w:jc w:val="both"/>
      </w:pPr>
      <w:r>
        <w:rPr>
          <w:rFonts w:ascii="仿宋_GB2312" w:hAnsi="仿宋_GB2312" w:eastAsia="仿宋_GB2312"/>
          <w:b w:val="0"/>
          <w:sz w:val="32"/>
        </w:rPr>
        <w:t>截至2024年12月31日，房屋4,792.76平方米，价值304.94万元。车辆15辆，价值357.95万元，其中：副部（省）级及以上领导用车0辆、主要负责人用车0辆、机要通信用车0辆、应急保障用车0辆、执法执勤用车0辆、特种专业技术用车0辆、离退休干部服务用车0辆、其他用车15辆，其他用车主要是：一般公务用车和单位业务用车。单价100万元（含）以上设备（不含车辆）0台（套）。</w:t>
      </w:r>
    </w:p>
    <w:p w14:paraId="1CC84B70">
      <w:pPr>
        <w:spacing w:line="640" w:lineRule="exact"/>
        <w:ind w:firstLine="640"/>
        <w:jc w:val="both"/>
        <w:outlineLvl w:val="2"/>
      </w:pPr>
      <w:r>
        <w:rPr>
          <w:rFonts w:ascii="黑体" w:hAnsi="黑体" w:eastAsia="黑体"/>
          <w:sz w:val="32"/>
        </w:rPr>
        <w:t>十一、预算绩效的情况说明</w:t>
      </w:r>
    </w:p>
    <w:p w14:paraId="054DEE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1,501.62万元，实际执行总额1,501.62万元；预算绩效评价项目1个，全年预算数400.00万元，全年执行数400.00万元。预算绩效管理取得的成效：一是积极构建完善预算绩效管理体系。二是不断提升目标编制的科学性和精准性。三是严格把控资金流向和使用进度。发现的问题及原因：发现的问题及原因：一是由于上级交办统计调查监测任务的突发性，一些无法预计和列入年初预算的项目支出，需要在年度中间进行预算追加和调整；二是由于县政府采购（包括项目评估）招标进度原因，存在安排了县政府采购预算未能在年度内实施的情况，需进行年度项目资金结转。下一步改进措施：一是加强组织领导。统一思想，加强领导，明确责任，完善绩效评价管理制度，为绩效评价工作开展创造好的条件；二是细化预算指标，提高预算科学性。具体附整体支出绩效自评表，项目支出绩效自评表和评价报告。</w:t>
      </w:r>
    </w:p>
    <w:p w14:paraId="425DED5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627"/>
        <w:gridCol w:w="478"/>
        <w:gridCol w:w="484"/>
        <w:gridCol w:w="621"/>
        <w:gridCol w:w="719"/>
        <w:gridCol w:w="386"/>
        <w:gridCol w:w="595"/>
        <w:gridCol w:w="510"/>
        <w:gridCol w:w="407"/>
        <w:gridCol w:w="698"/>
      </w:tblGrid>
      <w:tr w14:paraId="39BE675D">
        <w:tblPrEx>
          <w:tblCellMar>
            <w:top w:w="0" w:type="dxa"/>
            <w:left w:w="108" w:type="dxa"/>
            <w:bottom w:w="0" w:type="dxa"/>
            <w:right w:w="108" w:type="dxa"/>
          </w:tblCellMar>
        </w:tblPrEx>
        <w:tc>
          <w:tcPr>
            <w:tcW w:w="8840" w:type="dxa"/>
            <w:gridSpan w:val="13"/>
            <w:vAlign w:val="center"/>
          </w:tcPr>
          <w:p w14:paraId="17E334AD">
            <w:pPr>
              <w:jc w:val="center"/>
            </w:pPr>
            <w:r>
              <w:rPr>
                <w:rFonts w:ascii="宋体" w:hAnsi="宋体" w:eastAsia="宋体"/>
                <w:sz w:val="24"/>
              </w:rPr>
              <w:t>单位整体支出绩效自评表</w:t>
            </w:r>
          </w:p>
        </w:tc>
      </w:tr>
      <w:tr w14:paraId="19A3CB95">
        <w:tblPrEx>
          <w:tblCellMar>
            <w:top w:w="0" w:type="dxa"/>
            <w:left w:w="108" w:type="dxa"/>
            <w:bottom w:w="0" w:type="dxa"/>
            <w:right w:w="108" w:type="dxa"/>
          </w:tblCellMar>
        </w:tblPrEx>
        <w:tc>
          <w:tcPr>
            <w:tcW w:w="8840" w:type="dxa"/>
            <w:gridSpan w:val="13"/>
            <w:vAlign w:val="center"/>
          </w:tcPr>
          <w:p w14:paraId="319123E2">
            <w:pPr>
              <w:jc w:val="center"/>
            </w:pPr>
            <w:r>
              <w:rPr>
                <w:rFonts w:ascii="宋体" w:hAnsi="宋体" w:eastAsia="宋体"/>
                <w:sz w:val="24"/>
              </w:rPr>
              <w:t>（2024年度）</w:t>
            </w:r>
          </w:p>
        </w:tc>
      </w:tr>
      <w:tr w14:paraId="39CB773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575CF">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59A6C52">
            <w:pPr>
              <w:jc w:val="center"/>
            </w:pPr>
            <w:r>
              <w:rPr>
                <w:rFonts w:ascii="宋体" w:hAnsi="宋体" w:eastAsia="宋体"/>
                <w:sz w:val="16"/>
              </w:rPr>
              <w:t>裕民县人民政府办公室</w:t>
            </w:r>
          </w:p>
        </w:tc>
      </w:tr>
      <w:tr w14:paraId="44EF3F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79F1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D79B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D92CD">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EEA02">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A965">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BB7F">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B0A4">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7BCA7">
            <w:pPr>
              <w:jc w:val="center"/>
            </w:pPr>
            <w:r>
              <w:rPr>
                <w:rFonts w:ascii="宋体" w:hAnsi="宋体" w:eastAsia="宋体"/>
                <w:sz w:val="16"/>
              </w:rPr>
              <w:t>得分</w:t>
            </w:r>
          </w:p>
        </w:tc>
      </w:tr>
      <w:tr w14:paraId="1D8499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28D8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3662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A67B7">
            <w:pPr>
              <w:jc w:val="center"/>
            </w:pPr>
            <w:r>
              <w:rPr>
                <w:rFonts w:ascii="宋体" w:hAnsi="宋体" w:eastAsia="宋体"/>
                <w:sz w:val="16"/>
              </w:rPr>
              <w:t>1,108.39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344E">
            <w:pPr>
              <w:jc w:val="center"/>
            </w:pPr>
            <w:r>
              <w:rPr>
                <w:rFonts w:ascii="宋体" w:hAnsi="宋体" w:eastAsia="宋体"/>
                <w:sz w:val="16"/>
              </w:rPr>
              <w:t>1,501.62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996B0">
            <w:pPr>
              <w:jc w:val="center"/>
            </w:pPr>
            <w:r>
              <w:rPr>
                <w:rFonts w:ascii="宋体" w:hAnsi="宋体" w:eastAsia="宋体"/>
                <w:sz w:val="16"/>
              </w:rPr>
              <w:t>1,501.62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A6507">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A746">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1D34">
            <w:pPr>
              <w:jc w:val="center"/>
            </w:pPr>
            <w:r>
              <w:rPr>
                <w:rFonts w:ascii="宋体" w:hAnsi="宋体" w:eastAsia="宋体"/>
                <w:sz w:val="16"/>
              </w:rPr>
              <w:t>10</w:t>
            </w:r>
          </w:p>
        </w:tc>
      </w:tr>
      <w:tr w14:paraId="553734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B43D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C4C5C">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ADC09">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8414">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569F2">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1A2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0576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0F4B">
            <w:pPr>
              <w:jc w:val="center"/>
            </w:pPr>
            <w:r>
              <w:rPr>
                <w:rFonts w:ascii="宋体" w:hAnsi="宋体" w:eastAsia="宋体"/>
                <w:sz w:val="16"/>
              </w:rPr>
              <w:t>-</w:t>
            </w:r>
          </w:p>
        </w:tc>
      </w:tr>
      <w:tr w14:paraId="49281A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EFCA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1D96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48247">
            <w:pPr>
              <w:jc w:val="center"/>
            </w:pPr>
            <w:r>
              <w:rPr>
                <w:rFonts w:ascii="宋体" w:hAnsi="宋体" w:eastAsia="宋体"/>
                <w:sz w:val="16"/>
              </w:rPr>
              <w:t>1,108.39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40A0E">
            <w:pPr>
              <w:jc w:val="center"/>
            </w:pPr>
            <w:r>
              <w:rPr>
                <w:rFonts w:ascii="宋体" w:hAnsi="宋体" w:eastAsia="宋体"/>
                <w:sz w:val="16"/>
              </w:rPr>
              <w:t>1,501.62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979F">
            <w:pPr>
              <w:jc w:val="center"/>
            </w:pPr>
            <w:r>
              <w:rPr>
                <w:rFonts w:ascii="宋体" w:hAnsi="宋体" w:eastAsia="宋体"/>
                <w:sz w:val="16"/>
              </w:rPr>
              <w:t>1,501.62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51E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30577">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55DD">
            <w:pPr>
              <w:jc w:val="center"/>
            </w:pPr>
            <w:r>
              <w:rPr>
                <w:rFonts w:ascii="宋体" w:hAnsi="宋体" w:eastAsia="宋体"/>
                <w:sz w:val="16"/>
              </w:rPr>
              <w:t>-</w:t>
            </w:r>
          </w:p>
        </w:tc>
      </w:tr>
      <w:tr w14:paraId="3039F4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EAA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C6FA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A9FC9">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6CD7">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5F510">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2C248">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4C08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6828F">
            <w:pPr>
              <w:jc w:val="center"/>
            </w:pPr>
            <w:r>
              <w:rPr>
                <w:rFonts w:ascii="宋体" w:hAnsi="宋体" w:eastAsia="宋体"/>
                <w:sz w:val="16"/>
              </w:rPr>
              <w:t>-</w:t>
            </w:r>
          </w:p>
        </w:tc>
      </w:tr>
      <w:tr w14:paraId="559F35D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5851E">
            <w:pPr>
              <w:jc w:val="center"/>
            </w:pPr>
            <w:r>
              <w:rPr>
                <w:rFonts w:ascii="宋体" w:hAnsi="宋体" w:eastAsia="宋体"/>
                <w:sz w:val="16"/>
              </w:rPr>
              <w:t>年度总体目标</w:t>
            </w:r>
          </w:p>
        </w:tc>
        <w:tc>
          <w:tcPr>
            <w:tcW w:w="379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DD0DE0">
            <w:pPr>
              <w:jc w:val="center"/>
            </w:pPr>
            <w:r>
              <w:rPr>
                <w:rFonts w:ascii="宋体" w:hAnsi="宋体" w:eastAsia="宋体"/>
                <w:sz w:val="16"/>
              </w:rPr>
              <w:t>预期目标</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A55AA">
            <w:pPr>
              <w:jc w:val="center"/>
            </w:pPr>
            <w:r>
              <w:rPr>
                <w:rFonts w:ascii="宋体" w:hAnsi="宋体" w:eastAsia="宋体"/>
                <w:sz w:val="16"/>
              </w:rPr>
              <w:t>实际完成情况</w:t>
            </w:r>
          </w:p>
        </w:tc>
      </w:tr>
      <w:tr w14:paraId="0117BB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C627D"/>
        </w:tc>
        <w:tc>
          <w:tcPr>
            <w:tcW w:w="379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770D91">
            <w:pPr>
              <w:jc w:val="both"/>
            </w:pPr>
            <w:r>
              <w:rPr>
                <w:rFonts w:ascii="宋体" w:hAnsi="宋体" w:eastAsia="宋体"/>
                <w:sz w:val="16"/>
              </w:rPr>
              <w:t>负责县人民政府各类会议的会务工作，裕民县人民政府领导同志组织实施会议决定事项。裕民县人民政府领导同志组织起草或审核以县人民政府、县人民政府办公室名义发布的公文。研究县人民政府各工作部门和各乡镇（区）人民政府请示县人民政府的事项，提出审核意见，报县人民政府领导同志审定。承担县</w:t>
            </w:r>
            <w:r>
              <w:rPr>
                <w:rFonts w:hint="eastAsia" w:ascii="宋体" w:hAnsi="宋体"/>
                <w:sz w:val="16"/>
                <w:lang w:eastAsia="zh-CN"/>
              </w:rPr>
              <w:t>人民政府办公室</w:t>
            </w:r>
            <w:r>
              <w:rPr>
                <w:rFonts w:ascii="宋体" w:hAnsi="宋体" w:eastAsia="宋体"/>
                <w:sz w:val="16"/>
              </w:rPr>
              <w:t>文件、文稿的起草、修改、校对、翻译、印发和日常文书处理工作，负责县人民政府机关值班工作，及时报告各乡镇（区）人民政府、县人民政府各部门主要情况，协助处理各乡镇（区）、各部门向县人民政府反映的重要问题，传达、督促落实县人民政府领导同志的指示、批示精神。</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2AC5B">
            <w:pPr>
              <w:jc w:val="both"/>
            </w:pPr>
            <w:r>
              <w:rPr>
                <w:rFonts w:ascii="宋体" w:hAnsi="宋体" w:eastAsia="宋体"/>
                <w:sz w:val="16"/>
              </w:rPr>
              <w:t>负责县人民政府各类会议的会务工作，裕民县人民政府领导同志组织实施会议决定事项。裕民县人民政府领导同志组织起草或审核以县人民政府、县人民政府办公室名义发布的公文。研究县人民政府各工作部门和各乡镇（区）人民政府请示县人民政府的事项，提出审核意见，报县人民政府领导同志审定。承担县</w:t>
            </w:r>
            <w:r>
              <w:rPr>
                <w:rFonts w:hint="eastAsia" w:ascii="宋体" w:hAnsi="宋体"/>
                <w:sz w:val="16"/>
                <w:lang w:eastAsia="zh-CN"/>
              </w:rPr>
              <w:t>人民政府办公室</w:t>
            </w:r>
            <w:r>
              <w:rPr>
                <w:rFonts w:ascii="宋体" w:hAnsi="宋体" w:eastAsia="宋体"/>
                <w:sz w:val="16"/>
              </w:rPr>
              <w:t>文件、文稿的起草、修改、校对、翻译、印发和日常文书处理工作，负责县人民政府机关值班工作，及时报告各乡镇（区）人民政府、县人民政府各部门主要情况，协助处理各乡镇（区）、各部门向县人民政府反映的重要问题，传达、督促落实县人民政府领导同志的指示、批示精神。</w:t>
            </w:r>
          </w:p>
        </w:tc>
      </w:tr>
      <w:tr w14:paraId="6127B3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51FF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C528D">
            <w:pPr>
              <w:jc w:val="center"/>
            </w:pPr>
            <w:r>
              <w:rPr>
                <w:rFonts w:ascii="宋体" w:hAnsi="宋体" w:eastAsia="宋体"/>
                <w:sz w:val="16"/>
              </w:rPr>
              <w:t>二级指标</w:t>
            </w:r>
          </w:p>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D0EDE">
            <w:pPr>
              <w:jc w:val="center"/>
            </w:pPr>
            <w:r>
              <w:rPr>
                <w:rFonts w:ascii="宋体" w:hAnsi="宋体" w:eastAsia="宋体"/>
                <w:sz w:val="16"/>
              </w:rPr>
              <w:t>三级指标</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34C4">
            <w:pPr>
              <w:jc w:val="center"/>
            </w:pPr>
            <w:r>
              <w:rPr>
                <w:rFonts w:ascii="宋体" w:hAnsi="宋体" w:eastAsia="宋体"/>
                <w:sz w:val="16"/>
              </w:rPr>
              <w:t>预期指标值</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A483">
            <w:pPr>
              <w:jc w:val="center"/>
            </w:pPr>
            <w:r>
              <w:rPr>
                <w:rFonts w:ascii="宋体" w:hAnsi="宋体" w:eastAsia="宋体"/>
                <w:sz w:val="16"/>
              </w:rPr>
              <w:t>指标值设定依据</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B9D2">
            <w:pPr>
              <w:jc w:val="center"/>
            </w:pPr>
            <w:r>
              <w:rPr>
                <w:rFonts w:ascii="宋体" w:hAnsi="宋体" w:eastAsia="宋体"/>
                <w:sz w:val="16"/>
              </w:rPr>
              <w:t>分值权重</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6DA32">
            <w:pPr>
              <w:jc w:val="center"/>
            </w:pPr>
            <w:r>
              <w:rPr>
                <w:rFonts w:ascii="宋体" w:hAnsi="宋体" w:eastAsia="宋体"/>
                <w:sz w:val="16"/>
              </w:rPr>
              <w:t>实际完成指标值</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6BBCAA48">
            <w:pPr>
              <w:jc w:val="center"/>
            </w:pPr>
            <w:r>
              <w:rPr>
                <w:rFonts w:ascii="宋体" w:hAnsi="宋体" w:eastAsia="宋体"/>
                <w:sz w:val="16"/>
              </w:rPr>
              <w:t>得分</w:t>
            </w:r>
          </w:p>
        </w:tc>
      </w:tr>
      <w:tr w14:paraId="3F3EB3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AD35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3C9C1">
            <w:pPr>
              <w:jc w:val="center"/>
            </w:pPr>
            <w:r>
              <w:rPr>
                <w:rFonts w:ascii="宋体" w:hAnsi="宋体" w:eastAsia="宋体"/>
                <w:sz w:val="16"/>
              </w:rPr>
              <w:t>数量指标</w:t>
            </w:r>
          </w:p>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A1C40">
            <w:pPr>
              <w:jc w:val="center"/>
            </w:pPr>
            <w:r>
              <w:rPr>
                <w:rFonts w:ascii="宋体" w:hAnsi="宋体" w:eastAsia="宋体"/>
                <w:sz w:val="16"/>
              </w:rPr>
              <w:t>开展政治学习次数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D896">
            <w:pPr>
              <w:jc w:val="center"/>
            </w:pPr>
            <w:r>
              <w:rPr>
                <w:rFonts w:ascii="宋体" w:hAnsi="宋体" w:eastAsia="宋体"/>
                <w:sz w:val="16"/>
              </w:rPr>
              <w:t>&gt;=48次</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0C0C">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77EE">
            <w:pPr>
              <w:jc w:val="center"/>
            </w:pPr>
            <w:r>
              <w:rPr>
                <w:rFonts w:ascii="宋体" w:hAnsi="宋体" w:eastAsia="宋体"/>
                <w:sz w:val="16"/>
              </w:rPr>
              <w:t>15</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0175">
            <w:pPr>
              <w:jc w:val="center"/>
            </w:pPr>
            <w:r>
              <w:rPr>
                <w:rFonts w:ascii="宋体" w:hAnsi="宋体" w:eastAsia="宋体"/>
                <w:sz w:val="16"/>
              </w:rPr>
              <w:t>48次</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799605FC">
            <w:pPr>
              <w:jc w:val="center"/>
            </w:pPr>
            <w:r>
              <w:rPr>
                <w:rFonts w:ascii="宋体" w:hAnsi="宋体" w:eastAsia="宋体"/>
                <w:sz w:val="16"/>
              </w:rPr>
              <w:t>15</w:t>
            </w:r>
          </w:p>
        </w:tc>
      </w:tr>
      <w:tr w14:paraId="4F7737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B302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0A8C6E"/>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A93EA">
            <w:pPr>
              <w:jc w:val="center"/>
            </w:pPr>
            <w:r>
              <w:rPr>
                <w:rFonts w:hint="eastAsia" w:ascii="宋体" w:hAnsi="宋体"/>
                <w:sz w:val="16"/>
                <w:lang w:eastAsia="zh-CN"/>
              </w:rPr>
              <w:t>召开</w:t>
            </w:r>
            <w:r>
              <w:rPr>
                <w:rFonts w:ascii="宋体" w:hAnsi="宋体" w:eastAsia="宋体"/>
                <w:sz w:val="16"/>
              </w:rPr>
              <w:t>党组织会议次数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C2F05">
            <w:pPr>
              <w:jc w:val="center"/>
            </w:pPr>
            <w:r>
              <w:rPr>
                <w:rFonts w:ascii="宋体" w:hAnsi="宋体" w:eastAsia="宋体"/>
                <w:sz w:val="16"/>
              </w:rPr>
              <w:t>&gt;=12次</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15D6">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1BEF">
            <w:pPr>
              <w:jc w:val="center"/>
            </w:pPr>
            <w:r>
              <w:rPr>
                <w:rFonts w:ascii="宋体" w:hAnsi="宋体" w:eastAsia="宋体"/>
                <w:sz w:val="16"/>
              </w:rPr>
              <w:t>15</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C42C2">
            <w:pPr>
              <w:jc w:val="center"/>
            </w:pPr>
            <w:r>
              <w:rPr>
                <w:rFonts w:ascii="宋体" w:hAnsi="宋体" w:eastAsia="宋体"/>
                <w:sz w:val="16"/>
              </w:rPr>
              <w:t>25次</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0D6DCF03">
            <w:pPr>
              <w:jc w:val="center"/>
            </w:pPr>
            <w:r>
              <w:rPr>
                <w:rFonts w:ascii="宋体" w:hAnsi="宋体" w:eastAsia="宋体"/>
                <w:sz w:val="16"/>
              </w:rPr>
              <w:t>15</w:t>
            </w:r>
          </w:p>
        </w:tc>
      </w:tr>
      <w:tr w14:paraId="146B59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ADFE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927895"/>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5192">
            <w:pPr>
              <w:jc w:val="center"/>
            </w:pPr>
            <w:r>
              <w:rPr>
                <w:rFonts w:ascii="宋体" w:hAnsi="宋体" w:eastAsia="宋体"/>
                <w:sz w:val="16"/>
              </w:rPr>
              <w:t>开展志愿活动次数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99590">
            <w:pPr>
              <w:jc w:val="center"/>
            </w:pPr>
            <w:r>
              <w:rPr>
                <w:rFonts w:ascii="宋体" w:hAnsi="宋体" w:eastAsia="宋体"/>
                <w:sz w:val="16"/>
              </w:rPr>
              <w:t>&gt;=24次</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429C">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B40E3">
            <w:pPr>
              <w:jc w:val="center"/>
            </w:pPr>
            <w:r>
              <w:rPr>
                <w:rFonts w:ascii="宋体" w:hAnsi="宋体" w:eastAsia="宋体"/>
                <w:sz w:val="16"/>
              </w:rPr>
              <w:t>15</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55D4">
            <w:pPr>
              <w:jc w:val="center"/>
            </w:pPr>
            <w:r>
              <w:rPr>
                <w:rFonts w:ascii="宋体" w:hAnsi="宋体" w:eastAsia="宋体"/>
                <w:sz w:val="16"/>
              </w:rPr>
              <w:t>25次</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2C086D2F">
            <w:pPr>
              <w:jc w:val="center"/>
            </w:pPr>
            <w:r>
              <w:rPr>
                <w:rFonts w:ascii="宋体" w:hAnsi="宋体" w:eastAsia="宋体"/>
                <w:sz w:val="16"/>
              </w:rPr>
              <w:t>15</w:t>
            </w:r>
          </w:p>
        </w:tc>
      </w:tr>
      <w:tr w14:paraId="161389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C41A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E3DF1D"/>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07C1">
            <w:pPr>
              <w:jc w:val="center"/>
            </w:pPr>
            <w:r>
              <w:rPr>
                <w:rFonts w:ascii="宋体" w:hAnsi="宋体" w:eastAsia="宋体"/>
                <w:sz w:val="16"/>
              </w:rPr>
              <w:t>撰写交流材料篇数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9CCB4">
            <w:pPr>
              <w:jc w:val="center"/>
            </w:pPr>
            <w:r>
              <w:rPr>
                <w:rFonts w:ascii="宋体" w:hAnsi="宋体" w:eastAsia="宋体"/>
                <w:sz w:val="16"/>
              </w:rPr>
              <w:t>&gt;=80篇</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57E49">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14D4">
            <w:pPr>
              <w:jc w:val="center"/>
            </w:pPr>
            <w:r>
              <w:rPr>
                <w:rFonts w:ascii="宋体" w:hAnsi="宋体" w:eastAsia="宋体"/>
                <w:sz w:val="16"/>
              </w:rPr>
              <w:t>15</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90904">
            <w:pPr>
              <w:jc w:val="center"/>
            </w:pPr>
            <w:r>
              <w:rPr>
                <w:rFonts w:ascii="宋体" w:hAnsi="宋体" w:eastAsia="宋体"/>
                <w:sz w:val="16"/>
              </w:rPr>
              <w:t>80篇</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AAA1D73">
            <w:pPr>
              <w:jc w:val="center"/>
            </w:pPr>
            <w:r>
              <w:rPr>
                <w:rFonts w:ascii="宋体" w:hAnsi="宋体" w:eastAsia="宋体"/>
                <w:sz w:val="16"/>
              </w:rPr>
              <w:t>15</w:t>
            </w:r>
          </w:p>
        </w:tc>
      </w:tr>
      <w:tr w14:paraId="1E4ACC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69A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D7EDB"/>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ECA47">
            <w:pPr>
              <w:jc w:val="center"/>
            </w:pPr>
            <w:r>
              <w:rPr>
                <w:rFonts w:ascii="宋体" w:hAnsi="宋体" w:eastAsia="宋体"/>
                <w:sz w:val="16"/>
              </w:rPr>
              <w:t>发布各类要闻条数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7305">
            <w:pPr>
              <w:jc w:val="center"/>
            </w:pPr>
            <w:r>
              <w:rPr>
                <w:rFonts w:ascii="宋体" w:hAnsi="宋体" w:eastAsia="宋体"/>
                <w:sz w:val="16"/>
              </w:rPr>
              <w:t>&gt;=280条</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8E66C">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63FB">
            <w:pPr>
              <w:jc w:val="center"/>
            </w:pPr>
            <w:r>
              <w:rPr>
                <w:rFonts w:ascii="宋体" w:hAnsi="宋体" w:eastAsia="宋体"/>
                <w:sz w:val="16"/>
              </w:rPr>
              <w:t>10</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3C66">
            <w:pPr>
              <w:jc w:val="center"/>
            </w:pPr>
            <w:r>
              <w:rPr>
                <w:rFonts w:ascii="宋体" w:hAnsi="宋体" w:eastAsia="宋体"/>
                <w:sz w:val="16"/>
              </w:rPr>
              <w:t>281条</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4367F2F0">
            <w:pPr>
              <w:jc w:val="center"/>
            </w:pPr>
            <w:r>
              <w:rPr>
                <w:rFonts w:ascii="宋体" w:hAnsi="宋体" w:eastAsia="宋体"/>
                <w:sz w:val="16"/>
              </w:rPr>
              <w:t>10</w:t>
            </w:r>
          </w:p>
        </w:tc>
      </w:tr>
      <w:tr w14:paraId="24CC30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736C4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05AB7"/>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D0D1D">
            <w:pPr>
              <w:jc w:val="center"/>
            </w:pPr>
            <w:r>
              <w:rPr>
                <w:rFonts w:ascii="宋体" w:hAnsi="宋体" w:eastAsia="宋体"/>
                <w:sz w:val="16"/>
              </w:rPr>
              <w:t>受理各类投诉件数</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213A">
            <w:pPr>
              <w:jc w:val="center"/>
            </w:pPr>
            <w:r>
              <w:rPr>
                <w:rFonts w:ascii="宋体" w:hAnsi="宋体" w:eastAsia="宋体"/>
                <w:sz w:val="16"/>
              </w:rPr>
              <w:t>&gt;=1100件</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A0CE8">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D71B">
            <w:pPr>
              <w:jc w:val="center"/>
            </w:pPr>
            <w:r>
              <w:rPr>
                <w:rFonts w:ascii="宋体" w:hAnsi="宋体" w:eastAsia="宋体"/>
                <w:sz w:val="16"/>
              </w:rPr>
              <w:t>10</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9527">
            <w:pPr>
              <w:jc w:val="center"/>
            </w:pPr>
            <w:r>
              <w:rPr>
                <w:rFonts w:ascii="宋体" w:hAnsi="宋体" w:eastAsia="宋体"/>
                <w:sz w:val="16"/>
              </w:rPr>
              <w:t>1140件</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15064D84">
            <w:pPr>
              <w:jc w:val="center"/>
            </w:pPr>
            <w:r>
              <w:rPr>
                <w:rFonts w:ascii="宋体" w:hAnsi="宋体" w:eastAsia="宋体"/>
                <w:sz w:val="16"/>
              </w:rPr>
              <w:t>10</w:t>
            </w:r>
          </w:p>
        </w:tc>
      </w:tr>
      <w:tr w14:paraId="1DD1F2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746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DD2E6">
            <w:pPr>
              <w:jc w:val="center"/>
            </w:pPr>
            <w:r>
              <w:rPr>
                <w:rFonts w:ascii="宋体" w:hAnsi="宋体" w:eastAsia="宋体"/>
                <w:sz w:val="16"/>
              </w:rPr>
              <w:t>质量指标</w:t>
            </w:r>
          </w:p>
        </w:tc>
        <w:tc>
          <w:tcPr>
            <w:tcW w:w="1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C8B7C">
            <w:pPr>
              <w:jc w:val="center"/>
            </w:pPr>
            <w:r>
              <w:rPr>
                <w:rFonts w:ascii="宋体" w:hAnsi="宋体" w:eastAsia="宋体"/>
                <w:sz w:val="16"/>
              </w:rPr>
              <w:t>按时办案率</w:t>
            </w:r>
          </w:p>
        </w:tc>
        <w:tc>
          <w:tcPr>
            <w:tcW w:w="9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5831">
            <w:pPr>
              <w:jc w:val="center"/>
            </w:pPr>
            <w:r>
              <w:rPr>
                <w:rFonts w:ascii="宋体" w:hAnsi="宋体" w:eastAsia="宋体"/>
                <w:sz w:val="16"/>
              </w:rPr>
              <w:t>&gt;=95%</w:t>
            </w:r>
          </w:p>
        </w:tc>
        <w:tc>
          <w:tcPr>
            <w:tcW w:w="13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F4BF">
            <w:pPr>
              <w:jc w:val="center"/>
            </w:pPr>
            <w:r>
              <w:rPr>
                <w:rFonts w:ascii="宋体" w:hAnsi="宋体" w:eastAsia="宋体"/>
                <w:sz w:val="16"/>
              </w:rPr>
              <w:t>工作计划</w:t>
            </w:r>
          </w:p>
        </w:tc>
        <w:tc>
          <w:tcPr>
            <w:tcW w:w="9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3075">
            <w:pPr>
              <w:jc w:val="center"/>
            </w:pPr>
            <w:r>
              <w:rPr>
                <w:rFonts w:ascii="宋体" w:hAnsi="宋体" w:eastAsia="宋体"/>
                <w:sz w:val="16"/>
              </w:rPr>
              <w:t>10</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A95DB">
            <w:pPr>
              <w:jc w:val="center"/>
            </w:pPr>
            <w:r>
              <w:rPr>
                <w:rFonts w:ascii="宋体" w:hAnsi="宋体" w:eastAsia="宋体"/>
                <w:sz w:val="16"/>
              </w:rPr>
              <w:t>99.89%</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F9517AB">
            <w:pPr>
              <w:jc w:val="center"/>
            </w:pPr>
            <w:r>
              <w:rPr>
                <w:rFonts w:ascii="宋体" w:hAnsi="宋体" w:eastAsia="宋体"/>
                <w:sz w:val="16"/>
              </w:rPr>
              <w:t>10</w:t>
            </w:r>
          </w:p>
        </w:tc>
      </w:tr>
    </w:tbl>
    <w:p w14:paraId="3FB9A2EB">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696"/>
        <w:gridCol w:w="776"/>
        <w:gridCol w:w="697"/>
        <w:gridCol w:w="630"/>
      </w:tblGrid>
      <w:tr w14:paraId="2E6BBE76">
        <w:tblPrEx>
          <w:tblCellMar>
            <w:top w:w="0" w:type="dxa"/>
            <w:left w:w="108" w:type="dxa"/>
            <w:bottom w:w="0" w:type="dxa"/>
            <w:right w:w="108" w:type="dxa"/>
          </w:tblCellMar>
        </w:tblPrEx>
        <w:tc>
          <w:tcPr>
            <w:tcW w:w="8848" w:type="dxa"/>
            <w:gridSpan w:val="14"/>
            <w:vAlign w:val="center"/>
          </w:tcPr>
          <w:p w14:paraId="7C6784E2">
            <w:pPr>
              <w:jc w:val="center"/>
            </w:pPr>
            <w:r>
              <w:rPr>
                <w:rFonts w:ascii="宋体" w:hAnsi="宋体" w:eastAsia="宋体"/>
                <w:sz w:val="24"/>
              </w:rPr>
              <w:t>项目支出绩效自评表</w:t>
            </w:r>
          </w:p>
        </w:tc>
      </w:tr>
      <w:tr w14:paraId="2FD486FA">
        <w:tblPrEx>
          <w:tblCellMar>
            <w:top w:w="0" w:type="dxa"/>
            <w:left w:w="108" w:type="dxa"/>
            <w:bottom w:w="0" w:type="dxa"/>
            <w:right w:w="108" w:type="dxa"/>
          </w:tblCellMar>
        </w:tblPrEx>
        <w:tc>
          <w:tcPr>
            <w:tcW w:w="8848" w:type="dxa"/>
            <w:gridSpan w:val="14"/>
            <w:vAlign w:val="center"/>
          </w:tcPr>
          <w:p w14:paraId="161A64AB">
            <w:pPr>
              <w:jc w:val="center"/>
            </w:pPr>
            <w:r>
              <w:rPr>
                <w:rFonts w:ascii="宋体" w:hAnsi="宋体" w:eastAsia="宋体"/>
                <w:sz w:val="24"/>
              </w:rPr>
              <w:t>(2024年度)</w:t>
            </w:r>
          </w:p>
        </w:tc>
      </w:tr>
      <w:tr w14:paraId="1398A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16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A65523">
            <w:pPr>
              <w:jc w:val="center"/>
            </w:pPr>
            <w:r>
              <w:rPr>
                <w:rFonts w:ascii="宋体" w:hAnsi="宋体" w:eastAsia="宋体"/>
                <w:sz w:val="16"/>
              </w:rPr>
              <w:t>裕党财办</w:t>
            </w:r>
            <w:r>
              <w:rPr>
                <w:rFonts w:hint="eastAsia" w:ascii="宋体" w:hAnsi="宋体"/>
                <w:sz w:val="16"/>
                <w:lang w:eastAsia="zh-CN"/>
              </w:rPr>
              <w:t>〔2023〕80号</w:t>
            </w:r>
            <w:r>
              <w:rPr>
                <w:rFonts w:ascii="宋体" w:hAnsi="宋体" w:eastAsia="宋体"/>
                <w:sz w:val="16"/>
              </w:rPr>
              <w:t>裕民县人才公寓建设（设计-采购=施工）项目</w:t>
            </w:r>
          </w:p>
        </w:tc>
      </w:tr>
      <w:tr w14:paraId="09F0AA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F5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3AEA9">
            <w:pPr>
              <w:jc w:val="center"/>
            </w:pPr>
            <w:r>
              <w:rPr>
                <w:rFonts w:ascii="宋体" w:hAnsi="宋体" w:eastAsia="宋体"/>
                <w:sz w:val="16"/>
              </w:rPr>
              <w:t>裕民县人民政府办公室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1E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04254">
            <w:pPr>
              <w:jc w:val="center"/>
            </w:pPr>
            <w:r>
              <w:rPr>
                <w:rFonts w:ascii="宋体" w:hAnsi="宋体" w:eastAsia="宋体"/>
                <w:sz w:val="16"/>
              </w:rPr>
              <w:t>裕民县人民政府办公室</w:t>
            </w:r>
          </w:p>
        </w:tc>
      </w:tr>
      <w:tr w14:paraId="2246D2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7A7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288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29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92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547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6AE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31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5A0A">
            <w:pPr>
              <w:jc w:val="center"/>
            </w:pPr>
            <w:r>
              <w:rPr>
                <w:rFonts w:ascii="宋体" w:hAnsi="宋体" w:eastAsia="宋体"/>
                <w:sz w:val="16"/>
              </w:rPr>
              <w:t>得分</w:t>
            </w:r>
          </w:p>
        </w:tc>
      </w:tr>
      <w:tr w14:paraId="03AC4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DC2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F6F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FB482">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9AC6">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D6B0">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E7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2E9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5BD3">
            <w:pPr>
              <w:jc w:val="center"/>
            </w:pPr>
            <w:r>
              <w:rPr>
                <w:rFonts w:ascii="宋体" w:hAnsi="宋体" w:eastAsia="宋体"/>
                <w:sz w:val="16"/>
              </w:rPr>
              <w:t>10.00</w:t>
            </w:r>
          </w:p>
        </w:tc>
      </w:tr>
      <w:tr w14:paraId="76795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B68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6CC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429B">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6C26E">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466A">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B6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094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0875">
            <w:pPr>
              <w:jc w:val="center"/>
            </w:pPr>
            <w:r>
              <w:rPr>
                <w:rFonts w:ascii="宋体" w:hAnsi="宋体" w:eastAsia="宋体"/>
                <w:sz w:val="16"/>
              </w:rPr>
              <w:t>—</w:t>
            </w:r>
          </w:p>
        </w:tc>
      </w:tr>
      <w:tr w14:paraId="40242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75E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50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A1A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EF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A75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9F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EC7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74E3">
            <w:pPr>
              <w:jc w:val="center"/>
            </w:pPr>
            <w:r>
              <w:rPr>
                <w:rFonts w:ascii="宋体" w:hAnsi="宋体" w:eastAsia="宋体"/>
                <w:sz w:val="16"/>
              </w:rPr>
              <w:t>—</w:t>
            </w:r>
          </w:p>
        </w:tc>
      </w:tr>
      <w:tr w14:paraId="70A5F2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C85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9B5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7BCC67">
            <w:pPr>
              <w:jc w:val="center"/>
            </w:pPr>
            <w:r>
              <w:rPr>
                <w:rFonts w:ascii="宋体" w:hAnsi="宋体" w:eastAsia="宋体"/>
                <w:sz w:val="16"/>
              </w:rPr>
              <w:t>实际完成情况</w:t>
            </w:r>
          </w:p>
        </w:tc>
      </w:tr>
      <w:tr w14:paraId="16A06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498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6374E">
            <w:pPr>
              <w:jc w:val="both"/>
            </w:pPr>
            <w:r>
              <w:rPr>
                <w:rFonts w:ascii="宋体" w:hAnsi="宋体" w:eastAsia="宋体"/>
                <w:sz w:val="16"/>
              </w:rPr>
              <w:t>裕党财办</w:t>
            </w:r>
            <w:r>
              <w:rPr>
                <w:rFonts w:hint="eastAsia" w:ascii="宋体" w:hAnsi="宋体"/>
                <w:sz w:val="16"/>
                <w:lang w:eastAsia="zh-CN"/>
              </w:rPr>
              <w:t>〔2023〕80号</w:t>
            </w:r>
            <w:r>
              <w:rPr>
                <w:rFonts w:ascii="宋体" w:hAnsi="宋体" w:eastAsia="宋体"/>
                <w:sz w:val="16"/>
              </w:rPr>
              <w:t>裕民县人才公寓建设（设计-采购=施工）项目为更好</w:t>
            </w:r>
            <w:r>
              <w:rPr>
                <w:rFonts w:hint="eastAsia" w:ascii="宋体" w:hAnsi="宋体"/>
                <w:sz w:val="16"/>
                <w:lang w:eastAsia="zh-CN"/>
              </w:rPr>
              <w:t>地</w:t>
            </w:r>
            <w:r>
              <w:rPr>
                <w:rFonts w:ascii="宋体" w:hAnsi="宋体" w:eastAsia="宋体"/>
                <w:sz w:val="16"/>
              </w:rPr>
              <w:t>落实人才强县战略，实施人才公寓工程，努力解决人才住房的后顾之忧，吸引人才、留住人才扎根我县，2023年计划实施裕民县人才公寓项目。新建筑1栋人才公寓楼，面积为2986.52平方米，地上6层，总高19米，耐火等级地上二级，建筑抗震设防等级为7度，屋面防水等级1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1CEAE0">
            <w:pPr>
              <w:jc w:val="both"/>
            </w:pPr>
            <w:r>
              <w:rPr>
                <w:rFonts w:ascii="宋体" w:hAnsi="宋体" w:eastAsia="宋体"/>
                <w:sz w:val="16"/>
              </w:rPr>
              <w:t>新建筑1栋人才公寓楼，面积为3000平方米，地上6层，总高19米，耐火等级地上二级，建筑抗震设防等级为7度，屋面防水等级1级</w:t>
            </w:r>
          </w:p>
        </w:tc>
      </w:tr>
      <w:tr w14:paraId="030523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073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31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A6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CC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801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DC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69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401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A6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3D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60E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0C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2B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746B">
            <w:pPr>
              <w:jc w:val="center"/>
            </w:pPr>
            <w:r>
              <w:rPr>
                <w:rFonts w:ascii="宋体" w:hAnsi="宋体" w:eastAsia="宋体"/>
                <w:sz w:val="16"/>
              </w:rPr>
              <w:t>偏差原因分析及改进措施</w:t>
            </w:r>
          </w:p>
        </w:tc>
      </w:tr>
      <w:tr w14:paraId="174D2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2D9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3BD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192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F8D">
            <w:pPr>
              <w:jc w:val="center"/>
            </w:pPr>
            <w:r>
              <w:rPr>
                <w:rFonts w:ascii="宋体" w:hAnsi="宋体" w:eastAsia="宋体"/>
                <w:sz w:val="16"/>
              </w:rPr>
              <w:t>新建人才公寓面积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10E9">
            <w:pPr>
              <w:jc w:val="center"/>
            </w:pPr>
            <w:r>
              <w:rPr>
                <w:rFonts w:ascii="宋体" w:hAnsi="宋体" w:eastAsia="宋体"/>
                <w:sz w:val="16"/>
              </w:rPr>
              <w:t>&gt;=2986.52平方米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5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DD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F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C6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FE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CDDD">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6AF6">
            <w:pPr>
              <w:jc w:val="center"/>
            </w:pPr>
            <w:r>
              <w:rPr>
                <w:rFonts w:ascii="宋体" w:hAnsi="宋体" w:eastAsia="宋体"/>
                <w:sz w:val="16"/>
              </w:rPr>
              <w:t>100.45%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8F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4243">
            <w:pPr>
              <w:jc w:val="center"/>
            </w:pPr>
          </w:p>
        </w:tc>
      </w:tr>
      <w:tr w14:paraId="2C4D2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BB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D3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DF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1FAD">
            <w:pPr>
              <w:jc w:val="center"/>
            </w:pPr>
            <w:r>
              <w:rPr>
                <w:rFonts w:ascii="宋体" w:hAnsi="宋体" w:eastAsia="宋体"/>
                <w:sz w:val="16"/>
              </w:rPr>
              <w:t>新建人才公寓数量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BD00">
            <w:pPr>
              <w:jc w:val="center"/>
            </w:pPr>
            <w:r>
              <w:rPr>
                <w:rFonts w:ascii="宋体" w:hAnsi="宋体" w:eastAsia="宋体"/>
                <w:sz w:val="16"/>
              </w:rPr>
              <w:t>&gt;=1栋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A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A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4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9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78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C6C0">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2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66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56A3">
            <w:pPr>
              <w:jc w:val="center"/>
            </w:pPr>
          </w:p>
        </w:tc>
      </w:tr>
      <w:tr w14:paraId="3E5CC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CC7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79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92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60E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1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B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3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8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1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F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D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D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F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B49D">
            <w:pPr>
              <w:jc w:val="center"/>
            </w:pPr>
          </w:p>
        </w:tc>
      </w:tr>
      <w:tr w14:paraId="13D7D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2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58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4C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81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85B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D4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8E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E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F9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C4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DAE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F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08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C37C">
            <w:pPr>
              <w:jc w:val="center"/>
            </w:pPr>
          </w:p>
        </w:tc>
      </w:tr>
      <w:tr w14:paraId="5656D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29C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A39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B91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5824">
            <w:pPr>
              <w:jc w:val="center"/>
            </w:pPr>
            <w:r>
              <w:rPr>
                <w:rFonts w:ascii="宋体" w:hAnsi="宋体" w:eastAsia="宋体"/>
                <w:sz w:val="16"/>
              </w:rPr>
              <w:t>设计服务设计费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8912">
            <w:pPr>
              <w:jc w:val="center"/>
            </w:pPr>
            <w:r>
              <w:rPr>
                <w:rFonts w:ascii="宋体" w:hAnsi="宋体" w:eastAsia="宋体"/>
                <w:sz w:val="16"/>
              </w:rPr>
              <w:t>&lt;=49.96万元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8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A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D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5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98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A804">
            <w:pPr>
              <w:jc w:val="center"/>
            </w:pPr>
            <w:r>
              <w:rPr>
                <w:rFonts w:ascii="宋体" w:hAnsi="宋体" w:eastAsia="宋体"/>
                <w:sz w:val="16"/>
              </w:rPr>
              <w:t>49.96万元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3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1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21BD">
            <w:pPr>
              <w:jc w:val="center"/>
            </w:pPr>
          </w:p>
        </w:tc>
      </w:tr>
      <w:tr w14:paraId="5BA7C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FA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DA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19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82BD">
            <w:pPr>
              <w:jc w:val="center"/>
            </w:pPr>
            <w:r>
              <w:rPr>
                <w:rFonts w:ascii="宋体" w:hAnsi="宋体" w:eastAsia="宋体"/>
                <w:sz w:val="16"/>
              </w:rPr>
              <w:t>建筑服务工程服务费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85BC">
            <w:pPr>
              <w:jc w:val="center"/>
            </w:pPr>
            <w:r>
              <w:rPr>
                <w:rFonts w:ascii="宋体" w:hAnsi="宋体" w:eastAsia="宋体"/>
                <w:sz w:val="16"/>
              </w:rPr>
              <w:t>&lt;=350.04万元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1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5D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8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5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26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2610">
            <w:pPr>
              <w:jc w:val="center"/>
            </w:pPr>
            <w:r>
              <w:rPr>
                <w:rFonts w:ascii="宋体" w:hAnsi="宋体" w:eastAsia="宋体"/>
                <w:sz w:val="16"/>
              </w:rPr>
              <w:t>350.04万元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0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2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4597">
            <w:pPr>
              <w:jc w:val="center"/>
            </w:pPr>
          </w:p>
        </w:tc>
      </w:tr>
      <w:tr w14:paraId="269F8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9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06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10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C7DA">
            <w:pPr>
              <w:jc w:val="center"/>
            </w:pPr>
            <w:r>
              <w:rPr>
                <w:rFonts w:ascii="宋体" w:hAnsi="宋体" w:eastAsia="宋体"/>
                <w:sz w:val="16"/>
              </w:rPr>
              <w:t>促进经济增长带动人才流入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AB5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4D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3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AF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50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8E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424D">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0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E2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CD21">
            <w:pPr>
              <w:jc w:val="center"/>
            </w:pPr>
          </w:p>
        </w:tc>
      </w:tr>
      <w:tr w14:paraId="7CB2B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4B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42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6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FC5F">
            <w:pPr>
              <w:jc w:val="center"/>
            </w:pPr>
            <w:r>
              <w:rPr>
                <w:rFonts w:ascii="宋体" w:hAnsi="宋体" w:eastAsia="宋体"/>
                <w:sz w:val="16"/>
              </w:rPr>
              <w:t>人才干部满意度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59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2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F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E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BB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90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DE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7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C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128B">
            <w:pPr>
              <w:jc w:val="center"/>
            </w:pPr>
          </w:p>
        </w:tc>
      </w:tr>
      <w:tr w14:paraId="64D243C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F648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BE7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AE2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49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E6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770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EA6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2DF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753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C61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938AD"/>
        </w:tc>
      </w:tr>
    </w:tbl>
    <w:p w14:paraId="7D41CB42">
      <w:r>
        <w:br w:type="page"/>
      </w:r>
    </w:p>
    <w:p w14:paraId="2B2D914D">
      <w:pPr>
        <w:spacing w:line="640" w:lineRule="exact"/>
        <w:ind w:firstLine="640"/>
        <w:jc w:val="both"/>
        <w:outlineLvl w:val="2"/>
      </w:pPr>
      <w:r>
        <w:rPr>
          <w:rFonts w:ascii="黑体" w:hAnsi="黑体" w:eastAsia="黑体"/>
          <w:sz w:val="32"/>
        </w:rPr>
        <w:t>十二、其他需说明的事项</w:t>
      </w:r>
    </w:p>
    <w:p w14:paraId="3E0499F7">
      <w:pPr>
        <w:spacing w:line="580" w:lineRule="exact"/>
        <w:ind w:firstLine="640"/>
        <w:jc w:val="both"/>
      </w:pPr>
      <w:r>
        <w:rPr>
          <w:rFonts w:ascii="仿宋_GB2312" w:hAnsi="仿宋_GB2312" w:eastAsia="仿宋_GB2312"/>
          <w:b w:val="0"/>
          <w:sz w:val="32"/>
        </w:rPr>
        <w:t>本单位无其他需说明的事项。</w:t>
      </w:r>
    </w:p>
    <w:p w14:paraId="4076B074">
      <w:r>
        <w:br w:type="page"/>
      </w:r>
    </w:p>
    <w:p w14:paraId="74135598">
      <w:pPr>
        <w:spacing w:line="240" w:lineRule="auto"/>
        <w:jc w:val="center"/>
        <w:outlineLvl w:val="1"/>
      </w:pPr>
      <w:r>
        <w:rPr>
          <w:rFonts w:ascii="黑体" w:hAnsi="黑体" w:eastAsia="黑体"/>
          <w:sz w:val="32"/>
        </w:rPr>
        <w:t>第三部分 专业名词解释</w:t>
      </w:r>
    </w:p>
    <w:p w14:paraId="4C7EF83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9BF1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9FC6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0A59D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3184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DE9AB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B733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35AFD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5F37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9A7A9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87DCE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5401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A4E1E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53B8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BB2099">
      <w:r>
        <w:br w:type="page"/>
      </w:r>
    </w:p>
    <w:p w14:paraId="63587418">
      <w:pPr>
        <w:spacing w:line="240" w:lineRule="auto"/>
        <w:jc w:val="center"/>
        <w:outlineLvl w:val="1"/>
      </w:pPr>
      <w:r>
        <w:rPr>
          <w:rFonts w:ascii="黑体" w:hAnsi="黑体" w:eastAsia="黑体"/>
          <w:sz w:val="32"/>
        </w:rPr>
        <w:t>第四部分 部门决算报表（见附表）</w:t>
      </w:r>
    </w:p>
    <w:p w14:paraId="116FFBBC">
      <w:pPr>
        <w:spacing w:line="240" w:lineRule="auto"/>
        <w:ind w:firstLine="640"/>
        <w:jc w:val="both"/>
      </w:pPr>
      <w:r>
        <w:rPr>
          <w:rFonts w:ascii="仿宋_GB2312" w:hAnsi="仿宋_GB2312" w:eastAsia="仿宋_GB2312"/>
          <w:b w:val="0"/>
          <w:sz w:val="32"/>
        </w:rPr>
        <w:t>一、《收入支出决算总表》</w:t>
      </w:r>
    </w:p>
    <w:p w14:paraId="13E987EE">
      <w:pPr>
        <w:spacing w:line="240" w:lineRule="auto"/>
        <w:ind w:firstLine="640"/>
        <w:jc w:val="both"/>
      </w:pPr>
      <w:r>
        <w:rPr>
          <w:rFonts w:ascii="仿宋_GB2312" w:hAnsi="仿宋_GB2312" w:eastAsia="仿宋_GB2312"/>
          <w:b w:val="0"/>
          <w:sz w:val="32"/>
        </w:rPr>
        <w:t>二、《收入决算表》</w:t>
      </w:r>
    </w:p>
    <w:p w14:paraId="288AB155">
      <w:pPr>
        <w:spacing w:line="240" w:lineRule="auto"/>
        <w:ind w:firstLine="640"/>
        <w:jc w:val="both"/>
      </w:pPr>
      <w:r>
        <w:rPr>
          <w:rFonts w:ascii="仿宋_GB2312" w:hAnsi="仿宋_GB2312" w:eastAsia="仿宋_GB2312"/>
          <w:b w:val="0"/>
          <w:sz w:val="32"/>
        </w:rPr>
        <w:t>三、《支出决算表》</w:t>
      </w:r>
    </w:p>
    <w:p w14:paraId="4F20BB0F">
      <w:pPr>
        <w:spacing w:line="240" w:lineRule="auto"/>
        <w:ind w:firstLine="640"/>
        <w:jc w:val="both"/>
      </w:pPr>
      <w:r>
        <w:rPr>
          <w:rFonts w:ascii="仿宋_GB2312" w:hAnsi="仿宋_GB2312" w:eastAsia="仿宋_GB2312"/>
          <w:b w:val="0"/>
          <w:sz w:val="32"/>
        </w:rPr>
        <w:t>四、《财政拨款收入支出决算总表》</w:t>
      </w:r>
    </w:p>
    <w:p w14:paraId="61D9B847">
      <w:pPr>
        <w:spacing w:line="240" w:lineRule="auto"/>
        <w:ind w:firstLine="640"/>
        <w:jc w:val="both"/>
      </w:pPr>
      <w:r>
        <w:rPr>
          <w:rFonts w:ascii="仿宋_GB2312" w:hAnsi="仿宋_GB2312" w:eastAsia="仿宋_GB2312"/>
          <w:b w:val="0"/>
          <w:sz w:val="32"/>
        </w:rPr>
        <w:t>五、《一般公共预算财政拨款支出决算表》</w:t>
      </w:r>
    </w:p>
    <w:p w14:paraId="54D1B7CF">
      <w:pPr>
        <w:spacing w:line="240" w:lineRule="auto"/>
        <w:ind w:firstLine="640"/>
        <w:jc w:val="both"/>
      </w:pPr>
      <w:r>
        <w:rPr>
          <w:rFonts w:ascii="仿宋_GB2312" w:hAnsi="仿宋_GB2312" w:eastAsia="仿宋_GB2312"/>
          <w:b w:val="0"/>
          <w:sz w:val="32"/>
        </w:rPr>
        <w:t>六、《一般公共预算财政拨款基本支出决算表》</w:t>
      </w:r>
    </w:p>
    <w:p w14:paraId="66714C5E">
      <w:pPr>
        <w:spacing w:line="240" w:lineRule="auto"/>
        <w:ind w:firstLine="640"/>
        <w:jc w:val="both"/>
      </w:pPr>
      <w:r>
        <w:rPr>
          <w:rFonts w:ascii="仿宋_GB2312" w:hAnsi="仿宋_GB2312" w:eastAsia="仿宋_GB2312"/>
          <w:b w:val="0"/>
          <w:sz w:val="32"/>
        </w:rPr>
        <w:t>七、《政府性基金预算财政拨款收入支出决算表》</w:t>
      </w:r>
    </w:p>
    <w:p w14:paraId="2882A4B7">
      <w:pPr>
        <w:spacing w:line="240" w:lineRule="auto"/>
        <w:ind w:firstLine="640"/>
        <w:jc w:val="both"/>
      </w:pPr>
      <w:r>
        <w:rPr>
          <w:rFonts w:ascii="仿宋_GB2312" w:hAnsi="仿宋_GB2312" w:eastAsia="仿宋_GB2312"/>
          <w:b w:val="0"/>
          <w:sz w:val="32"/>
        </w:rPr>
        <w:t>八、《国有资本经营预算财政拨款收入支出决算表》</w:t>
      </w:r>
    </w:p>
    <w:p w14:paraId="6291B221">
      <w:pPr>
        <w:spacing w:line="240" w:lineRule="auto"/>
        <w:ind w:firstLine="640"/>
        <w:jc w:val="both"/>
      </w:pPr>
      <w:r>
        <w:rPr>
          <w:rFonts w:ascii="仿宋_GB2312" w:hAnsi="仿宋_GB2312" w:eastAsia="仿宋_GB2312"/>
          <w:b w:val="0"/>
          <w:sz w:val="32"/>
        </w:rPr>
        <w:t>九、《财政拨款“三公”经费支出决算表》</w:t>
      </w:r>
    </w:p>
    <w:p w14:paraId="03B3C621">
      <w:pPr>
        <w:spacing w:line="240" w:lineRule="auto"/>
        <w:ind w:firstLine="640"/>
        <w:jc w:val="both"/>
      </w:pPr>
    </w:p>
    <w:p w14:paraId="3E47E449">
      <w:pPr>
        <w:spacing w:line="240" w:lineRule="auto"/>
        <w:ind w:firstLine="640"/>
        <w:jc w:val="both"/>
      </w:pPr>
    </w:p>
    <w:p w14:paraId="51AAA0B9">
      <w:pPr>
        <w:spacing w:line="240" w:lineRule="auto"/>
        <w:ind w:firstLine="640"/>
        <w:jc w:val="both"/>
      </w:pPr>
    </w:p>
    <w:p w14:paraId="26EB3A3A">
      <w:pPr>
        <w:spacing w:line="240" w:lineRule="auto"/>
        <w:ind w:firstLine="640"/>
        <w:jc w:val="both"/>
      </w:pPr>
    </w:p>
    <w:p w14:paraId="3FCA62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BC3F60-3043-47A1-B1A0-639B8F55BB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1CE9D38-57E4-4F13-91B4-166F06714136}"/>
  </w:font>
  <w:font w:name="仿宋_GB2312">
    <w:panose1 w:val="02010609030101010101"/>
    <w:charset w:val="86"/>
    <w:family w:val="auto"/>
    <w:pitch w:val="default"/>
    <w:sig w:usb0="00000001" w:usb1="080E0000" w:usb2="00000000" w:usb3="00000000" w:csb0="00040000" w:csb1="00000000"/>
    <w:embedRegular r:id="rId3" w:fontKey="{EF0A7BE8-BD03-45EF-906F-6045C1AFF347}"/>
  </w:font>
  <w:font w:name="楷体_GB2312">
    <w:panose1 w:val="02010609030101010101"/>
    <w:charset w:val="86"/>
    <w:family w:val="auto"/>
    <w:pitch w:val="default"/>
    <w:sig w:usb0="00000001" w:usb1="080E0000" w:usb2="00000000" w:usb3="00000000" w:csb0="00040000" w:csb1="00000000"/>
    <w:embedRegular r:id="rId4" w:fontKey="{8D5168E1-7A3E-482C-A819-46EC05641A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E903CF"/>
    <w:rsid w:val="02F73D26"/>
    <w:rsid w:val="034D4FEF"/>
    <w:rsid w:val="043E5B56"/>
    <w:rsid w:val="06792773"/>
    <w:rsid w:val="09A729D8"/>
    <w:rsid w:val="0A3C58E8"/>
    <w:rsid w:val="0A7B4867"/>
    <w:rsid w:val="0B8C3ECC"/>
    <w:rsid w:val="0C3613A3"/>
    <w:rsid w:val="0C6C39C0"/>
    <w:rsid w:val="0C7227A7"/>
    <w:rsid w:val="0DCA6EF7"/>
    <w:rsid w:val="0E4B1576"/>
    <w:rsid w:val="0EA04331"/>
    <w:rsid w:val="0F9811B3"/>
    <w:rsid w:val="11E15093"/>
    <w:rsid w:val="120E0809"/>
    <w:rsid w:val="175956C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1E13C9"/>
    <w:rsid w:val="3D5275AC"/>
    <w:rsid w:val="3E2E7003"/>
    <w:rsid w:val="3EA7725F"/>
    <w:rsid w:val="3EC014A1"/>
    <w:rsid w:val="40834692"/>
    <w:rsid w:val="423A32B2"/>
    <w:rsid w:val="423C0CB4"/>
    <w:rsid w:val="427B5743"/>
    <w:rsid w:val="42E64542"/>
    <w:rsid w:val="44FF0DB1"/>
    <w:rsid w:val="464B7E04"/>
    <w:rsid w:val="464F7E64"/>
    <w:rsid w:val="46901EEE"/>
    <w:rsid w:val="469C74D2"/>
    <w:rsid w:val="47445515"/>
    <w:rsid w:val="4A3D027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2F6528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126CF1"/>
    <w:rsid w:val="73423603"/>
    <w:rsid w:val="737A5923"/>
    <w:rsid w:val="73DE4104"/>
    <w:rsid w:val="73FB6630"/>
    <w:rsid w:val="74CE04EC"/>
    <w:rsid w:val="74E76DCD"/>
    <w:rsid w:val="76660D7C"/>
    <w:rsid w:val="76B62309"/>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bf181f83-cb51-4c85-9424-f9da26d5a0f7</errorID>
      <errorWord>群众和</errorWord>
      <group>L1_Word</group>
      <groupName>字词问题</groupName>
      <ability>L2_Typo</ability>
      <abilityName>字词错误</abilityName>
      <candidateList>
        <item>群众</item>
      </candidateList>
      <explain>〈名〉❶泛指人民大众：～大会｜深入～｜听取～的意见。❷指没有加入共产党、共青团组织的人。❸指不担任领导职务的人。</explain>
      <paraID>7460E13F</paraID>
      <start>43</start>
      <end>46</end>
      <status>ignored</status>
      <modifiedWord/>
      <trackRevisions>false</trackRevisions>
    </reviewItem>
    <reviewItem>
      <errorID>34bd6734-17c2-423e-a4a0-6408f69e275d</errorID>
      <errorWord>开展</errorWord>
      <group>L1_Word</group>
      <groupName>字词问题</groupName>
      <ability>L2_Typo</ability>
      <abilityName>字词错误</abilityName>
      <candidateList>
        <item>召开</item>
      </candidateList>
      <explain>“开展～会议”搭配不当，建议修改为“召开～会议”。</explain>
      <paraID>5792592F</paraID>
      <start>23</start>
      <end>25</end>
      <status>ignored</status>
      <modifiedWord/>
      <trackRevisions>false</trackRevisions>
    </reviewItem>
    <reviewItem>
      <errorID>e731eeb9-e603-40fe-88e5-1cbe126e64db</errorID>
      <errorWord>2月31日</errorWord>
      <group>L1_Sensitive</group>
      <groupName>敏感问题</groupName>
      <ability>L2_UserSensitive</ability>
      <abilityName>自定义敏感词</abilityName>
      <candidateList/>
      <explain>来自自定义敏感词库。</explain>
      <paraID>7069AC80</paraID>
      <start>8</start>
      <end>13</end>
      <status>ignored</status>
      <modifiedWord/>
      <trackRevisions>false</trackRevisions>
    </reviewItem>
    <reviewItem>
      <errorID>0567d496-6a31-42df-850f-72cbc41d1c98</errorID>
      <errorWord>开展</errorWord>
      <group>L1_Word</group>
      <groupName>字词问题</groupName>
      <ability>L2_Typo</ability>
      <abilityName>字词错误</abilityName>
      <candidateList>
        <item>召开</item>
      </candidateList>
      <explain>“开展～会议”搭配不当，建议修改为“召开～会议”。</explain>
      <paraID>211A93EA</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1435b-5dd3-448c-8144-b8ac3a018760}">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5931</Words>
  <Characters>6801</Characters>
  <Lines>0</Lines>
  <Paragraphs>0</Paragraphs>
  <TotalTime>13</TotalTime>
  <ScaleCrop>false</ScaleCrop>
  <LinksUpToDate>false</LinksUpToDate>
  <CharactersWithSpaces>6809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