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中国人民政治协商会议新疆维吾尔自治区裕民县委员会2024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841D00D">
      <w:r>
        <w:br w:type="page"/>
      </w:r>
    </w:p>
    <w:p w14:paraId="29341BC7">
      <w:pPr>
        <w:spacing w:line="640" w:lineRule="exact"/>
        <w:jc w:val="center"/>
        <w:outlineLvl w:val="1"/>
      </w:pPr>
      <w:r>
        <w:rPr>
          <w:rFonts w:ascii="黑体" w:hAnsi="黑体" w:eastAsia="黑体"/>
          <w:sz w:val="32"/>
        </w:rPr>
        <w:t>第一部分 单位概况</w:t>
      </w:r>
    </w:p>
    <w:p w14:paraId="640AA777">
      <w:pPr>
        <w:spacing w:line="640" w:lineRule="exact"/>
        <w:ind w:firstLine="640"/>
        <w:jc w:val="both"/>
        <w:outlineLvl w:val="2"/>
      </w:pPr>
      <w:r>
        <w:rPr>
          <w:rFonts w:ascii="黑体" w:hAnsi="黑体" w:eastAsia="黑体"/>
          <w:sz w:val="32"/>
        </w:rPr>
        <w:t>一、主要职能</w:t>
      </w:r>
    </w:p>
    <w:p w14:paraId="77CF1453">
      <w:pPr>
        <w:spacing w:line="580" w:lineRule="exact"/>
        <w:ind w:firstLine="640"/>
        <w:jc w:val="both"/>
      </w:pPr>
      <w:r>
        <w:rPr>
          <w:rFonts w:ascii="仿宋_GB2312" w:hAnsi="仿宋_GB2312" w:eastAsia="仿宋_GB2312"/>
          <w:sz w:val="32"/>
        </w:rPr>
        <w:t>政协的主要职能是政治协商、参政议政与民主监督，政治协商是对国家和地方的大政方针以及政治、经济、文化和社会生活中的重要问题在决策之前进行协商和就决策执行过程中的重要问题进行协商;民主监督是对国家宪法、法律和法规的实施，重大方针政策的贯彻执行，国家机关及其工作人员的工作，通过建议和批评进行监督；参政议政是政治协商、民主监督的拓展和延伸，是组织参加政协的各党派、各团体和各族各界人士以多种形式参与国家政治生活的概括性表述。</w:t>
      </w:r>
    </w:p>
    <w:p w14:paraId="5CF5B619">
      <w:pPr>
        <w:spacing w:line="640" w:lineRule="exact"/>
        <w:ind w:firstLine="640"/>
        <w:jc w:val="both"/>
        <w:outlineLvl w:val="2"/>
      </w:pPr>
      <w:r>
        <w:rPr>
          <w:rFonts w:ascii="黑体" w:hAnsi="黑体" w:eastAsia="黑体"/>
          <w:sz w:val="32"/>
        </w:rPr>
        <w:t>二、机构设置及人员情况</w:t>
      </w:r>
    </w:p>
    <w:p w14:paraId="04991DA5">
      <w:pPr>
        <w:spacing w:line="580" w:lineRule="exact"/>
        <w:ind w:firstLine="640"/>
        <w:jc w:val="both"/>
      </w:pPr>
      <w:r>
        <w:rPr>
          <w:rFonts w:ascii="仿宋_GB2312" w:hAnsi="仿宋_GB2312" w:eastAsia="仿宋_GB2312"/>
          <w:sz w:val="32"/>
        </w:rPr>
        <w:t>中国人民政治协商会议新疆维吾尔自治区裕民县委员会2024年度，实有人数46人，其中：在职人员14人，增加0人；离休人员0人，增加0人；退休人员32人,增加3人。</w:t>
      </w:r>
    </w:p>
    <w:p w14:paraId="342C72DF">
      <w:pPr>
        <w:spacing w:line="580" w:lineRule="exact"/>
        <w:ind w:firstLine="640"/>
        <w:jc w:val="both"/>
      </w:pPr>
      <w:r>
        <w:rPr>
          <w:rFonts w:ascii="仿宋_GB2312" w:hAnsi="仿宋_GB2312" w:eastAsia="仿宋_GB2312"/>
          <w:sz w:val="32"/>
        </w:rPr>
        <w:t>中国人民政治协商会议新疆维吾尔自治区裕民县委员会无下属预算单位，下设3个科室，分别是：办公室、综合委员会、文史资料中心。</w:t>
      </w:r>
    </w:p>
    <w:p w14:paraId="56729A42">
      <w:r>
        <w:br w:type="page"/>
      </w:r>
    </w:p>
    <w:p w14:paraId="2F551BE9">
      <w:pPr>
        <w:spacing w:line="240" w:lineRule="auto"/>
        <w:jc w:val="center"/>
        <w:outlineLvl w:val="1"/>
      </w:pPr>
      <w:r>
        <w:rPr>
          <w:rFonts w:ascii="黑体" w:hAnsi="黑体" w:eastAsia="黑体"/>
          <w:sz w:val="32"/>
        </w:rPr>
        <w:t>第二部分 部门决算情况说明</w:t>
      </w:r>
    </w:p>
    <w:p w14:paraId="7C002B5D">
      <w:pPr>
        <w:spacing w:line="640" w:lineRule="exact"/>
        <w:ind w:firstLine="640"/>
        <w:jc w:val="both"/>
        <w:outlineLvl w:val="2"/>
      </w:pPr>
      <w:r>
        <w:rPr>
          <w:rFonts w:ascii="黑体" w:hAnsi="黑体" w:eastAsia="黑体"/>
          <w:sz w:val="32"/>
        </w:rPr>
        <w:t>一、收入支出决算总体情况说明</w:t>
      </w:r>
    </w:p>
    <w:p w14:paraId="788CADC6">
      <w:pPr>
        <w:spacing w:line="580" w:lineRule="exact"/>
        <w:ind w:firstLine="640"/>
        <w:jc w:val="both"/>
      </w:pPr>
      <w:r>
        <w:rPr>
          <w:rFonts w:ascii="仿宋_GB2312" w:hAnsi="仿宋_GB2312" w:eastAsia="仿宋_GB2312"/>
          <w:b/>
          <w:sz w:val="32"/>
        </w:rPr>
        <w:t>2024年度收入总计407.84万元，</w:t>
      </w:r>
      <w:r>
        <w:rPr>
          <w:rFonts w:ascii="仿宋_GB2312" w:hAnsi="仿宋_GB2312" w:eastAsia="仿宋_GB2312"/>
          <w:b w:val="0"/>
          <w:sz w:val="32"/>
        </w:rPr>
        <w:t>其中：本年收入合计407.84万元，使用非财政拨款结余（含专用结余）0.00万元，年初结转和结余0.00万元。</w:t>
      </w:r>
    </w:p>
    <w:p w14:paraId="6BD4AAC5">
      <w:pPr>
        <w:spacing w:line="580" w:lineRule="exact"/>
        <w:ind w:firstLine="640"/>
        <w:jc w:val="both"/>
      </w:pPr>
      <w:r>
        <w:rPr>
          <w:rFonts w:ascii="仿宋_GB2312" w:hAnsi="仿宋_GB2312" w:eastAsia="仿宋_GB2312"/>
          <w:b/>
          <w:sz w:val="32"/>
        </w:rPr>
        <w:t>2024年度支出总计407.84万元，</w:t>
      </w:r>
      <w:r>
        <w:rPr>
          <w:rFonts w:ascii="仿宋_GB2312" w:hAnsi="仿宋_GB2312" w:eastAsia="仿宋_GB2312"/>
          <w:b w:val="0"/>
          <w:sz w:val="32"/>
        </w:rPr>
        <w:t>其中：本年支出合计407.84万元，结余分配0.00万元，年末结转和结余0.00万元。</w:t>
      </w:r>
    </w:p>
    <w:p w14:paraId="77E3FE62">
      <w:pPr>
        <w:spacing w:line="580" w:lineRule="exact"/>
        <w:ind w:firstLine="640"/>
        <w:jc w:val="both"/>
      </w:pPr>
      <w:r>
        <w:rPr>
          <w:rFonts w:ascii="仿宋_GB2312" w:hAnsi="仿宋_GB2312" w:eastAsia="仿宋_GB2312"/>
          <w:b w:val="0"/>
          <w:sz w:val="32"/>
        </w:rPr>
        <w:t>收入支出总体与上年相比，增加46.22万元，增长12.78%，主要原因是：</w:t>
      </w:r>
      <w:r>
        <w:rPr>
          <w:rFonts w:hint="eastAsia" w:ascii="仿宋_GB2312" w:hAnsi="仿宋_GB2312" w:eastAsia="仿宋_GB2312"/>
          <w:b w:val="0"/>
          <w:sz w:val="32"/>
          <w:lang w:val="en-US" w:eastAsia="zh-CN"/>
        </w:rPr>
        <w:t>一是本年退休人员增加，职业年金增加；二是退休人员去世1人，增加人员抚恤金。</w:t>
      </w:r>
    </w:p>
    <w:p w14:paraId="0FE562FF">
      <w:pPr>
        <w:spacing w:line="640" w:lineRule="exact"/>
        <w:ind w:firstLine="640"/>
        <w:jc w:val="both"/>
        <w:outlineLvl w:val="2"/>
      </w:pPr>
      <w:r>
        <w:rPr>
          <w:rFonts w:ascii="黑体" w:hAnsi="黑体" w:eastAsia="黑体"/>
          <w:sz w:val="32"/>
        </w:rPr>
        <w:t>二、收入决算情况说明</w:t>
      </w:r>
    </w:p>
    <w:p w14:paraId="15ED7104">
      <w:pPr>
        <w:spacing w:line="580" w:lineRule="exact"/>
        <w:ind w:firstLine="640"/>
        <w:jc w:val="both"/>
      </w:pPr>
      <w:r>
        <w:rPr>
          <w:rFonts w:ascii="仿宋_GB2312" w:hAnsi="仿宋_GB2312" w:eastAsia="仿宋_GB2312"/>
          <w:b/>
          <w:sz w:val="32"/>
        </w:rPr>
        <w:t>本年收入407.84万元，</w:t>
      </w:r>
      <w:r>
        <w:rPr>
          <w:rFonts w:ascii="仿宋_GB2312" w:hAnsi="仿宋_GB2312" w:eastAsia="仿宋_GB2312"/>
          <w:b w:val="0"/>
          <w:sz w:val="32"/>
        </w:rPr>
        <w:t>其中：财政拨款收入407.84万元，占100.00%；上级补助收入0.00万元，占0.00%；事业收入0.00万元，占0.00%；经营收入0.00万元，占0.00%；附属单位上缴收入0.00万元，占0.00%；其他收入0.00万元，占0.00%。</w:t>
      </w:r>
    </w:p>
    <w:p w14:paraId="4F45B955">
      <w:pPr>
        <w:spacing w:line="640" w:lineRule="exact"/>
        <w:ind w:firstLine="640"/>
        <w:jc w:val="both"/>
        <w:outlineLvl w:val="2"/>
      </w:pPr>
      <w:r>
        <w:rPr>
          <w:rFonts w:ascii="黑体" w:hAnsi="黑体" w:eastAsia="黑体"/>
          <w:sz w:val="32"/>
        </w:rPr>
        <w:t>三、支出决算情况说明</w:t>
      </w:r>
    </w:p>
    <w:p w14:paraId="5F19489C">
      <w:pPr>
        <w:spacing w:line="580" w:lineRule="exact"/>
        <w:ind w:firstLine="640"/>
        <w:jc w:val="both"/>
      </w:pPr>
      <w:r>
        <w:rPr>
          <w:rFonts w:ascii="仿宋_GB2312" w:hAnsi="仿宋_GB2312" w:eastAsia="仿宋_GB2312"/>
          <w:b/>
          <w:sz w:val="32"/>
        </w:rPr>
        <w:t>本年支出407.84万元，</w:t>
      </w:r>
      <w:r>
        <w:rPr>
          <w:rFonts w:ascii="仿宋_GB2312" w:hAnsi="仿宋_GB2312" w:eastAsia="仿宋_GB2312"/>
          <w:b w:val="0"/>
          <w:sz w:val="32"/>
        </w:rPr>
        <w:t>其中：基本支出395.05万元，占96.86%；项目支出12.79万元，占3.14%；上缴上级支出0.00万元，占0.00%；经营支出0.00万元，占0.00%；对附属单位补助支出0.00万元，占0.00%。</w:t>
      </w:r>
    </w:p>
    <w:p w14:paraId="49FCC39E">
      <w:pPr>
        <w:spacing w:line="640" w:lineRule="exact"/>
        <w:ind w:firstLine="640"/>
        <w:jc w:val="both"/>
        <w:outlineLvl w:val="2"/>
      </w:pPr>
      <w:r>
        <w:rPr>
          <w:rFonts w:ascii="黑体" w:hAnsi="黑体" w:eastAsia="黑体"/>
          <w:sz w:val="32"/>
        </w:rPr>
        <w:t>四、财政拨款收入支出决算总体情况说明</w:t>
      </w:r>
    </w:p>
    <w:p w14:paraId="32F825EC">
      <w:pPr>
        <w:spacing w:line="580" w:lineRule="exact"/>
        <w:ind w:firstLine="640"/>
        <w:jc w:val="both"/>
      </w:pPr>
      <w:r>
        <w:rPr>
          <w:rFonts w:ascii="仿宋_GB2312" w:hAnsi="仿宋_GB2312" w:eastAsia="仿宋_GB2312"/>
          <w:b/>
          <w:sz w:val="32"/>
        </w:rPr>
        <w:t>2024年度财政拨款收入总计407.84万元，</w:t>
      </w:r>
      <w:r>
        <w:rPr>
          <w:rFonts w:ascii="仿宋_GB2312" w:hAnsi="仿宋_GB2312" w:eastAsia="仿宋_GB2312"/>
          <w:b w:val="0"/>
          <w:sz w:val="32"/>
        </w:rPr>
        <w:t>其中：年初财政拨款结转和结余0.00万元，本年财政拨款收入407.84万元。</w:t>
      </w:r>
      <w:r>
        <w:rPr>
          <w:rFonts w:ascii="仿宋_GB2312" w:hAnsi="仿宋_GB2312" w:eastAsia="仿宋_GB2312"/>
          <w:b/>
          <w:sz w:val="32"/>
        </w:rPr>
        <w:t>财政拨款支出总计407.84万元，</w:t>
      </w:r>
      <w:r>
        <w:rPr>
          <w:rFonts w:ascii="仿宋_GB2312" w:hAnsi="仿宋_GB2312" w:eastAsia="仿宋_GB2312"/>
          <w:b w:val="0"/>
          <w:sz w:val="32"/>
        </w:rPr>
        <w:t>其中：年末财政拨款结转和结余0.00万元，本年财政拨款支出407.84万元。</w:t>
      </w:r>
    </w:p>
    <w:p w14:paraId="242A4A4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增加46.22万元，增长12.78%，主要原因是：</w:t>
      </w:r>
      <w:r>
        <w:rPr>
          <w:rFonts w:hint="eastAsia" w:ascii="仿宋_GB2312" w:hAnsi="仿宋_GB2312" w:eastAsia="仿宋_GB2312"/>
          <w:b w:val="0"/>
          <w:sz w:val="32"/>
          <w:lang w:val="en-US" w:eastAsia="zh-CN"/>
        </w:rPr>
        <w:t>一是本年退休人员增加，职业年金增加；二是退休人员去世1人，增加人员抚恤金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年初预算数377.60万元，决算数407.84万元，预决算差异率8.01%，主要原因是：年中追加职业年金和抚恤金经费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312F4B28">
      <w:pPr>
        <w:spacing w:line="640" w:lineRule="exact"/>
        <w:ind w:firstLine="640"/>
        <w:jc w:val="both"/>
        <w:outlineLvl w:val="2"/>
      </w:pPr>
      <w:r>
        <w:rPr>
          <w:rFonts w:ascii="黑体" w:hAnsi="黑体" w:eastAsia="黑体"/>
          <w:sz w:val="32"/>
        </w:rPr>
        <w:t>五、一般公共预算财政拨款支出决算情况说明</w:t>
      </w:r>
    </w:p>
    <w:p w14:paraId="57DEA16F">
      <w:pPr>
        <w:spacing w:line="640" w:lineRule="exact"/>
        <w:ind w:firstLine="640"/>
        <w:jc w:val="both"/>
        <w:outlineLvl w:val="3"/>
      </w:pPr>
      <w:r>
        <w:rPr>
          <w:rFonts w:ascii="楷体_GB2312" w:hAnsi="楷体_GB2312" w:eastAsia="楷体_GB2312"/>
          <w:b/>
          <w:sz w:val="32"/>
        </w:rPr>
        <w:t>（一）一般公共预算财政拨款支出决算总体情况</w:t>
      </w:r>
    </w:p>
    <w:p w14:paraId="34BD44A5">
      <w:pPr>
        <w:spacing w:line="580" w:lineRule="exact"/>
        <w:ind w:firstLine="640"/>
        <w:jc w:val="both"/>
      </w:pPr>
      <w:r>
        <w:rPr>
          <w:rFonts w:ascii="仿宋_GB2312" w:hAnsi="仿宋_GB2312" w:eastAsia="仿宋_GB2312"/>
          <w:b/>
          <w:sz w:val="32"/>
        </w:rPr>
        <w:t>2024年度一般公共预算财政拨款支出407.84万元，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增加49.94万元，增长13.95%，主要原因是：</w:t>
      </w:r>
      <w:r>
        <w:rPr>
          <w:rFonts w:hint="eastAsia" w:ascii="仿宋_GB2312" w:hAnsi="仿宋_GB2312" w:eastAsia="仿宋_GB2312"/>
          <w:b w:val="0"/>
          <w:sz w:val="32"/>
          <w:lang w:val="en-US" w:eastAsia="zh-CN"/>
        </w:rPr>
        <w:t>一是本年退休人员增加，职业年金增加；二是退休人员去世1人，增加人员抚恤金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年初预算数377.60万元，决算数407.84万元，预决算差异率8.01%，主要原因是：年中追加职业年金和抚恤金经费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4F30AFC1">
      <w:pPr>
        <w:spacing w:line="640" w:lineRule="exact"/>
        <w:ind w:firstLine="640"/>
        <w:jc w:val="both"/>
        <w:outlineLvl w:val="3"/>
      </w:pPr>
      <w:r>
        <w:rPr>
          <w:rFonts w:ascii="楷体_GB2312" w:hAnsi="楷体_GB2312" w:eastAsia="楷体_GB2312"/>
          <w:b/>
          <w:sz w:val="32"/>
        </w:rPr>
        <w:t>（二）一般公共预算财政拨款支出决算结构情况</w:t>
      </w:r>
    </w:p>
    <w:p w14:paraId="49496C21">
      <w:pPr>
        <w:spacing w:line="580" w:lineRule="exact"/>
        <w:ind w:firstLine="640"/>
        <w:jc w:val="both"/>
      </w:pPr>
      <w:r>
        <w:rPr>
          <w:rFonts w:ascii="仿宋_GB2312" w:hAnsi="仿宋_GB2312" w:eastAsia="仿宋_GB2312"/>
          <w:b w:val="0"/>
          <w:sz w:val="32"/>
        </w:rPr>
        <w:t>1.一般公共服务支出(类)256.16万元,占62.81%。</w:t>
      </w:r>
    </w:p>
    <w:p w14:paraId="44BD8118">
      <w:pPr>
        <w:spacing w:line="580" w:lineRule="exact"/>
        <w:ind w:firstLine="640"/>
        <w:jc w:val="both"/>
      </w:pPr>
      <w:r>
        <w:rPr>
          <w:rFonts w:ascii="仿宋_GB2312" w:hAnsi="仿宋_GB2312" w:eastAsia="仿宋_GB2312"/>
          <w:b w:val="0"/>
          <w:sz w:val="32"/>
        </w:rPr>
        <w:t>2.社会保障和就业支出(类)109.95万元,占26.96%。</w:t>
      </w:r>
    </w:p>
    <w:p w14:paraId="08635D79">
      <w:pPr>
        <w:spacing w:line="580" w:lineRule="exact"/>
        <w:ind w:firstLine="640"/>
        <w:jc w:val="both"/>
      </w:pPr>
      <w:r>
        <w:rPr>
          <w:rFonts w:ascii="仿宋_GB2312" w:hAnsi="仿宋_GB2312" w:eastAsia="仿宋_GB2312"/>
          <w:b w:val="0"/>
          <w:sz w:val="32"/>
        </w:rPr>
        <w:t>3.卫生健康支出(类)18.37万元,占4.50%。</w:t>
      </w:r>
    </w:p>
    <w:p w14:paraId="0746549E">
      <w:pPr>
        <w:spacing w:line="580" w:lineRule="exact"/>
        <w:ind w:firstLine="640"/>
        <w:jc w:val="both"/>
      </w:pPr>
      <w:r>
        <w:rPr>
          <w:rFonts w:ascii="仿宋_GB2312" w:hAnsi="仿宋_GB2312" w:eastAsia="仿宋_GB2312"/>
          <w:b w:val="0"/>
          <w:sz w:val="32"/>
        </w:rPr>
        <w:t>4.住房保障支出(类)23.36万元,占5.73%。</w:t>
      </w:r>
    </w:p>
    <w:p w14:paraId="35543251">
      <w:pPr>
        <w:spacing w:line="640" w:lineRule="exact"/>
        <w:ind w:firstLine="640"/>
        <w:jc w:val="both"/>
        <w:outlineLvl w:val="3"/>
      </w:pPr>
      <w:r>
        <w:rPr>
          <w:rFonts w:ascii="楷体_GB2312" w:hAnsi="楷体_GB2312" w:eastAsia="楷体_GB2312"/>
          <w:b/>
          <w:sz w:val="32"/>
        </w:rPr>
        <w:t>（三）一般公共预算财政拨款支出决算具体情况</w:t>
      </w:r>
    </w:p>
    <w:p w14:paraId="7EEC1E7A">
      <w:pPr>
        <w:spacing w:line="580" w:lineRule="exact"/>
        <w:ind w:firstLine="640"/>
        <w:jc w:val="both"/>
      </w:pPr>
      <w:r>
        <w:rPr>
          <w:rFonts w:ascii="仿宋_GB2312" w:hAnsi="仿宋_GB2312" w:eastAsia="仿宋_GB2312"/>
          <w:b w:val="0"/>
          <w:sz w:val="32"/>
        </w:rPr>
        <w:t>1.一般公共服务支出(类)政协事务(款)行政运行(项):支出决算数为243.37万元，比上年决算减少0.07万元，下降0.03%,主要原因是：本年退休人员职级高，调入人员职级低，相应经费减少。</w:t>
      </w:r>
    </w:p>
    <w:p w14:paraId="0F0838D2">
      <w:pPr>
        <w:spacing w:line="580" w:lineRule="exact"/>
        <w:ind w:firstLine="640"/>
        <w:jc w:val="both"/>
      </w:pPr>
      <w:r>
        <w:rPr>
          <w:rFonts w:ascii="仿宋_GB2312" w:hAnsi="仿宋_GB2312" w:eastAsia="仿宋_GB2312"/>
          <w:b w:val="0"/>
          <w:sz w:val="32"/>
        </w:rPr>
        <w:t>2.一般公共服务支出(类)政协事务(款)政协会议(项):支出决算数为2.47万元，比上年决算减少0.44万元，下降15.12%,主要原因是：严格落实中央八项规定的要求，压缩会议开支</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会议费减少</w:t>
      </w:r>
      <w:r>
        <w:rPr>
          <w:rFonts w:ascii="仿宋_GB2312" w:hAnsi="仿宋_GB2312" w:eastAsia="仿宋_GB2312"/>
          <w:b w:val="0"/>
          <w:sz w:val="32"/>
        </w:rPr>
        <w:t>。</w:t>
      </w:r>
    </w:p>
    <w:p w14:paraId="41E2ED20">
      <w:pPr>
        <w:spacing w:line="580" w:lineRule="exact"/>
        <w:ind w:firstLine="640"/>
        <w:jc w:val="both"/>
      </w:pPr>
      <w:r>
        <w:rPr>
          <w:rFonts w:ascii="仿宋_GB2312" w:hAnsi="仿宋_GB2312" w:eastAsia="仿宋_GB2312"/>
          <w:b w:val="0"/>
          <w:sz w:val="32"/>
        </w:rPr>
        <w:t>3.一般公共服务支出(类)政协事务(款)委员视察(项):支出决算数为5.32万元，比上年决算增加1.33万元，增长33.33%,主要原因是：2024年因工作需要，委员外出学习培训考察费用增加。</w:t>
      </w:r>
    </w:p>
    <w:p w14:paraId="42BF656B">
      <w:pPr>
        <w:spacing w:line="580" w:lineRule="exact"/>
        <w:ind w:firstLine="640"/>
        <w:jc w:val="both"/>
      </w:pPr>
      <w:r>
        <w:rPr>
          <w:rFonts w:ascii="仿宋_GB2312" w:hAnsi="仿宋_GB2312" w:eastAsia="仿宋_GB2312"/>
          <w:b w:val="0"/>
          <w:sz w:val="32"/>
        </w:rPr>
        <w:t>4.一般公共服务支出(类)政协事务(款)其他政协事务支出(项):支出决算数为5.00万元，比上年决算增加0.00万元，增长0.00%,主要原因是：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自治区基层政协补助经费</w:t>
      </w:r>
      <w:r>
        <w:rPr>
          <w:rFonts w:hint="eastAsia" w:ascii="仿宋_GB2312" w:hAnsi="仿宋_GB2312" w:eastAsia="仿宋_GB2312"/>
          <w:b w:val="0"/>
          <w:sz w:val="32"/>
          <w:lang w:val="en-US" w:eastAsia="zh-CN"/>
        </w:rPr>
        <w:t>与上年一致无差异</w:t>
      </w:r>
      <w:r>
        <w:rPr>
          <w:rFonts w:ascii="仿宋_GB2312" w:hAnsi="仿宋_GB2312" w:eastAsia="仿宋_GB2312"/>
          <w:b w:val="0"/>
          <w:sz w:val="32"/>
        </w:rPr>
        <w:t>。</w:t>
      </w:r>
    </w:p>
    <w:p w14:paraId="24CDFCF4">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5.社会保障和就业支出(类)行政事业单位养老支出(款)行政单位离退休(项):支出决算数为45.29万元，比上年决算增加28.17万元，增长164.54%,主要原因是：2024年</w:t>
      </w:r>
      <w:r>
        <w:rPr>
          <w:rFonts w:hint="eastAsia" w:ascii="仿宋_GB2312" w:hAnsi="仿宋_GB2312" w:eastAsia="仿宋_GB2312"/>
          <w:b w:val="0"/>
          <w:sz w:val="32"/>
          <w:lang w:val="en-US" w:eastAsia="zh-CN"/>
        </w:rPr>
        <w:t>退休</w:t>
      </w:r>
      <w:r>
        <w:rPr>
          <w:rFonts w:ascii="仿宋_GB2312" w:hAnsi="仿宋_GB2312" w:eastAsia="仿宋_GB2312"/>
          <w:b w:val="0"/>
          <w:sz w:val="32"/>
        </w:rPr>
        <w:t>去世</w:t>
      </w:r>
      <w:r>
        <w:rPr>
          <w:rFonts w:hint="eastAsia" w:ascii="仿宋_GB2312" w:hAnsi="仿宋_GB2312" w:eastAsia="仿宋_GB2312"/>
          <w:b w:val="0"/>
          <w:sz w:val="32"/>
          <w:lang w:val="en-US" w:eastAsia="zh-CN"/>
        </w:rPr>
        <w:t>1人</w:t>
      </w:r>
      <w:r>
        <w:rPr>
          <w:rFonts w:ascii="仿宋_GB2312" w:hAnsi="仿宋_GB2312" w:eastAsia="仿宋_GB2312"/>
          <w:b w:val="0"/>
          <w:sz w:val="32"/>
        </w:rPr>
        <w:t>，抚恤金增加。</w:t>
      </w:r>
    </w:p>
    <w:p w14:paraId="098C6409">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30.44万元，比上年决算增加1.98万元，增长6.96%,主要原因是：2024年在职人员工资基数调增，养老缴费基数上涨，相应支出增加。</w:t>
      </w:r>
    </w:p>
    <w:p w14:paraId="49F10015">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7.社会保障和就业支出(类)行政事业单位养老支出(款)机关事业单位职业年金缴费支出(项):支出决算数为34.22万元，比上年决算增加19.02万元，增长125.13%,主要原因是：2024年退休人员较上年增加，职业年金增加。</w:t>
      </w:r>
    </w:p>
    <w:p w14:paraId="4B77E567">
      <w:pPr>
        <w:spacing w:line="580" w:lineRule="exact"/>
        <w:ind w:firstLine="640"/>
        <w:jc w:val="both"/>
      </w:pPr>
      <w:r>
        <w:rPr>
          <w:rFonts w:ascii="仿宋_GB2312" w:hAnsi="仿宋_GB2312" w:eastAsia="仿宋_GB2312"/>
          <w:b w:val="0"/>
          <w:sz w:val="32"/>
        </w:rPr>
        <w:t>8.卫生健康支出(类)行政事业单位医疗(款)行政单位医疗(项):支出决算数为13.38万元，比上年决算增加0.61万元，增长4.78%,主要原因是：2024年在职人员工资基数调增，医疗缴费基数上涨，相应支出增加。</w:t>
      </w:r>
    </w:p>
    <w:p w14:paraId="1AAA55F7">
      <w:pPr>
        <w:spacing w:line="580" w:lineRule="exact"/>
        <w:ind w:firstLine="640"/>
        <w:jc w:val="both"/>
      </w:pPr>
      <w:r>
        <w:rPr>
          <w:rFonts w:ascii="仿宋_GB2312" w:hAnsi="仿宋_GB2312" w:eastAsia="仿宋_GB2312"/>
          <w:b w:val="0"/>
          <w:sz w:val="32"/>
        </w:rPr>
        <w:t>9.卫生健康支出(类)行政事业单位医疗(款)公务员医疗补助(项):支出决算数为4.99万元，比上年决算增加0.14万元，增长2.89%,主要原因是：2024年在职人员工资基数调增，公务员医疗补助上涨，相应支出增加。</w:t>
      </w:r>
    </w:p>
    <w:p w14:paraId="14EC071F">
      <w:pPr>
        <w:spacing w:line="580" w:lineRule="exact"/>
        <w:ind w:firstLine="640"/>
        <w:jc w:val="both"/>
      </w:pPr>
      <w:r>
        <w:rPr>
          <w:rFonts w:ascii="仿宋_GB2312" w:hAnsi="仿宋_GB2312" w:eastAsia="仿宋_GB2312"/>
          <w:b w:val="0"/>
          <w:sz w:val="32"/>
        </w:rPr>
        <w:t>10.农林水支出(类)农业农村(款)其他农业农村支出(项):支出决算数为0.00万元，比上年决算减少2.08万元，下降100.00%,主要原因是：本年为民办实事较上年减少。</w:t>
      </w:r>
    </w:p>
    <w:p w14:paraId="77E77651">
      <w:pPr>
        <w:spacing w:line="580" w:lineRule="exact"/>
        <w:ind w:firstLine="640"/>
        <w:jc w:val="both"/>
      </w:pPr>
      <w:r>
        <w:rPr>
          <w:rFonts w:ascii="仿宋_GB2312" w:hAnsi="仿宋_GB2312" w:eastAsia="仿宋_GB2312"/>
          <w:b w:val="0"/>
          <w:sz w:val="32"/>
        </w:rPr>
        <w:t>11.住房保障支出(类)住房改革支出(款)住房公积金(项):支出决算数为23.36万元，比上年决算增加1.28万元，增长5.80%,主要原因是：2024年在职人员工资基数调增，公积金缴费基数上涨，相应支出增加。</w:t>
      </w:r>
    </w:p>
    <w:p w14:paraId="45F336CE">
      <w:pPr>
        <w:spacing w:line="640" w:lineRule="exact"/>
        <w:ind w:firstLine="640"/>
        <w:jc w:val="both"/>
        <w:outlineLvl w:val="2"/>
      </w:pPr>
      <w:r>
        <w:rPr>
          <w:rFonts w:ascii="黑体" w:hAnsi="黑体" w:eastAsia="黑体"/>
          <w:sz w:val="32"/>
        </w:rPr>
        <w:t>六、一般公共预算财政拨款基本支出决算情况说明</w:t>
      </w:r>
    </w:p>
    <w:p w14:paraId="78497DC6">
      <w:pPr>
        <w:spacing w:line="580" w:lineRule="exact"/>
        <w:ind w:firstLine="640"/>
        <w:jc w:val="both"/>
      </w:pPr>
      <w:r>
        <w:rPr>
          <w:rFonts w:ascii="仿宋_GB2312" w:hAnsi="仿宋_GB2312" w:eastAsia="仿宋_GB2312"/>
          <w:b w:val="0"/>
          <w:sz w:val="32"/>
        </w:rPr>
        <w:t>2024年度一般公共预算财政拨款基本支出395.05万元，其中：</w:t>
      </w:r>
      <w:r>
        <w:rPr>
          <w:rFonts w:ascii="仿宋_GB2312" w:hAnsi="仿宋_GB2312" w:eastAsia="仿宋_GB2312"/>
          <w:b/>
          <w:sz w:val="32"/>
        </w:rPr>
        <w:t>人员经费372.48万元，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14:paraId="0E9B31CD">
      <w:pPr>
        <w:spacing w:line="580" w:lineRule="exact"/>
        <w:ind w:firstLine="640"/>
        <w:jc w:val="both"/>
      </w:pPr>
      <w:r>
        <w:rPr>
          <w:rFonts w:ascii="仿宋_GB2312" w:hAnsi="仿宋_GB2312" w:eastAsia="仿宋_GB2312"/>
          <w:b/>
          <w:sz w:val="32"/>
        </w:rPr>
        <w:t>公用经费22.58万元，</w:t>
      </w:r>
      <w:r>
        <w:rPr>
          <w:rFonts w:ascii="仿宋_GB2312" w:hAnsi="仿宋_GB2312" w:eastAsia="仿宋_GB2312"/>
          <w:b w:val="0"/>
          <w:sz w:val="32"/>
        </w:rPr>
        <w:t>包括：办公费、邮电费、取暖费、差旅费、工会经费、公务用车运行维护费、其他商品和服务支出、办公设备购置。</w:t>
      </w:r>
    </w:p>
    <w:p w14:paraId="71DCD9E8">
      <w:pPr>
        <w:spacing w:line="640" w:lineRule="exact"/>
        <w:ind w:firstLine="640"/>
        <w:jc w:val="both"/>
        <w:outlineLvl w:val="2"/>
      </w:pPr>
      <w:r>
        <w:rPr>
          <w:rFonts w:ascii="黑体" w:hAnsi="黑体" w:eastAsia="黑体"/>
          <w:sz w:val="32"/>
        </w:rPr>
        <w:t>七、政府性基金预算财政拨款收入支出决算情况说明</w:t>
      </w:r>
    </w:p>
    <w:p w14:paraId="6B065F1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BF26370">
      <w:pPr>
        <w:spacing w:line="640" w:lineRule="exact"/>
        <w:ind w:firstLine="640"/>
        <w:jc w:val="both"/>
        <w:outlineLvl w:val="2"/>
      </w:pPr>
      <w:r>
        <w:rPr>
          <w:rFonts w:ascii="黑体" w:hAnsi="黑体" w:eastAsia="黑体"/>
          <w:sz w:val="32"/>
        </w:rPr>
        <w:t>八、国有资本经营预算财政拨款收入支出决算情况说明</w:t>
      </w:r>
    </w:p>
    <w:p w14:paraId="4FDC674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5E96F86">
      <w:pPr>
        <w:spacing w:line="640" w:lineRule="exact"/>
        <w:ind w:firstLine="640"/>
        <w:jc w:val="both"/>
        <w:outlineLvl w:val="2"/>
      </w:pPr>
      <w:r>
        <w:rPr>
          <w:rFonts w:ascii="黑体" w:hAnsi="黑体" w:eastAsia="黑体"/>
          <w:sz w:val="32"/>
        </w:rPr>
        <w:t>九、财政拨款“三公”经费支出决算情况说明</w:t>
      </w:r>
    </w:p>
    <w:p w14:paraId="6D9D1467">
      <w:pPr>
        <w:spacing w:line="580" w:lineRule="exact"/>
        <w:ind w:firstLine="640"/>
        <w:jc w:val="both"/>
      </w:pPr>
      <w:r>
        <w:rPr>
          <w:rFonts w:ascii="仿宋_GB2312" w:hAnsi="仿宋_GB2312" w:eastAsia="仿宋_GB2312"/>
          <w:b/>
          <w:sz w:val="32"/>
        </w:rPr>
        <w:t>2024年度财政拨款“三公”经费支出6.00万元，</w:t>
      </w:r>
      <w:r>
        <w:rPr>
          <w:rFonts w:ascii="仿宋_GB2312" w:hAnsi="仿宋_GB2312" w:eastAsia="仿宋_GB2312"/>
          <w:b w:val="0"/>
          <w:sz w:val="32"/>
        </w:rPr>
        <w:t>比上年增加0.00万元，增长0.00%，主要原因是：本</w:t>
      </w:r>
      <w:r>
        <w:rPr>
          <w:rFonts w:hint="eastAsia" w:ascii="仿宋_GB2312" w:hAnsi="仿宋_GB2312" w:eastAsia="仿宋_GB2312"/>
          <w:b w:val="0"/>
          <w:sz w:val="32"/>
          <w:lang w:val="en-US" w:eastAsia="zh-CN"/>
        </w:rPr>
        <w:t>年</w:t>
      </w:r>
      <w:r>
        <w:rPr>
          <w:rFonts w:ascii="仿宋_GB2312" w:hAnsi="仿宋_GB2312" w:eastAsia="仿宋_GB2312"/>
          <w:b w:val="0"/>
          <w:sz w:val="32"/>
        </w:rPr>
        <w:t>财政拨款“三公”经费支出与上年一致。其中：因公出国（境）费支出0.00万元，占0.00%，比上年增加0.00万元，增长0.00%，主要原因是：2023年与2024年均未安排因公出国（境）费支出。公务用车购置及运行维护费支出6.00万元，占100.00%，比上年增加0.00万元，增长0.00%，主要原因是：2024年本单位公务用车购置及运行维护费支出与上年一致。公务接待费支出0.00万元，占0.00%，比上年增加0.00万元，增长0.00%，主要原因是：2023年与2024年均未安排公务接待费支出。</w:t>
      </w:r>
    </w:p>
    <w:p w14:paraId="4A07E95E">
      <w:pPr>
        <w:spacing w:line="580" w:lineRule="exact"/>
        <w:ind w:firstLine="640"/>
        <w:jc w:val="both"/>
      </w:pPr>
      <w:r>
        <w:rPr>
          <w:rFonts w:ascii="仿宋_GB2312" w:hAnsi="仿宋_GB2312" w:eastAsia="仿宋_GB2312"/>
          <w:b/>
          <w:sz w:val="32"/>
        </w:rPr>
        <w:t>具体情况如下：</w:t>
      </w:r>
    </w:p>
    <w:p w14:paraId="6174288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77D2F8C">
      <w:pPr>
        <w:spacing w:line="580" w:lineRule="exact"/>
        <w:ind w:firstLine="640"/>
        <w:jc w:val="both"/>
      </w:pPr>
      <w:r>
        <w:rPr>
          <w:rFonts w:ascii="仿宋_GB2312" w:hAnsi="仿宋_GB2312" w:eastAsia="仿宋_GB2312"/>
          <w:b w:val="0"/>
          <w:sz w:val="32"/>
        </w:rPr>
        <w:t>公务用车购置及运行维护费6.00万元，其中：公务用车购置费0.00万元，公务用车运行维护费6.00万元。公务用车运行维护费开支内容包括公务用车保险费、公务用车维修费及公务用车加油费。公务用车购置数0辆，公务用车保有量4辆。国有资产占用情况中固定资产车辆6辆，与公务用车保有量差异原因是：2024年有两辆公务用车待处置，没有使用</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未产生车辆经费</w:t>
      </w:r>
      <w:r>
        <w:rPr>
          <w:rFonts w:ascii="仿宋_GB2312" w:hAnsi="仿宋_GB2312" w:eastAsia="仿宋_GB2312"/>
          <w:b w:val="0"/>
          <w:sz w:val="32"/>
        </w:rPr>
        <w:t>。</w:t>
      </w:r>
    </w:p>
    <w:p w14:paraId="1B7F722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9FC01B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6.00万元，决算数6.00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6.00万元，决算数6.00万元，预决算差异率0.00%，主要原因是：严格按照预算执行，预决算无差异。公务接待费全年预算数0.00万元，决算数0.00万元，预决算差异率0.00%，主要原因是：本单位无公务接待费。</w:t>
      </w:r>
    </w:p>
    <w:p w14:paraId="0B60D580">
      <w:pPr>
        <w:spacing w:line="640" w:lineRule="exact"/>
        <w:ind w:firstLine="640"/>
        <w:jc w:val="both"/>
        <w:outlineLvl w:val="2"/>
      </w:pPr>
      <w:r>
        <w:rPr>
          <w:rFonts w:ascii="黑体" w:hAnsi="黑体" w:eastAsia="黑体"/>
          <w:sz w:val="32"/>
        </w:rPr>
        <w:t>十、其他重要事项的情况说明</w:t>
      </w:r>
    </w:p>
    <w:p w14:paraId="4BE79E3C">
      <w:pPr>
        <w:spacing w:line="640" w:lineRule="exact"/>
        <w:ind w:firstLine="640"/>
        <w:jc w:val="both"/>
        <w:outlineLvl w:val="3"/>
      </w:pPr>
      <w:r>
        <w:rPr>
          <w:rFonts w:ascii="楷体_GB2312" w:hAnsi="楷体_GB2312" w:eastAsia="楷体_GB2312"/>
          <w:b/>
          <w:sz w:val="32"/>
        </w:rPr>
        <w:t>（一）机关运行经费及公用经费支出情况</w:t>
      </w:r>
    </w:p>
    <w:p w14:paraId="01880C12">
      <w:pPr>
        <w:spacing w:line="580" w:lineRule="exact"/>
        <w:ind w:firstLine="640"/>
        <w:jc w:val="both"/>
      </w:pPr>
      <w:r>
        <w:rPr>
          <w:rFonts w:ascii="仿宋_GB2312" w:hAnsi="仿宋_GB2312" w:eastAsia="仿宋_GB2312"/>
          <w:b w:val="0"/>
          <w:sz w:val="32"/>
        </w:rPr>
        <w:t>2024年度中国人民政治协商会议新疆维吾尔自治区裕民县委员会（行政单位和参照公务员法管理事业单位）机关运行经费支出22.58万元，比上年增加0.38万元，增长1.71%，主要原因是：2024年外出学习培训增加，差旅费较上年增加。</w:t>
      </w:r>
    </w:p>
    <w:p w14:paraId="25ED3641">
      <w:pPr>
        <w:spacing w:line="640" w:lineRule="exact"/>
        <w:ind w:firstLine="640"/>
        <w:jc w:val="both"/>
        <w:outlineLvl w:val="3"/>
      </w:pPr>
      <w:r>
        <w:rPr>
          <w:rFonts w:ascii="楷体_GB2312" w:hAnsi="楷体_GB2312" w:eastAsia="楷体_GB2312"/>
          <w:b/>
          <w:sz w:val="32"/>
        </w:rPr>
        <w:t>（二）政府采购情况</w:t>
      </w:r>
    </w:p>
    <w:p w14:paraId="42175543">
      <w:pPr>
        <w:spacing w:line="580" w:lineRule="exact"/>
        <w:ind w:firstLine="640"/>
        <w:jc w:val="both"/>
      </w:pPr>
      <w:r>
        <w:rPr>
          <w:rFonts w:ascii="仿宋_GB2312" w:hAnsi="仿宋_GB2312" w:eastAsia="仿宋_GB2312"/>
          <w:b w:val="0"/>
          <w:sz w:val="32"/>
        </w:rPr>
        <w:t>2024年度政府采购支出总额3.57万元，其中：政府采购货物支出0.14万元、政府采购工程支出0.00万元、政府采购服务支出3.44万元。</w:t>
      </w:r>
    </w:p>
    <w:p w14:paraId="08627F52">
      <w:pPr>
        <w:spacing w:line="580" w:lineRule="exact"/>
        <w:ind w:firstLine="640"/>
        <w:jc w:val="both"/>
      </w:pPr>
      <w:r>
        <w:rPr>
          <w:rFonts w:ascii="仿宋_GB2312" w:hAnsi="仿宋_GB2312" w:eastAsia="仿宋_GB2312"/>
          <w:b w:val="0"/>
          <w:sz w:val="32"/>
        </w:rPr>
        <w:t>授予中小企业合同金额3.57万元，占政府采购支出总额的100.00%，其中：授予小微企业合同金额3.57万元，占政府采购支出总额的100.00%。</w:t>
      </w:r>
    </w:p>
    <w:p w14:paraId="2D06878E">
      <w:pPr>
        <w:spacing w:line="640" w:lineRule="exact"/>
        <w:ind w:firstLine="640"/>
        <w:jc w:val="both"/>
        <w:outlineLvl w:val="3"/>
      </w:pPr>
      <w:r>
        <w:rPr>
          <w:rFonts w:ascii="楷体_GB2312" w:hAnsi="楷体_GB2312" w:eastAsia="楷体_GB2312"/>
          <w:b/>
          <w:sz w:val="32"/>
        </w:rPr>
        <w:t>（三）国有资产占用情况说明</w:t>
      </w:r>
    </w:p>
    <w:p w14:paraId="22C7437E">
      <w:pPr>
        <w:spacing w:line="580" w:lineRule="exact"/>
        <w:ind w:firstLine="640"/>
        <w:jc w:val="both"/>
      </w:pPr>
      <w:r>
        <w:rPr>
          <w:rFonts w:ascii="仿宋_GB2312" w:hAnsi="仿宋_GB2312" w:eastAsia="仿宋_GB2312"/>
          <w:b w:val="0"/>
          <w:sz w:val="32"/>
        </w:rPr>
        <w:t>截至2024年12月31日，房屋0.00平方米，价值0.00万元。车辆6辆，价值159.74万元，其中：副部（省）级及以上领导用车0辆、主要负责人用车0辆、机要通信用车0辆、应急保障用车0辆、执法执勤用车0辆、特种专业技术用车0辆、离退休干部服务用车0辆、其他用车6辆，其他用车主要是：单位业务用车。单价100万元（含）以上设备（不含车辆）0台（套）。</w:t>
      </w:r>
    </w:p>
    <w:p w14:paraId="1A0229A7">
      <w:pPr>
        <w:spacing w:line="640" w:lineRule="exact"/>
        <w:ind w:firstLine="640"/>
        <w:jc w:val="both"/>
        <w:outlineLvl w:val="2"/>
      </w:pPr>
      <w:r>
        <w:rPr>
          <w:rFonts w:ascii="黑体" w:hAnsi="黑体" w:eastAsia="黑体"/>
          <w:sz w:val="32"/>
        </w:rPr>
        <w:t>十一、预算绩效的情况说明</w:t>
      </w:r>
    </w:p>
    <w:p w14:paraId="310CD3C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407.84万元，实际执行总额407.84万元；预算绩效评价项目3个，全年预算数13.32万元，全年执行数12.79万元。预算绩效管理取得的成效：一是确保专项资金发挥最大作用；二是最大限度程度地使项目资金发挥效益。发现的问题及原因：一是绩效管理运行有待进一步强化；二是促进绩效目标实现和强化预算执行管理的作用发挥不够。下一步改进措施：一是继续按照绩效目标</w:t>
      </w:r>
      <w:r>
        <w:rPr>
          <w:rFonts w:hint="eastAsia" w:ascii="仿宋_GB2312" w:hAnsi="仿宋_GB2312" w:eastAsia="仿宋_GB2312"/>
          <w:b w:val="0"/>
          <w:sz w:val="32"/>
          <w:lang w:eastAsia="zh-CN"/>
        </w:rPr>
        <w:t>实施</w:t>
      </w:r>
      <w:r>
        <w:rPr>
          <w:rFonts w:ascii="仿宋_GB2312" w:hAnsi="仿宋_GB2312" w:eastAsia="仿宋_GB2312"/>
          <w:b w:val="0"/>
          <w:sz w:val="32"/>
        </w:rPr>
        <w:t>，严格管理财政支出资金，加强财政项目资金管理，做到专款专用；二是严格按照绩效目标的要求，循序渐进，优质高效</w:t>
      </w:r>
      <w:r>
        <w:rPr>
          <w:rFonts w:hint="eastAsia" w:ascii="仿宋_GB2312" w:hAnsi="仿宋_GB2312" w:eastAsia="仿宋_GB2312"/>
          <w:b w:val="0"/>
          <w:sz w:val="32"/>
          <w:lang w:eastAsia="zh-CN"/>
        </w:rPr>
        <w:t>地</w:t>
      </w:r>
      <w:r>
        <w:rPr>
          <w:rFonts w:ascii="仿宋_GB2312" w:hAnsi="仿宋_GB2312" w:eastAsia="仿宋_GB2312"/>
          <w:b w:val="0"/>
          <w:sz w:val="32"/>
        </w:rPr>
        <w:t>完成各项任务。具体附整体支出绩效自评表，项目支出绩效自评表和评价报告。</w:t>
      </w:r>
    </w:p>
    <w:p w14:paraId="4BAAD8F2">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0D2EEDC">
        <w:tblPrEx>
          <w:tblCellMar>
            <w:top w:w="0" w:type="dxa"/>
            <w:left w:w="108" w:type="dxa"/>
            <w:bottom w:w="0" w:type="dxa"/>
            <w:right w:w="108" w:type="dxa"/>
          </w:tblCellMar>
        </w:tblPrEx>
        <w:tc>
          <w:tcPr>
            <w:tcW w:w="8840" w:type="dxa"/>
            <w:gridSpan w:val="8"/>
            <w:vAlign w:val="center"/>
          </w:tcPr>
          <w:p w14:paraId="734E0819">
            <w:pPr>
              <w:jc w:val="center"/>
            </w:pPr>
            <w:r>
              <w:rPr>
                <w:rFonts w:ascii="宋体" w:hAnsi="宋体" w:eastAsia="宋体"/>
                <w:sz w:val="24"/>
              </w:rPr>
              <w:t>单位整体支出绩效自评表</w:t>
            </w:r>
          </w:p>
        </w:tc>
      </w:tr>
      <w:tr w14:paraId="198BEC57">
        <w:tblPrEx>
          <w:tblCellMar>
            <w:top w:w="0" w:type="dxa"/>
            <w:left w:w="108" w:type="dxa"/>
            <w:bottom w:w="0" w:type="dxa"/>
            <w:right w:w="108" w:type="dxa"/>
          </w:tblCellMar>
        </w:tblPrEx>
        <w:tc>
          <w:tcPr>
            <w:tcW w:w="8840" w:type="dxa"/>
            <w:gridSpan w:val="8"/>
            <w:vAlign w:val="center"/>
          </w:tcPr>
          <w:p w14:paraId="1B316F89">
            <w:pPr>
              <w:jc w:val="center"/>
            </w:pPr>
            <w:r>
              <w:rPr>
                <w:rFonts w:ascii="宋体" w:hAnsi="宋体" w:eastAsia="宋体"/>
                <w:sz w:val="24"/>
              </w:rPr>
              <w:t>（2024年度）</w:t>
            </w:r>
          </w:p>
        </w:tc>
      </w:tr>
      <w:tr w14:paraId="03C5B87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00B43B">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859A3E">
            <w:pPr>
              <w:jc w:val="center"/>
            </w:pPr>
            <w:r>
              <w:rPr>
                <w:rFonts w:ascii="宋体" w:hAnsi="宋体" w:eastAsia="宋体"/>
                <w:sz w:val="16"/>
              </w:rPr>
              <w:t>中国人民政治协商会议新疆维吾尔自治区裕民县委员会</w:t>
            </w:r>
          </w:p>
        </w:tc>
      </w:tr>
      <w:tr w14:paraId="4615DEA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EF0C9B">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D1573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328269">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1A925A">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2FA194">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74BEC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94739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871C81">
            <w:pPr>
              <w:jc w:val="center"/>
            </w:pPr>
            <w:r>
              <w:rPr>
                <w:rFonts w:ascii="宋体" w:hAnsi="宋体" w:eastAsia="宋体"/>
                <w:sz w:val="16"/>
              </w:rPr>
              <w:t>得分</w:t>
            </w:r>
          </w:p>
        </w:tc>
      </w:tr>
      <w:tr w14:paraId="5D040BA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3CF89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C0C81B">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1FD716">
            <w:pPr>
              <w:jc w:val="center"/>
            </w:pPr>
            <w:r>
              <w:rPr>
                <w:rFonts w:ascii="宋体" w:hAnsi="宋体" w:eastAsia="宋体"/>
                <w:sz w:val="16"/>
              </w:rPr>
              <w:t>377.60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5135D2">
            <w:pPr>
              <w:jc w:val="center"/>
            </w:pPr>
            <w:r>
              <w:rPr>
                <w:rFonts w:ascii="宋体" w:hAnsi="宋体" w:eastAsia="宋体"/>
                <w:sz w:val="16"/>
              </w:rPr>
              <w:t>407.84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B3B16F">
            <w:pPr>
              <w:jc w:val="center"/>
            </w:pPr>
            <w:r>
              <w:rPr>
                <w:rFonts w:ascii="宋体" w:hAnsi="宋体" w:eastAsia="宋体"/>
                <w:sz w:val="16"/>
              </w:rPr>
              <w:t>407.84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0F1EF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87D3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FB257D">
            <w:pPr>
              <w:jc w:val="center"/>
            </w:pPr>
            <w:r>
              <w:rPr>
                <w:rFonts w:ascii="宋体" w:hAnsi="宋体" w:eastAsia="宋体"/>
                <w:sz w:val="16"/>
              </w:rPr>
              <w:t>10</w:t>
            </w:r>
          </w:p>
        </w:tc>
      </w:tr>
      <w:tr w14:paraId="79E0758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0076D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ACBD47">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E3630A">
            <w:pPr>
              <w:jc w:val="center"/>
            </w:pPr>
            <w:r>
              <w:rPr>
                <w:rFonts w:ascii="宋体" w:hAnsi="宋体" w:eastAsia="宋体"/>
                <w:sz w:val="16"/>
              </w:rPr>
              <w:t>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38BE1B">
            <w:pPr>
              <w:jc w:val="center"/>
            </w:pPr>
            <w:r>
              <w:rPr>
                <w:rFonts w:ascii="宋体" w:hAnsi="宋体" w:eastAsia="宋体"/>
                <w:sz w:val="16"/>
              </w:rPr>
              <w:t>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CE2B5A">
            <w:pPr>
              <w:jc w:val="center"/>
            </w:pPr>
            <w:r>
              <w:rPr>
                <w:rFonts w:ascii="宋体" w:hAnsi="宋体" w:eastAsia="宋体"/>
                <w:sz w:val="16"/>
              </w:rPr>
              <w:t>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5DFB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B4F78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2EC323">
            <w:pPr>
              <w:jc w:val="center"/>
            </w:pPr>
            <w:r>
              <w:rPr>
                <w:rFonts w:ascii="宋体" w:hAnsi="宋体" w:eastAsia="宋体"/>
                <w:sz w:val="16"/>
              </w:rPr>
              <w:t>-</w:t>
            </w:r>
          </w:p>
        </w:tc>
      </w:tr>
      <w:tr w14:paraId="510E1F7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81B69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E0F122">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269B05">
            <w:pPr>
              <w:jc w:val="center"/>
            </w:pPr>
            <w:r>
              <w:rPr>
                <w:rFonts w:ascii="宋体" w:hAnsi="宋体" w:eastAsia="宋体"/>
                <w:sz w:val="16"/>
              </w:rPr>
              <w:t>372.60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371B7D">
            <w:pPr>
              <w:jc w:val="center"/>
            </w:pPr>
            <w:r>
              <w:rPr>
                <w:rFonts w:ascii="宋体" w:hAnsi="宋体" w:eastAsia="宋体"/>
                <w:sz w:val="16"/>
              </w:rPr>
              <w:t>402.84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E939A7">
            <w:pPr>
              <w:jc w:val="center"/>
            </w:pPr>
            <w:r>
              <w:rPr>
                <w:rFonts w:ascii="宋体" w:hAnsi="宋体" w:eastAsia="宋体"/>
                <w:sz w:val="16"/>
              </w:rPr>
              <w:t>402.84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AF192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F53CD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A9EBEA">
            <w:pPr>
              <w:jc w:val="center"/>
            </w:pPr>
            <w:r>
              <w:rPr>
                <w:rFonts w:ascii="宋体" w:hAnsi="宋体" w:eastAsia="宋体"/>
                <w:sz w:val="16"/>
              </w:rPr>
              <w:t>-</w:t>
            </w:r>
          </w:p>
        </w:tc>
      </w:tr>
      <w:tr w14:paraId="3F73ED2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EDF1C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3F8F8D">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464A2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FE425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024B0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7A5197">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655F1D">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DA66CA">
            <w:pPr>
              <w:jc w:val="center"/>
            </w:pPr>
          </w:p>
        </w:tc>
      </w:tr>
      <w:tr w14:paraId="5C3B992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783F08">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9F4597">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2323262">
            <w:pPr>
              <w:jc w:val="center"/>
            </w:pPr>
            <w:r>
              <w:rPr>
                <w:rFonts w:ascii="宋体" w:hAnsi="宋体" w:eastAsia="宋体"/>
                <w:sz w:val="16"/>
              </w:rPr>
              <w:t>实际完成情况</w:t>
            </w:r>
          </w:p>
        </w:tc>
      </w:tr>
      <w:tr w14:paraId="58662CB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5A8507"/>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1098759">
            <w:pPr>
              <w:jc w:val="both"/>
            </w:pPr>
            <w:r>
              <w:rPr>
                <w:rFonts w:ascii="宋体" w:hAnsi="宋体" w:eastAsia="宋体"/>
                <w:sz w:val="16"/>
              </w:rPr>
              <w:t>负责委员会会议、主任会议和党组会议的筹备和会务及其决定事项的落实工作；负责委员会组成人员开展视察和调研活动的有关事项；负责委员会报告、文件、领导讲话稿的起草及有关方面的调查研究工作；负责机关文电、档案、财务计划、公共财产管理等行政事务；提升服务协商能力，高质量服务保障裕民县政协重点协商议政活动；坚持守正创新，提升机关工作科学化、专业化、着力加强自身建设，以党的政治建设为统领加强机关党的建设。</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386FF0B">
            <w:pPr>
              <w:jc w:val="both"/>
            </w:pPr>
            <w:r>
              <w:rPr>
                <w:rFonts w:ascii="宋体" w:hAnsi="宋体" w:eastAsia="宋体"/>
                <w:sz w:val="16"/>
              </w:rPr>
              <w:t>负责委员会会议、主任会议和党组会议的筹备和会务及其决定事项的落实工作；负责委员会组成人员开展视察和调研活动的有关事项；负责委员会报告、文件、领导讲话稿的起草及有关方面的调查研究工作；负责机关文电、档案、财务计划、公共财产管理等行政事务；提升服务协商能力，高质量服务保障裕民县政协重点协商议政活动；坚持守正创新，提升机关工作科学化、专业化、着力加强自身建设，以党的政治建设为统领加强机关党的建设。</w:t>
            </w:r>
            <w:r>
              <w:rPr>
                <w:rFonts w:hint="eastAsia" w:ascii="宋体" w:hAnsi="宋体"/>
                <w:sz w:val="16"/>
                <w:lang w:eastAsia="zh-CN"/>
              </w:rPr>
              <w:t>截至</w:t>
            </w:r>
            <w:r>
              <w:rPr>
                <w:rFonts w:ascii="宋体" w:hAnsi="宋体" w:eastAsia="宋体"/>
                <w:sz w:val="16"/>
              </w:rPr>
              <w:t>2024年12月31日，裕民县政协已完成全体会议一次，召开政协常委会4次，出具全县各民主党派和各界别人士参政议政调研报告4篇，民主监督委员参与度达100%，政协会议按期完成及时率达100%，提案审查立案办结率达96%以上，有效地保证了政协工作的正常开展。</w:t>
            </w:r>
          </w:p>
        </w:tc>
      </w:tr>
      <w:tr w14:paraId="0A4FF3F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299F4A">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8010E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ED3696">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51DE15">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33B869">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29DD5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2C4291">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BBF01D">
            <w:pPr>
              <w:jc w:val="center"/>
            </w:pPr>
            <w:r>
              <w:rPr>
                <w:rFonts w:ascii="宋体" w:hAnsi="宋体" w:eastAsia="宋体"/>
                <w:sz w:val="16"/>
              </w:rPr>
              <w:t>得分</w:t>
            </w:r>
          </w:p>
        </w:tc>
      </w:tr>
      <w:tr w14:paraId="48A80A1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FAEB1E">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62BF50">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D4009D">
            <w:pPr>
              <w:jc w:val="center"/>
            </w:pPr>
            <w:r>
              <w:rPr>
                <w:rFonts w:ascii="宋体" w:hAnsi="宋体" w:eastAsia="宋体"/>
                <w:sz w:val="16"/>
              </w:rPr>
              <w:t>完成裕民县</w:t>
            </w:r>
            <w:r>
              <w:rPr>
                <w:rFonts w:hint="eastAsia" w:ascii="宋体" w:hAnsi="宋体"/>
                <w:sz w:val="16"/>
                <w:lang w:eastAsia="zh-CN"/>
              </w:rPr>
              <w:t>两会</w:t>
            </w:r>
            <w:r>
              <w:rPr>
                <w:rFonts w:ascii="宋体" w:hAnsi="宋体" w:eastAsia="宋体"/>
                <w:sz w:val="16"/>
              </w:rPr>
              <w:t>召开次数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DCF571">
            <w:pPr>
              <w:jc w:val="center"/>
            </w:pPr>
            <w:r>
              <w:rPr>
                <w:rFonts w:ascii="宋体" w:hAnsi="宋体" w:eastAsia="宋体"/>
                <w:sz w:val="16"/>
              </w:rPr>
              <w:t>=1次/年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042719">
            <w:pPr>
              <w:jc w:val="center"/>
            </w:pPr>
            <w:r>
              <w:rPr>
                <w:rFonts w:ascii="宋体" w:hAnsi="宋体" w:eastAsia="宋体"/>
                <w:sz w:val="16"/>
              </w:rPr>
              <w:t>2024年政协党组工作计划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A6A84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5233C9">
            <w:pPr>
              <w:jc w:val="center"/>
            </w:pPr>
            <w:r>
              <w:rPr>
                <w:rFonts w:ascii="宋体" w:hAnsi="宋体" w:eastAsia="宋体"/>
                <w:sz w:val="16"/>
              </w:rPr>
              <w:t>1次/年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AB5D25">
            <w:pPr>
              <w:jc w:val="center"/>
            </w:pPr>
            <w:r>
              <w:rPr>
                <w:rFonts w:ascii="宋体" w:hAnsi="宋体" w:eastAsia="宋体"/>
                <w:sz w:val="16"/>
              </w:rPr>
              <w:t>15</w:t>
            </w:r>
          </w:p>
        </w:tc>
      </w:tr>
      <w:tr w14:paraId="5E259A1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05D5D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599FE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66664D">
            <w:pPr>
              <w:jc w:val="center"/>
            </w:pPr>
            <w:r>
              <w:rPr>
                <w:rFonts w:ascii="宋体" w:hAnsi="宋体" w:eastAsia="宋体"/>
                <w:sz w:val="16"/>
              </w:rPr>
              <w:t>出具全县各民主党派和各界别人士参政议政调研报告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742BA2">
            <w:pPr>
              <w:jc w:val="center"/>
            </w:pPr>
            <w:r>
              <w:rPr>
                <w:rFonts w:ascii="宋体" w:hAnsi="宋体" w:eastAsia="宋体"/>
                <w:sz w:val="16"/>
              </w:rPr>
              <w:t>&gt;=4篇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109874">
            <w:pPr>
              <w:jc w:val="center"/>
            </w:pPr>
            <w:r>
              <w:rPr>
                <w:rFonts w:ascii="宋体" w:hAnsi="宋体" w:eastAsia="宋体"/>
                <w:sz w:val="16"/>
              </w:rPr>
              <w:t>2024年政协党组工作计划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0D7F3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2407FF">
            <w:pPr>
              <w:jc w:val="center"/>
            </w:pPr>
            <w:r>
              <w:rPr>
                <w:rFonts w:ascii="宋体" w:hAnsi="宋体" w:eastAsia="宋体"/>
                <w:sz w:val="16"/>
              </w:rPr>
              <w:t>4篇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39E1E5">
            <w:pPr>
              <w:jc w:val="center"/>
            </w:pPr>
            <w:r>
              <w:rPr>
                <w:rFonts w:ascii="宋体" w:hAnsi="宋体" w:eastAsia="宋体"/>
                <w:sz w:val="16"/>
              </w:rPr>
              <w:t>15</w:t>
            </w:r>
          </w:p>
        </w:tc>
      </w:tr>
      <w:tr w14:paraId="367D31F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3C4CC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3011A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C04B21">
            <w:pPr>
              <w:jc w:val="center"/>
            </w:pPr>
            <w:r>
              <w:rPr>
                <w:rFonts w:ascii="宋体" w:hAnsi="宋体" w:eastAsia="宋体"/>
                <w:sz w:val="16"/>
              </w:rPr>
              <w:t>完成裕民县政协</w:t>
            </w:r>
            <w:r>
              <w:rPr>
                <w:rFonts w:hint="eastAsia" w:ascii="宋体" w:hAnsi="宋体"/>
                <w:sz w:val="16"/>
                <w:lang w:eastAsia="zh-CN"/>
              </w:rPr>
              <w:t>常委会会议</w:t>
            </w:r>
            <w:r>
              <w:rPr>
                <w:rFonts w:ascii="宋体" w:hAnsi="宋体" w:eastAsia="宋体"/>
                <w:sz w:val="16"/>
              </w:rPr>
              <w:t>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D329B1">
            <w:pPr>
              <w:jc w:val="center"/>
            </w:pPr>
            <w:r>
              <w:rPr>
                <w:rFonts w:ascii="宋体" w:hAnsi="宋体" w:eastAsia="宋体"/>
                <w:sz w:val="16"/>
              </w:rPr>
              <w:t>=4次/年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7F8374">
            <w:pPr>
              <w:jc w:val="center"/>
            </w:pPr>
            <w:r>
              <w:rPr>
                <w:rFonts w:ascii="宋体" w:hAnsi="宋体" w:eastAsia="宋体"/>
                <w:sz w:val="16"/>
              </w:rPr>
              <w:t>2024年政协党组工作计划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818BC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4A9779">
            <w:pPr>
              <w:jc w:val="center"/>
            </w:pPr>
            <w:r>
              <w:rPr>
                <w:rFonts w:ascii="宋体" w:hAnsi="宋体" w:eastAsia="宋体"/>
                <w:sz w:val="16"/>
              </w:rPr>
              <w:t>4次/年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66EA94">
            <w:pPr>
              <w:jc w:val="center"/>
            </w:pPr>
            <w:r>
              <w:rPr>
                <w:rFonts w:ascii="宋体" w:hAnsi="宋体" w:eastAsia="宋体"/>
                <w:sz w:val="16"/>
              </w:rPr>
              <w:t>15</w:t>
            </w:r>
          </w:p>
        </w:tc>
      </w:tr>
      <w:tr w14:paraId="7FEAC6E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86986D"/>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858009">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486B73">
            <w:pPr>
              <w:jc w:val="center"/>
            </w:pPr>
            <w:r>
              <w:rPr>
                <w:rFonts w:ascii="宋体" w:hAnsi="宋体" w:eastAsia="宋体"/>
                <w:sz w:val="16"/>
              </w:rPr>
              <w:t>民主监督委员参与度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95CA1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63443A">
            <w:pPr>
              <w:jc w:val="center"/>
            </w:pPr>
            <w:r>
              <w:rPr>
                <w:rFonts w:ascii="宋体" w:hAnsi="宋体" w:eastAsia="宋体"/>
                <w:sz w:val="16"/>
              </w:rPr>
              <w:t>2024年政协党组工作计划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E0A70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7ECEE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37443C">
            <w:pPr>
              <w:jc w:val="center"/>
            </w:pPr>
            <w:r>
              <w:rPr>
                <w:rFonts w:ascii="宋体" w:hAnsi="宋体" w:eastAsia="宋体"/>
                <w:sz w:val="16"/>
              </w:rPr>
              <w:t>15</w:t>
            </w:r>
          </w:p>
        </w:tc>
      </w:tr>
      <w:tr w14:paraId="79AC01B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E31CC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E65F4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DF5C5C">
            <w:pPr>
              <w:jc w:val="center"/>
            </w:pPr>
            <w:r>
              <w:rPr>
                <w:rFonts w:ascii="宋体" w:hAnsi="宋体" w:eastAsia="宋体"/>
                <w:sz w:val="16"/>
              </w:rPr>
              <w:t>政协会议按期完成及时率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3A7A2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D2F681">
            <w:pPr>
              <w:jc w:val="center"/>
            </w:pPr>
            <w:r>
              <w:rPr>
                <w:rFonts w:ascii="宋体" w:hAnsi="宋体" w:eastAsia="宋体"/>
                <w:sz w:val="16"/>
              </w:rPr>
              <w:t>2024年政协党组工作计划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E6FBD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11187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06FC27">
            <w:pPr>
              <w:jc w:val="center"/>
            </w:pPr>
            <w:r>
              <w:rPr>
                <w:rFonts w:ascii="宋体" w:hAnsi="宋体" w:eastAsia="宋体"/>
                <w:sz w:val="16"/>
              </w:rPr>
              <w:t>15</w:t>
            </w:r>
          </w:p>
        </w:tc>
      </w:tr>
      <w:tr w14:paraId="5FF42B7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F7B95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30D3A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8484BF">
            <w:pPr>
              <w:jc w:val="center"/>
            </w:pPr>
            <w:r>
              <w:rPr>
                <w:rFonts w:ascii="宋体" w:hAnsi="宋体" w:eastAsia="宋体"/>
                <w:sz w:val="16"/>
              </w:rPr>
              <w:t>提案审查立案办结率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BAA05E">
            <w:pPr>
              <w:jc w:val="center"/>
            </w:pPr>
            <w:r>
              <w:rPr>
                <w:rFonts w:ascii="宋体" w:hAnsi="宋体" w:eastAsia="宋体"/>
                <w:sz w:val="16"/>
              </w:rPr>
              <w:t>&gt;=96%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67D3ED">
            <w:pPr>
              <w:jc w:val="center"/>
            </w:pPr>
            <w:r>
              <w:rPr>
                <w:rFonts w:ascii="宋体" w:hAnsi="宋体" w:eastAsia="宋体"/>
                <w:sz w:val="16"/>
              </w:rPr>
              <w:t>2024年政协党组工作计划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3DA00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3296C7">
            <w:pPr>
              <w:jc w:val="center"/>
            </w:pPr>
            <w:r>
              <w:rPr>
                <w:rFonts w:ascii="宋体" w:hAnsi="宋体" w:eastAsia="宋体"/>
                <w:sz w:val="16"/>
              </w:rPr>
              <w:t>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88D7E9">
            <w:pPr>
              <w:jc w:val="center"/>
            </w:pPr>
            <w:r>
              <w:rPr>
                <w:rFonts w:ascii="宋体" w:hAnsi="宋体" w:eastAsia="宋体"/>
                <w:sz w:val="16"/>
              </w:rPr>
              <w:t>15</w:t>
            </w:r>
          </w:p>
        </w:tc>
      </w:tr>
    </w:tbl>
    <w:p w14:paraId="180BEFA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31B9B9BD">
        <w:tblPrEx>
          <w:tblCellMar>
            <w:top w:w="0" w:type="dxa"/>
            <w:left w:w="108" w:type="dxa"/>
            <w:bottom w:w="0" w:type="dxa"/>
            <w:right w:w="108" w:type="dxa"/>
          </w:tblCellMar>
        </w:tblPrEx>
        <w:tc>
          <w:tcPr>
            <w:tcW w:w="8848" w:type="dxa"/>
            <w:gridSpan w:val="14"/>
            <w:vAlign w:val="center"/>
          </w:tcPr>
          <w:p w14:paraId="2AF15992">
            <w:pPr>
              <w:jc w:val="center"/>
            </w:pPr>
            <w:r>
              <w:rPr>
                <w:rFonts w:ascii="宋体" w:hAnsi="宋体" w:eastAsia="宋体"/>
                <w:sz w:val="24"/>
              </w:rPr>
              <w:t>项目支出绩效自评表</w:t>
            </w:r>
          </w:p>
        </w:tc>
      </w:tr>
      <w:tr w14:paraId="114B1A7A">
        <w:tblPrEx>
          <w:tblCellMar>
            <w:top w:w="0" w:type="dxa"/>
            <w:left w:w="108" w:type="dxa"/>
            <w:bottom w:w="0" w:type="dxa"/>
            <w:right w:w="108" w:type="dxa"/>
          </w:tblCellMar>
        </w:tblPrEx>
        <w:tc>
          <w:tcPr>
            <w:tcW w:w="8848" w:type="dxa"/>
            <w:gridSpan w:val="14"/>
            <w:vAlign w:val="center"/>
          </w:tcPr>
          <w:p w14:paraId="0A149709">
            <w:pPr>
              <w:jc w:val="center"/>
            </w:pPr>
            <w:r>
              <w:rPr>
                <w:rFonts w:ascii="宋体" w:hAnsi="宋体" w:eastAsia="宋体"/>
                <w:sz w:val="24"/>
              </w:rPr>
              <w:t>(2024年度)</w:t>
            </w:r>
          </w:p>
        </w:tc>
      </w:tr>
      <w:tr w14:paraId="6D71A9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4BBD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826A4E">
            <w:pPr>
              <w:jc w:val="center"/>
            </w:pPr>
            <w:r>
              <w:rPr>
                <w:rFonts w:ascii="宋体" w:hAnsi="宋体" w:eastAsia="宋体"/>
                <w:sz w:val="16"/>
              </w:rPr>
              <w:t>2024年度自治区基层政协补助经费</w:t>
            </w:r>
          </w:p>
        </w:tc>
      </w:tr>
      <w:tr w14:paraId="542369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51AD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942246">
            <w:pPr>
              <w:jc w:val="center"/>
            </w:pPr>
            <w:r>
              <w:rPr>
                <w:rFonts w:ascii="宋体" w:hAnsi="宋体" w:eastAsia="宋体"/>
                <w:sz w:val="16"/>
              </w:rPr>
              <w:t>中国人民政治协商会议新疆维吾尔自治区裕民县委员会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420A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BC214F">
            <w:pPr>
              <w:jc w:val="center"/>
            </w:pPr>
            <w:r>
              <w:rPr>
                <w:rFonts w:ascii="宋体" w:hAnsi="宋体" w:eastAsia="宋体"/>
                <w:sz w:val="16"/>
              </w:rPr>
              <w:t>中国人民政治协商会议新疆维吾尔自治区裕民县委员会</w:t>
            </w:r>
          </w:p>
        </w:tc>
      </w:tr>
      <w:tr w14:paraId="4A8A56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D690F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047C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C5FA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5EDC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1CF1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D9D7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8F74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E0793">
            <w:pPr>
              <w:jc w:val="center"/>
            </w:pPr>
            <w:r>
              <w:rPr>
                <w:rFonts w:ascii="宋体" w:hAnsi="宋体" w:eastAsia="宋体"/>
                <w:sz w:val="16"/>
              </w:rPr>
              <w:t>得分</w:t>
            </w:r>
          </w:p>
        </w:tc>
      </w:tr>
      <w:tr w14:paraId="71C7C6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2F5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B4B0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5440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C477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B627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B7E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27FD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968C5">
            <w:pPr>
              <w:jc w:val="center"/>
            </w:pPr>
            <w:r>
              <w:rPr>
                <w:rFonts w:ascii="宋体" w:hAnsi="宋体" w:eastAsia="宋体"/>
                <w:sz w:val="16"/>
              </w:rPr>
              <w:t>10.00</w:t>
            </w:r>
          </w:p>
        </w:tc>
      </w:tr>
      <w:tr w14:paraId="54E171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640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DF1A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5629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58ED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9A2A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36F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4D6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925A8">
            <w:pPr>
              <w:jc w:val="center"/>
            </w:pPr>
            <w:r>
              <w:rPr>
                <w:rFonts w:ascii="宋体" w:hAnsi="宋体" w:eastAsia="宋体"/>
                <w:sz w:val="16"/>
              </w:rPr>
              <w:t>—</w:t>
            </w:r>
          </w:p>
        </w:tc>
      </w:tr>
      <w:tr w14:paraId="603F6B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D66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9DD7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2F6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1F8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9CC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67D1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EC4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532C8">
            <w:pPr>
              <w:jc w:val="center"/>
            </w:pPr>
            <w:r>
              <w:rPr>
                <w:rFonts w:ascii="宋体" w:hAnsi="宋体" w:eastAsia="宋体"/>
                <w:sz w:val="16"/>
              </w:rPr>
              <w:t>—</w:t>
            </w:r>
          </w:p>
        </w:tc>
      </w:tr>
      <w:tr w14:paraId="39064F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CF604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BBBD6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2C684D">
            <w:pPr>
              <w:jc w:val="center"/>
            </w:pPr>
            <w:r>
              <w:rPr>
                <w:rFonts w:ascii="宋体" w:hAnsi="宋体" w:eastAsia="宋体"/>
                <w:sz w:val="16"/>
              </w:rPr>
              <w:t>实际完成情况</w:t>
            </w:r>
          </w:p>
        </w:tc>
      </w:tr>
      <w:tr w14:paraId="45AD13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B588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C2FA20">
            <w:pPr>
              <w:jc w:val="both"/>
            </w:pPr>
            <w:r>
              <w:rPr>
                <w:rFonts w:ascii="宋体" w:hAnsi="宋体" w:eastAsia="宋体"/>
                <w:sz w:val="16"/>
              </w:rPr>
              <w:t>提高政协工作的服务质量和办公效率，让上级政协和基层群众对政协工作感到满意。该项目主要用于14个基层政协人员的差旅费和办公费的补助，用于改善办公环境，补充办公经费，最大程度</w:t>
            </w:r>
            <w:r>
              <w:rPr>
                <w:rFonts w:hint="eastAsia" w:ascii="宋体" w:hAnsi="宋体"/>
                <w:sz w:val="16"/>
                <w:lang w:eastAsia="zh-CN"/>
              </w:rPr>
              <w:t>地</w:t>
            </w:r>
            <w:r>
              <w:rPr>
                <w:rFonts w:ascii="宋体" w:hAnsi="宋体" w:eastAsia="宋体"/>
                <w:sz w:val="16"/>
              </w:rPr>
              <w:t>实现在本行政区域内保证宪法法律，行政法规和上级人民政协及其委员会决议决定的遵守和执行，结合本县实际，完成县委和上级政协交办的工作任务。全年投入预算资金5万元，保证了政协办公室的各项工作的正常开展，达到了提升政协工作水平的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485640">
            <w:pPr>
              <w:jc w:val="both"/>
            </w:pPr>
            <w:r>
              <w:rPr>
                <w:rFonts w:ascii="宋体" w:hAnsi="宋体" w:eastAsia="宋体"/>
                <w:sz w:val="16"/>
              </w:rPr>
              <w:t>基层政协补助经费项目预算资金5万元，</w:t>
            </w:r>
            <w:r>
              <w:rPr>
                <w:rFonts w:hint="eastAsia" w:ascii="宋体" w:hAnsi="宋体"/>
                <w:sz w:val="16"/>
                <w:lang w:eastAsia="zh-CN"/>
              </w:rPr>
              <w:t>截至</w:t>
            </w:r>
            <w:r>
              <w:rPr>
                <w:rFonts w:ascii="宋体" w:hAnsi="宋体" w:eastAsia="宋体"/>
                <w:sz w:val="16"/>
              </w:rPr>
              <w:t xml:space="preserve">2024年12月31日，已经支付5万元，项目按照计划正常实行，已经完成了补贴基层政协办公费及差旅费14人的2个数量指标，补充基层政协办公费3.5万元、补充基层政协委员培训学习产生的差旅费1.5万元，达到了提升政协履职能力和改善办公环境的效果，该项目严格按照计划实施，并有效保障了绩效自评工作的顺利开展。 </w:t>
            </w:r>
          </w:p>
        </w:tc>
      </w:tr>
      <w:tr w14:paraId="220D52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8F26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6F80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E9F5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B3E2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1D11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91F6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A76F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C9ED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A943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C1E9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FBEF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584C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2814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02755">
            <w:pPr>
              <w:jc w:val="center"/>
            </w:pPr>
            <w:r>
              <w:rPr>
                <w:rFonts w:ascii="宋体" w:hAnsi="宋体" w:eastAsia="宋体"/>
                <w:sz w:val="16"/>
              </w:rPr>
              <w:t>偏差原因分析及改进措施</w:t>
            </w:r>
          </w:p>
        </w:tc>
      </w:tr>
      <w:tr w14:paraId="217C32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B5585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BD9A0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45580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8C891">
            <w:pPr>
              <w:jc w:val="center"/>
            </w:pPr>
            <w:r>
              <w:rPr>
                <w:rFonts w:ascii="宋体" w:hAnsi="宋体" w:eastAsia="宋体"/>
                <w:sz w:val="16"/>
              </w:rPr>
              <w:t>补贴基层政协差旅费人数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FA57C">
            <w:pPr>
              <w:jc w:val="center"/>
            </w:pPr>
            <w:r>
              <w:rPr>
                <w:rFonts w:ascii="宋体" w:hAnsi="宋体" w:eastAsia="宋体"/>
                <w:sz w:val="16"/>
              </w:rPr>
              <w:t>&gt;=14人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500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D2A11">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C27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43E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77BB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C392B">
            <w:pPr>
              <w:jc w:val="center"/>
            </w:pPr>
            <w:r>
              <w:rPr>
                <w:rFonts w:ascii="宋体" w:hAnsi="宋体" w:eastAsia="宋体"/>
                <w:sz w:val="16"/>
              </w:rPr>
              <w: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099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3D2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6B121">
            <w:pPr>
              <w:jc w:val="center"/>
            </w:pPr>
          </w:p>
        </w:tc>
      </w:tr>
      <w:tr w14:paraId="3257C5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38B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136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673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D691F">
            <w:pPr>
              <w:jc w:val="center"/>
            </w:pPr>
            <w:r>
              <w:rPr>
                <w:rFonts w:ascii="宋体" w:hAnsi="宋体" w:eastAsia="宋体"/>
                <w:sz w:val="16"/>
              </w:rPr>
              <w:t>补贴基层政协办公费人数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D9F4E">
            <w:pPr>
              <w:jc w:val="center"/>
            </w:pPr>
            <w:r>
              <w:rPr>
                <w:rFonts w:ascii="宋体" w:hAnsi="宋体" w:eastAsia="宋体"/>
                <w:sz w:val="16"/>
              </w:rPr>
              <w:t>&gt;=14人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9F9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73EFA">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D12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845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6D20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AFE7B">
            <w:pPr>
              <w:jc w:val="center"/>
            </w:pPr>
            <w:r>
              <w:rPr>
                <w:rFonts w:ascii="宋体" w:hAnsi="宋体" w:eastAsia="宋体"/>
                <w:sz w:val="16"/>
              </w:rPr>
              <w: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49E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2CC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634C0">
            <w:pPr>
              <w:jc w:val="center"/>
            </w:pPr>
          </w:p>
        </w:tc>
      </w:tr>
      <w:tr w14:paraId="38949E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A3E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14F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D4E6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C582B">
            <w:pPr>
              <w:jc w:val="center"/>
            </w:pPr>
            <w:r>
              <w:rPr>
                <w:rFonts w:ascii="宋体" w:hAnsi="宋体" w:eastAsia="宋体"/>
                <w:sz w:val="16"/>
              </w:rPr>
              <w:t>基层政协补助经费列支准确率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9E6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834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868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2A9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CCF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D900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382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942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88E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5154B">
            <w:pPr>
              <w:jc w:val="center"/>
            </w:pPr>
          </w:p>
        </w:tc>
      </w:tr>
      <w:tr w14:paraId="7BB0EC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FF1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204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231F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14835">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82E7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003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4C054">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8CB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5C6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7693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3815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8E4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C0D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B1654">
            <w:pPr>
              <w:jc w:val="center"/>
            </w:pPr>
          </w:p>
        </w:tc>
      </w:tr>
      <w:tr w14:paraId="2EF074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AABF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EBE52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B6127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7EB52">
            <w:pPr>
              <w:jc w:val="center"/>
            </w:pPr>
            <w:r>
              <w:rPr>
                <w:rFonts w:ascii="宋体" w:hAnsi="宋体" w:eastAsia="宋体"/>
                <w:sz w:val="16"/>
              </w:rPr>
              <w:t>补贴基层政协差旅费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0ABA4">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588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CB0AC">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4C1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AD4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67D2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59F95">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D15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4C4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127F2">
            <w:pPr>
              <w:jc w:val="center"/>
            </w:pPr>
          </w:p>
        </w:tc>
      </w:tr>
      <w:tr w14:paraId="3BE855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7ED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45F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5DE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9DE9B">
            <w:pPr>
              <w:jc w:val="center"/>
            </w:pPr>
            <w:r>
              <w:rPr>
                <w:rFonts w:ascii="宋体" w:hAnsi="宋体" w:eastAsia="宋体"/>
                <w:sz w:val="16"/>
              </w:rPr>
              <w:t>补贴基层政协办公费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611D5">
            <w:pPr>
              <w:jc w:val="center"/>
            </w:pPr>
            <w:r>
              <w:rPr>
                <w:rFonts w:ascii="宋体" w:hAnsi="宋体" w:eastAsia="宋体"/>
                <w:sz w:val="16"/>
              </w:rPr>
              <w:t>&lt;=3.50万元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D9D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DE424">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060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CB3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778A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C08F2">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EDF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3C9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877B4">
            <w:pPr>
              <w:jc w:val="center"/>
            </w:pPr>
          </w:p>
        </w:tc>
      </w:tr>
      <w:tr w14:paraId="105FFC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67C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A3FE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3F2D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EBD78">
            <w:pPr>
              <w:jc w:val="center"/>
            </w:pPr>
            <w:r>
              <w:rPr>
                <w:rFonts w:ascii="宋体" w:hAnsi="宋体" w:eastAsia="宋体"/>
                <w:sz w:val="16"/>
              </w:rPr>
              <w:t>提升基层政协工作履职能力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E41E9">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FB1E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25B6E">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8B82B">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DDB6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21FAC">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F587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40E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8A03D">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A3422">
            <w:pPr>
              <w:jc w:val="center"/>
            </w:pPr>
          </w:p>
        </w:tc>
      </w:tr>
      <w:tr w14:paraId="20C7BEF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4082F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D67E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0653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5B3C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611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CF85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5FAD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BB48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A657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B08C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2CBB81"/>
        </w:tc>
      </w:tr>
    </w:tbl>
    <w:p w14:paraId="48604E0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5B74BC69">
        <w:tc>
          <w:tcPr>
            <w:tcW w:w="8848" w:type="dxa"/>
            <w:gridSpan w:val="14"/>
            <w:vAlign w:val="center"/>
          </w:tcPr>
          <w:p w14:paraId="09D47238">
            <w:pPr>
              <w:jc w:val="center"/>
            </w:pPr>
            <w:r>
              <w:rPr>
                <w:rFonts w:ascii="宋体" w:hAnsi="宋体" w:eastAsia="宋体"/>
                <w:sz w:val="24"/>
              </w:rPr>
              <w:t>项目支出绩效自评表</w:t>
            </w:r>
          </w:p>
        </w:tc>
      </w:tr>
      <w:tr w14:paraId="5609DE72">
        <w:tblPrEx>
          <w:tblCellMar>
            <w:top w:w="0" w:type="dxa"/>
            <w:left w:w="108" w:type="dxa"/>
            <w:bottom w:w="0" w:type="dxa"/>
            <w:right w:w="108" w:type="dxa"/>
          </w:tblCellMar>
        </w:tblPrEx>
        <w:tc>
          <w:tcPr>
            <w:tcW w:w="8848" w:type="dxa"/>
            <w:gridSpan w:val="14"/>
            <w:vAlign w:val="center"/>
          </w:tcPr>
          <w:p w14:paraId="750C7F1A">
            <w:pPr>
              <w:jc w:val="center"/>
            </w:pPr>
            <w:r>
              <w:rPr>
                <w:rFonts w:ascii="宋体" w:hAnsi="宋体" w:eastAsia="宋体"/>
                <w:sz w:val="24"/>
              </w:rPr>
              <w:t>(2024年度)</w:t>
            </w:r>
          </w:p>
        </w:tc>
      </w:tr>
      <w:tr w14:paraId="4824F8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9B8C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05C382">
            <w:pPr>
              <w:jc w:val="center"/>
            </w:pPr>
            <w:r>
              <w:rPr>
                <w:rFonts w:ascii="宋体" w:hAnsi="宋体" w:eastAsia="宋体"/>
                <w:sz w:val="16"/>
              </w:rPr>
              <w:t>委员活动经费</w:t>
            </w:r>
          </w:p>
        </w:tc>
      </w:tr>
      <w:tr w14:paraId="2639BA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5FF8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D2D544">
            <w:pPr>
              <w:jc w:val="center"/>
            </w:pPr>
            <w:r>
              <w:rPr>
                <w:rFonts w:ascii="宋体" w:hAnsi="宋体" w:eastAsia="宋体"/>
                <w:sz w:val="16"/>
              </w:rPr>
              <w:t>中国人民政治协商会议新疆维吾尔自治区裕民县委员会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0791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D42F11">
            <w:pPr>
              <w:jc w:val="center"/>
            </w:pPr>
            <w:r>
              <w:rPr>
                <w:rFonts w:ascii="宋体" w:hAnsi="宋体" w:eastAsia="宋体"/>
                <w:sz w:val="16"/>
              </w:rPr>
              <w:t>中国人民政治协商会议新疆维吾尔自治区裕民县委员会</w:t>
            </w:r>
          </w:p>
        </w:tc>
      </w:tr>
      <w:tr w14:paraId="71C77A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A3BF9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C5D9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2BCD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B307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51C3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737A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EA50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3A564">
            <w:pPr>
              <w:jc w:val="center"/>
            </w:pPr>
            <w:r>
              <w:rPr>
                <w:rFonts w:ascii="宋体" w:hAnsi="宋体" w:eastAsia="宋体"/>
                <w:sz w:val="16"/>
              </w:rPr>
              <w:t>得分</w:t>
            </w:r>
          </w:p>
        </w:tc>
      </w:tr>
      <w:tr w14:paraId="70A4E6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4D0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A261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4A9EC">
            <w:pPr>
              <w:jc w:val="center"/>
            </w:pPr>
            <w:r>
              <w:rPr>
                <w:rFonts w:ascii="宋体" w:hAnsi="宋体" w:eastAsia="宋体"/>
                <w:sz w:val="16"/>
              </w:rPr>
              <w:t>5.32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5C44A">
            <w:pPr>
              <w:jc w:val="center"/>
            </w:pPr>
            <w:r>
              <w:rPr>
                <w:rFonts w:ascii="宋体" w:hAnsi="宋体" w:eastAsia="宋体"/>
                <w:sz w:val="16"/>
              </w:rPr>
              <w:t>5.32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8455A">
            <w:pPr>
              <w:jc w:val="center"/>
            </w:pPr>
            <w:r>
              <w:rPr>
                <w:rFonts w:ascii="宋体" w:hAnsi="宋体" w:eastAsia="宋体"/>
                <w:sz w:val="16"/>
              </w:rPr>
              <w:t>5.32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90F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7EBB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BDAFA">
            <w:pPr>
              <w:jc w:val="center"/>
            </w:pPr>
            <w:r>
              <w:rPr>
                <w:rFonts w:ascii="宋体" w:hAnsi="宋体" w:eastAsia="宋体"/>
                <w:sz w:val="16"/>
              </w:rPr>
              <w:t>10.00</w:t>
            </w:r>
          </w:p>
        </w:tc>
      </w:tr>
      <w:tr w14:paraId="222151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492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4375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D787A">
            <w:pPr>
              <w:jc w:val="center"/>
            </w:pPr>
            <w:r>
              <w:rPr>
                <w:rFonts w:ascii="宋体" w:hAnsi="宋体" w:eastAsia="宋体"/>
                <w:sz w:val="16"/>
              </w:rPr>
              <w:t>5.32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A2B6B">
            <w:pPr>
              <w:jc w:val="center"/>
            </w:pPr>
            <w:r>
              <w:rPr>
                <w:rFonts w:ascii="宋体" w:hAnsi="宋体" w:eastAsia="宋体"/>
                <w:sz w:val="16"/>
              </w:rPr>
              <w:t>5.32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91BD5">
            <w:pPr>
              <w:jc w:val="center"/>
            </w:pPr>
            <w:r>
              <w:rPr>
                <w:rFonts w:ascii="宋体" w:hAnsi="宋体" w:eastAsia="宋体"/>
                <w:sz w:val="16"/>
              </w:rPr>
              <w:t>5.32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5684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911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1100D">
            <w:pPr>
              <w:jc w:val="center"/>
            </w:pPr>
            <w:r>
              <w:rPr>
                <w:rFonts w:ascii="宋体" w:hAnsi="宋体" w:eastAsia="宋体"/>
                <w:sz w:val="16"/>
              </w:rPr>
              <w:t>—</w:t>
            </w:r>
          </w:p>
        </w:tc>
      </w:tr>
      <w:tr w14:paraId="4BEAE8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F23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51DB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324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2B1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DE5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467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441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37DE9">
            <w:pPr>
              <w:jc w:val="center"/>
            </w:pPr>
            <w:r>
              <w:rPr>
                <w:rFonts w:ascii="宋体" w:hAnsi="宋体" w:eastAsia="宋体"/>
                <w:sz w:val="16"/>
              </w:rPr>
              <w:t>—</w:t>
            </w:r>
          </w:p>
        </w:tc>
      </w:tr>
      <w:tr w14:paraId="4DFA64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B6C03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554D3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2972D4">
            <w:pPr>
              <w:jc w:val="center"/>
            </w:pPr>
            <w:r>
              <w:rPr>
                <w:rFonts w:ascii="宋体" w:hAnsi="宋体" w:eastAsia="宋体"/>
                <w:sz w:val="16"/>
              </w:rPr>
              <w:t>实际完成情况</w:t>
            </w:r>
          </w:p>
        </w:tc>
      </w:tr>
      <w:tr w14:paraId="0CC556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9C3C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212E6E">
            <w:pPr>
              <w:jc w:val="both"/>
            </w:pPr>
            <w:r>
              <w:rPr>
                <w:rFonts w:ascii="宋体" w:hAnsi="宋体" w:eastAsia="宋体"/>
                <w:sz w:val="16"/>
              </w:rPr>
              <w:t>组织委员对广大人民群众关心的热点难点问题进行重点调研4次，参加委员活动60人及以上，增强委员的依法履职能力、推动县委决策部署落实，保证政协委员的知情权、参与权和监督权。2024年投入预算资金5.32万元，保证了委员正常培训学习调研活动，达到了委员正常履职的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09A21E">
            <w:pPr>
              <w:jc w:val="both"/>
            </w:pPr>
            <w:r>
              <w:rPr>
                <w:rFonts w:ascii="宋体" w:hAnsi="宋体" w:eastAsia="宋体"/>
                <w:sz w:val="16"/>
              </w:rPr>
              <w:t>2024年委员活动经费项目预算资金5.32万元，</w:t>
            </w:r>
            <w:r>
              <w:rPr>
                <w:rFonts w:hint="eastAsia" w:ascii="宋体" w:hAnsi="宋体"/>
                <w:sz w:val="16"/>
                <w:lang w:eastAsia="zh-CN"/>
              </w:rPr>
              <w:t>截至2024</w:t>
            </w:r>
            <w:r>
              <w:rPr>
                <w:rFonts w:ascii="宋体" w:hAnsi="宋体" w:eastAsia="宋体"/>
                <w:sz w:val="16"/>
              </w:rPr>
              <w:t>年12月31日，已经支付5.32万元</w:t>
            </w:r>
            <w:r>
              <w:rPr>
                <w:rFonts w:hint="eastAsia" w:ascii="宋体" w:hAnsi="宋体"/>
                <w:sz w:val="16"/>
                <w:lang w:eastAsia="zh-CN"/>
              </w:rPr>
              <w:t>。</w:t>
            </w:r>
            <w:r>
              <w:rPr>
                <w:rFonts w:ascii="宋体" w:hAnsi="宋体" w:eastAsia="宋体"/>
                <w:sz w:val="16"/>
              </w:rPr>
              <w:t>项目按照计划正常实行，已经完成了委员参与人数60人，委员活动次数4次，用于委员调研学习产生的办公费3.32万元，用于委员视察考察产生的差旅费2万元，保证了委员正常培训学习调研活动，达到了委员正常履职的效益。</w:t>
            </w:r>
          </w:p>
        </w:tc>
      </w:tr>
      <w:tr w14:paraId="378182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48F7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2BCC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62BF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1B26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1BA7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CE6A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8070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B36E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0A6B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D310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3539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AADA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35AB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71F02">
            <w:pPr>
              <w:jc w:val="center"/>
            </w:pPr>
            <w:r>
              <w:rPr>
                <w:rFonts w:ascii="宋体" w:hAnsi="宋体" w:eastAsia="宋体"/>
                <w:sz w:val="16"/>
              </w:rPr>
              <w:t>偏差原因分析及改进措施</w:t>
            </w:r>
          </w:p>
        </w:tc>
      </w:tr>
      <w:tr w14:paraId="371A54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2AC81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83D8B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E6BBB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DB44B">
            <w:pPr>
              <w:jc w:val="center"/>
            </w:pPr>
            <w:r>
              <w:rPr>
                <w:rFonts w:ascii="宋体" w:hAnsi="宋体" w:eastAsia="宋体"/>
                <w:sz w:val="16"/>
              </w:rPr>
              <w:t>参加委员活动人数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A2ACA">
            <w:pPr>
              <w:jc w:val="center"/>
            </w:pPr>
            <w:r>
              <w:rPr>
                <w:rFonts w:ascii="宋体" w:hAnsi="宋体" w:eastAsia="宋体"/>
                <w:sz w:val="16"/>
              </w:rPr>
              <w:t>&gt;=60人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7DC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BFB90">
            <w:pPr>
              <w:jc w:val="center"/>
            </w:pPr>
            <w:r>
              <w:rPr>
                <w:rFonts w:ascii="宋体" w:hAnsi="宋体" w:eastAsia="宋体"/>
                <w:sz w:val="16"/>
              </w:rPr>
              <w:t>64人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9170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662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56E3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1CE58">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F53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ED7C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957CC">
            <w:pPr>
              <w:jc w:val="center"/>
            </w:pPr>
          </w:p>
        </w:tc>
      </w:tr>
      <w:tr w14:paraId="6DA8C2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237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6F6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971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4135C">
            <w:pPr>
              <w:jc w:val="center"/>
            </w:pPr>
            <w:r>
              <w:rPr>
                <w:rFonts w:ascii="宋体" w:hAnsi="宋体" w:eastAsia="宋体"/>
                <w:sz w:val="16"/>
              </w:rPr>
              <w:t>各级政协委员参与重点调研次数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B3D73">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4152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A8467">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9FE5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BE4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F2F4C">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87C23">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1EA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952A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1270C">
            <w:pPr>
              <w:jc w:val="center"/>
            </w:pPr>
          </w:p>
        </w:tc>
      </w:tr>
      <w:tr w14:paraId="63FB38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FCF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55F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5CEB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BFAAF">
            <w:pPr>
              <w:jc w:val="center"/>
            </w:pPr>
            <w:r>
              <w:rPr>
                <w:rFonts w:ascii="宋体" w:hAnsi="宋体" w:eastAsia="宋体"/>
                <w:sz w:val="16"/>
              </w:rPr>
              <w:t>政协委员经费列支准确率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EA7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35A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411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0E67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1BB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889D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CFD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282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FABA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3983E">
            <w:pPr>
              <w:jc w:val="center"/>
            </w:pPr>
          </w:p>
        </w:tc>
      </w:tr>
      <w:tr w14:paraId="030B0C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B10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113F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3FAAA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3C7C3">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3BEB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F57A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239E0">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0739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8F8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0F16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8556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971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5F58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27954">
            <w:pPr>
              <w:jc w:val="center"/>
            </w:pPr>
          </w:p>
        </w:tc>
      </w:tr>
      <w:tr w14:paraId="6D46D3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375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E36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682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1722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697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73DE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C67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49ED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598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B714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1FF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0DA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2DF5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E041C">
            <w:pPr>
              <w:jc w:val="center"/>
            </w:pPr>
          </w:p>
        </w:tc>
      </w:tr>
      <w:tr w14:paraId="3FCB34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27C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C20A1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C96FC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96F8E">
            <w:pPr>
              <w:jc w:val="center"/>
            </w:pPr>
            <w:r>
              <w:rPr>
                <w:rFonts w:ascii="宋体" w:hAnsi="宋体" w:eastAsia="宋体"/>
                <w:sz w:val="16"/>
              </w:rPr>
              <w:t>调研产生的办公费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8FE37">
            <w:pPr>
              <w:jc w:val="center"/>
            </w:pPr>
            <w:r>
              <w:rPr>
                <w:rFonts w:ascii="宋体" w:hAnsi="宋体" w:eastAsia="宋体"/>
                <w:sz w:val="16"/>
              </w:rPr>
              <w:t>&lt;=3.32万元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EF1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21443">
            <w:pPr>
              <w:jc w:val="center"/>
            </w:pPr>
            <w:r>
              <w:rPr>
                <w:rFonts w:ascii="宋体" w:hAnsi="宋体" w:eastAsia="宋体"/>
                <w:sz w:val="16"/>
              </w:rPr>
              <w:t>2.68万元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BC9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F5E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BC14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AAD93">
            <w:pPr>
              <w:jc w:val="center"/>
            </w:pPr>
            <w:r>
              <w:rPr>
                <w:rFonts w:ascii="宋体" w:hAnsi="宋体" w:eastAsia="宋体"/>
                <w:sz w:val="16"/>
              </w:rPr>
              <w:t>3.32万元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E40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75C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63A0E">
            <w:pPr>
              <w:jc w:val="center"/>
            </w:pPr>
          </w:p>
        </w:tc>
      </w:tr>
      <w:tr w14:paraId="20268D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235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0A4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852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A8B7D">
            <w:pPr>
              <w:jc w:val="center"/>
            </w:pPr>
            <w:r>
              <w:rPr>
                <w:rFonts w:ascii="宋体" w:hAnsi="宋体" w:eastAsia="宋体"/>
                <w:sz w:val="16"/>
              </w:rPr>
              <w:t>委员学习产生的差旅费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B1EDD">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26F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8976A">
            <w:pPr>
              <w:jc w:val="center"/>
            </w:pPr>
            <w:r>
              <w:rPr>
                <w:rFonts w:ascii="宋体" w:hAnsi="宋体" w:eastAsia="宋体"/>
                <w:sz w:val="16"/>
              </w:rPr>
              <w:t>1.31万元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E34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7D0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FE9E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46703">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FB2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FC8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8C0E8">
            <w:pPr>
              <w:jc w:val="center"/>
            </w:pPr>
          </w:p>
        </w:tc>
      </w:tr>
      <w:tr w14:paraId="631B24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83C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0BE5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8BA2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A0A8F">
            <w:pPr>
              <w:jc w:val="center"/>
            </w:pPr>
            <w:r>
              <w:rPr>
                <w:rFonts w:ascii="宋体" w:hAnsi="宋体" w:eastAsia="宋体"/>
                <w:sz w:val="16"/>
              </w:rPr>
              <w:t>保障政协委员正常开展工作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6D5B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9694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08E7C">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A4604">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F9E1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19EC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0DD5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13E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FB872">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57E4F">
            <w:pPr>
              <w:jc w:val="center"/>
            </w:pPr>
          </w:p>
        </w:tc>
      </w:tr>
      <w:tr w14:paraId="3658BD0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68EC6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47CA0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62291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2A2D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D22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4B005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295C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F6FE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05F9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2FEE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64063C"/>
        </w:tc>
      </w:tr>
    </w:tbl>
    <w:p w14:paraId="75DFF7C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13AB898">
        <w:tblPrEx>
          <w:tblCellMar>
            <w:top w:w="0" w:type="dxa"/>
            <w:left w:w="108" w:type="dxa"/>
            <w:bottom w:w="0" w:type="dxa"/>
            <w:right w:w="108" w:type="dxa"/>
          </w:tblCellMar>
        </w:tblPrEx>
        <w:tc>
          <w:tcPr>
            <w:tcW w:w="8848" w:type="dxa"/>
            <w:gridSpan w:val="14"/>
            <w:vAlign w:val="center"/>
          </w:tcPr>
          <w:p w14:paraId="02F41DBD">
            <w:pPr>
              <w:jc w:val="center"/>
            </w:pPr>
            <w:r>
              <w:rPr>
                <w:rFonts w:ascii="宋体" w:hAnsi="宋体" w:eastAsia="宋体"/>
                <w:sz w:val="24"/>
              </w:rPr>
              <w:t>项目支出绩效自评表</w:t>
            </w:r>
          </w:p>
        </w:tc>
      </w:tr>
      <w:tr w14:paraId="5C95FE64">
        <w:tblPrEx>
          <w:tblCellMar>
            <w:top w:w="0" w:type="dxa"/>
            <w:left w:w="108" w:type="dxa"/>
            <w:bottom w:w="0" w:type="dxa"/>
            <w:right w:w="108" w:type="dxa"/>
          </w:tblCellMar>
        </w:tblPrEx>
        <w:tc>
          <w:tcPr>
            <w:tcW w:w="8848" w:type="dxa"/>
            <w:gridSpan w:val="14"/>
            <w:vAlign w:val="center"/>
          </w:tcPr>
          <w:p w14:paraId="3C9498F7">
            <w:pPr>
              <w:jc w:val="center"/>
            </w:pPr>
            <w:r>
              <w:rPr>
                <w:rFonts w:ascii="宋体" w:hAnsi="宋体" w:eastAsia="宋体"/>
                <w:sz w:val="24"/>
              </w:rPr>
              <w:t>(2024年度)</w:t>
            </w:r>
          </w:p>
        </w:tc>
      </w:tr>
      <w:tr w14:paraId="18D3B4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6DDE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97BF16">
            <w:pPr>
              <w:jc w:val="center"/>
            </w:pPr>
            <w:r>
              <w:rPr>
                <w:rFonts w:ascii="宋体" w:hAnsi="宋体" w:eastAsia="宋体"/>
                <w:sz w:val="16"/>
              </w:rPr>
              <w:t>政协会议费</w:t>
            </w:r>
          </w:p>
        </w:tc>
      </w:tr>
      <w:tr w14:paraId="2DC427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C5B2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38A9E8">
            <w:pPr>
              <w:jc w:val="center"/>
            </w:pPr>
            <w:r>
              <w:rPr>
                <w:rFonts w:ascii="宋体" w:hAnsi="宋体" w:eastAsia="宋体"/>
                <w:sz w:val="16"/>
              </w:rPr>
              <w:t>中国人民政治协商会议新疆维吾尔自治区裕民县委员会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946D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43370D">
            <w:pPr>
              <w:jc w:val="center"/>
            </w:pPr>
            <w:r>
              <w:rPr>
                <w:rFonts w:ascii="宋体" w:hAnsi="宋体" w:eastAsia="宋体"/>
                <w:sz w:val="16"/>
              </w:rPr>
              <w:t>中国人民政治协商会议新疆维吾尔自治区裕民县委员会</w:t>
            </w:r>
          </w:p>
        </w:tc>
      </w:tr>
      <w:tr w14:paraId="7F0EC0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EBEFA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DDC2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F1FA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48FC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B83E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6F4B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36DD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A6620">
            <w:pPr>
              <w:jc w:val="center"/>
            </w:pPr>
            <w:r>
              <w:rPr>
                <w:rFonts w:ascii="宋体" w:hAnsi="宋体" w:eastAsia="宋体"/>
                <w:sz w:val="16"/>
              </w:rPr>
              <w:t>得分</w:t>
            </w:r>
          </w:p>
        </w:tc>
      </w:tr>
      <w:tr w14:paraId="4F0486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926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2BAC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69E31">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1D2D7">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C0754">
            <w:pPr>
              <w:jc w:val="center"/>
            </w:pPr>
            <w:r>
              <w:rPr>
                <w:rFonts w:ascii="宋体" w:hAnsi="宋体" w:eastAsia="宋体"/>
                <w:sz w:val="16"/>
              </w:rPr>
              <w:t>2.47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59B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D2E79">
            <w:pPr>
              <w:jc w:val="center"/>
            </w:pPr>
            <w:r>
              <w:rPr>
                <w:rFonts w:ascii="宋体" w:hAnsi="宋体" w:eastAsia="宋体"/>
                <w:sz w:val="16"/>
              </w:rPr>
              <w:t>82.33%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034B6">
            <w:pPr>
              <w:jc w:val="center"/>
            </w:pPr>
            <w:r>
              <w:rPr>
                <w:rFonts w:ascii="宋体" w:hAnsi="宋体" w:eastAsia="宋体"/>
                <w:sz w:val="16"/>
              </w:rPr>
              <w:t>8.23</w:t>
            </w:r>
          </w:p>
        </w:tc>
      </w:tr>
      <w:tr w14:paraId="4C0DA0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700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9F80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934D3">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BE511">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38040">
            <w:pPr>
              <w:jc w:val="center"/>
            </w:pPr>
            <w:r>
              <w:rPr>
                <w:rFonts w:ascii="宋体" w:hAnsi="宋体" w:eastAsia="宋体"/>
                <w:sz w:val="16"/>
              </w:rPr>
              <w:t>2.47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FA1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9DF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DDB97">
            <w:pPr>
              <w:jc w:val="center"/>
            </w:pPr>
            <w:r>
              <w:rPr>
                <w:rFonts w:ascii="宋体" w:hAnsi="宋体" w:eastAsia="宋体"/>
                <w:sz w:val="16"/>
              </w:rPr>
              <w:t>—</w:t>
            </w:r>
          </w:p>
        </w:tc>
      </w:tr>
      <w:tr w14:paraId="1A3589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E54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04E9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604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F21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7A3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F53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D05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37739">
            <w:pPr>
              <w:jc w:val="center"/>
            </w:pPr>
            <w:r>
              <w:rPr>
                <w:rFonts w:ascii="宋体" w:hAnsi="宋体" w:eastAsia="宋体"/>
                <w:sz w:val="16"/>
              </w:rPr>
              <w:t>—</w:t>
            </w:r>
          </w:p>
        </w:tc>
      </w:tr>
      <w:tr w14:paraId="262CCF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CCF27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BFC80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55265F">
            <w:pPr>
              <w:jc w:val="center"/>
            </w:pPr>
            <w:r>
              <w:rPr>
                <w:rFonts w:ascii="宋体" w:hAnsi="宋体" w:eastAsia="宋体"/>
                <w:sz w:val="16"/>
              </w:rPr>
              <w:t>实际完成情况</w:t>
            </w:r>
          </w:p>
        </w:tc>
      </w:tr>
      <w:tr w14:paraId="411D7E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6CBB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BE4BD8">
            <w:pPr>
              <w:jc w:val="both"/>
            </w:pPr>
            <w:r>
              <w:rPr>
                <w:rFonts w:ascii="宋体" w:hAnsi="宋体" w:eastAsia="宋体"/>
                <w:sz w:val="16"/>
              </w:rPr>
              <w:t>确保政协大会一年一期的如期圆满召开，保证政协会议召开的质量。完成了一年一度政协会议的如期圆满召开；组织政协委员四次对本县的经济、环境、生态等方面的课题进行专题调研、圆满</w:t>
            </w:r>
            <w:r>
              <w:rPr>
                <w:rFonts w:hint="eastAsia" w:ascii="宋体" w:hAnsi="宋体"/>
                <w:sz w:val="16"/>
                <w:lang w:eastAsia="zh-CN"/>
              </w:rPr>
              <w:t>地</w:t>
            </w:r>
            <w:r>
              <w:rPr>
                <w:rFonts w:ascii="宋体" w:hAnsi="宋体" w:eastAsia="宋体"/>
                <w:sz w:val="16"/>
              </w:rPr>
              <w:t>完成了调研任务并书写了高质量的调研报告上报县委、县政府。每年召开政协委员全体大会1次，参加政协会议60人，会议召开3天，会议筹备期间费用1万元，全体会议期间产生的办公耗材及会议食宿费2万元。整个项目投入预算3万元，保证每年政协大会的正常如期圆满</w:t>
            </w:r>
            <w:r>
              <w:rPr>
                <w:rFonts w:hint="eastAsia" w:ascii="宋体" w:hAnsi="宋体"/>
                <w:sz w:val="16"/>
                <w:lang w:eastAsia="zh-CN"/>
              </w:rPr>
              <w:t>地</w:t>
            </w:r>
            <w:r>
              <w:rPr>
                <w:rFonts w:ascii="宋体" w:hAnsi="宋体" w:eastAsia="宋体"/>
                <w:sz w:val="16"/>
              </w:rPr>
              <w:t>召开，达到了委员能正常及时</w:t>
            </w:r>
            <w:r>
              <w:rPr>
                <w:rFonts w:hint="eastAsia" w:ascii="宋体" w:hAnsi="宋体"/>
                <w:sz w:val="16"/>
                <w:lang w:eastAsia="zh-CN"/>
              </w:rPr>
              <w:t>地</w:t>
            </w:r>
            <w:r>
              <w:rPr>
                <w:rFonts w:ascii="宋体" w:hAnsi="宋体" w:eastAsia="宋体"/>
                <w:sz w:val="16"/>
              </w:rPr>
              <w:t>建言献策的效益。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DB2CF3">
            <w:pPr>
              <w:jc w:val="both"/>
            </w:pPr>
            <w:r>
              <w:rPr>
                <w:rFonts w:ascii="宋体" w:hAnsi="宋体" w:eastAsia="宋体"/>
                <w:sz w:val="16"/>
              </w:rPr>
              <w:t>政协会议费项目预算资金3万元，</w:t>
            </w:r>
            <w:r>
              <w:rPr>
                <w:rFonts w:hint="eastAsia" w:ascii="宋体" w:hAnsi="宋体"/>
                <w:sz w:val="16"/>
                <w:lang w:eastAsia="zh-CN"/>
              </w:rPr>
              <w:t>截至2024</w:t>
            </w:r>
            <w:r>
              <w:rPr>
                <w:rFonts w:ascii="宋体" w:hAnsi="宋体" w:eastAsia="宋体"/>
                <w:sz w:val="16"/>
              </w:rPr>
              <w:t>年1</w:t>
            </w:r>
            <w:bookmarkStart w:id="0" w:name="_GoBack"/>
            <w:r>
              <w:rPr>
                <w:rFonts w:ascii="宋体" w:hAnsi="宋体" w:eastAsia="宋体"/>
                <w:sz w:val="16"/>
              </w:rPr>
              <w:t>2月31日</w:t>
            </w:r>
            <w:bookmarkEnd w:id="0"/>
            <w:r>
              <w:rPr>
                <w:rFonts w:ascii="宋体" w:hAnsi="宋体" w:eastAsia="宋体"/>
                <w:sz w:val="16"/>
              </w:rPr>
              <w:t>，已经支付2.47万元，用于会议筹备期间费用0.9万元，用于会议期间的委员食宿费1.57万元，项目按照计划正常实行，已经完成了会议经费使用数60人，会期3天，达到了委员正常履职的效果。</w:t>
            </w:r>
          </w:p>
        </w:tc>
      </w:tr>
      <w:tr w14:paraId="5BB672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1D23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C941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DB9C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2D9E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CA06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4D49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8B9C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ADFA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14A9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04A7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247A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07A0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2EFA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8902D">
            <w:pPr>
              <w:jc w:val="center"/>
            </w:pPr>
            <w:r>
              <w:rPr>
                <w:rFonts w:ascii="宋体" w:hAnsi="宋体" w:eastAsia="宋体"/>
                <w:sz w:val="16"/>
              </w:rPr>
              <w:t>偏差原因分析及改进措施</w:t>
            </w:r>
          </w:p>
        </w:tc>
      </w:tr>
      <w:tr w14:paraId="0AA8BF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96A95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7B08C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0AD61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B001A">
            <w:pPr>
              <w:jc w:val="center"/>
            </w:pPr>
            <w:r>
              <w:rPr>
                <w:rFonts w:ascii="宋体" w:hAnsi="宋体" w:eastAsia="宋体"/>
                <w:sz w:val="16"/>
              </w:rPr>
              <w:t>参加政协会议人数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92FB9">
            <w:pPr>
              <w:jc w:val="center"/>
            </w:pPr>
            <w:r>
              <w:rPr>
                <w:rFonts w:ascii="宋体" w:hAnsi="宋体" w:eastAsia="宋体"/>
                <w:sz w:val="16"/>
              </w:rPr>
              <w:t>&gt;=60人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183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7AC90">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A62C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06A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036D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BDF65">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6D6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0839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B6677">
            <w:pPr>
              <w:jc w:val="center"/>
            </w:pPr>
          </w:p>
        </w:tc>
      </w:tr>
      <w:tr w14:paraId="17E92F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262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EB9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168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B1657">
            <w:pPr>
              <w:jc w:val="center"/>
            </w:pPr>
            <w:r>
              <w:rPr>
                <w:rFonts w:ascii="宋体" w:hAnsi="宋体" w:eastAsia="宋体"/>
                <w:sz w:val="16"/>
              </w:rPr>
              <w:t>会议召开的天数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5439E">
            <w:pPr>
              <w:jc w:val="center"/>
            </w:pPr>
            <w:r>
              <w:rPr>
                <w:rFonts w:ascii="宋体" w:hAnsi="宋体" w:eastAsia="宋体"/>
                <w:sz w:val="16"/>
              </w:rPr>
              <w:t>&gt;=3天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BAE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E5358">
            <w:pPr>
              <w:jc w:val="center"/>
            </w:pPr>
            <w:r>
              <w:rPr>
                <w:rFonts w:ascii="宋体" w:hAnsi="宋体" w:eastAsia="宋体"/>
                <w:sz w:val="16"/>
              </w:rPr>
              <w: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07A3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8DA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E08C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87967">
            <w:pPr>
              <w:jc w:val="center"/>
            </w:pPr>
            <w:r>
              <w:rPr>
                <w:rFonts w:ascii="宋体" w:hAnsi="宋体" w:eastAsia="宋体"/>
                <w:sz w:val="16"/>
              </w:rPr>
              <w: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EF0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8EAF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127BB">
            <w:pPr>
              <w:jc w:val="center"/>
            </w:pPr>
          </w:p>
        </w:tc>
      </w:tr>
      <w:tr w14:paraId="57452A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705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0B16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3E4AF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EFB34">
            <w:pPr>
              <w:jc w:val="center"/>
            </w:pPr>
            <w:r>
              <w:rPr>
                <w:rFonts w:ascii="宋体" w:hAnsi="宋体" w:eastAsia="宋体"/>
                <w:sz w:val="16"/>
              </w:rPr>
              <w:t>会议经费列支的准确率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CD2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D91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2EA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D706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A21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CF0C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864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673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7F43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3380D">
            <w:pPr>
              <w:jc w:val="center"/>
            </w:pPr>
          </w:p>
        </w:tc>
      </w:tr>
      <w:tr w14:paraId="0918FC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AFD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2A4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DF0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F8B5F">
            <w:pPr>
              <w:jc w:val="center"/>
            </w:pPr>
            <w:r>
              <w:rPr>
                <w:rFonts w:ascii="宋体" w:hAnsi="宋体" w:eastAsia="宋体"/>
                <w:sz w:val="16"/>
              </w:rPr>
              <w:t>经费支出保障率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92B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1F2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825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ABB4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E43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9504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4FA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8D8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0AFD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55AFD">
            <w:pPr>
              <w:jc w:val="center"/>
            </w:pPr>
          </w:p>
        </w:tc>
      </w:tr>
      <w:tr w14:paraId="239216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2DE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7B22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E9FC2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4BD15">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6337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BB9C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AEB98">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822A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B28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7B78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3DF8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7A8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6496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06AA5">
            <w:pPr>
              <w:jc w:val="center"/>
            </w:pPr>
          </w:p>
        </w:tc>
      </w:tr>
      <w:tr w14:paraId="7130EF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6EC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B42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292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E293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7C2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DC0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249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9F8E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1A0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6BED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4F1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19A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DEBE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30670">
            <w:pPr>
              <w:jc w:val="center"/>
            </w:pPr>
          </w:p>
        </w:tc>
      </w:tr>
      <w:tr w14:paraId="5F1249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BEF1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6CCF5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FAD3D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C2ABD">
            <w:pPr>
              <w:jc w:val="center"/>
            </w:pPr>
            <w:r>
              <w:rPr>
                <w:rFonts w:ascii="宋体" w:hAnsi="宋体" w:eastAsia="宋体"/>
                <w:sz w:val="16"/>
              </w:rPr>
              <w:t>会议筹备期间产生的费用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EF8F3">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ABEF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F9937">
            <w:pPr>
              <w:jc w:val="center"/>
            </w:pPr>
            <w:r>
              <w:rPr>
                <w:rFonts w:ascii="宋体" w:hAnsi="宋体" w:eastAsia="宋体"/>
                <w:sz w:val="16"/>
              </w:rPr>
              <w:t>2.91万元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7A6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DEA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7DA9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6F214">
            <w:pPr>
              <w:jc w:val="center"/>
            </w:pPr>
            <w:r>
              <w:rPr>
                <w:rFonts w:ascii="宋体" w:hAnsi="宋体" w:eastAsia="宋体"/>
                <w:sz w:val="16"/>
              </w:rPr>
              <w:t>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D6F0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0CC29">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EC67D">
            <w:pPr>
              <w:jc w:val="center"/>
            </w:pPr>
            <w:r>
              <w:rPr>
                <w:rFonts w:ascii="宋体" w:hAnsi="宋体" w:eastAsia="宋体"/>
                <w:sz w:val="16"/>
              </w:rPr>
              <w:t>偏差原因：项目已圆满完成，但由于精简了会议标准，节约了开支。改进措施：今后合理精准预算，减少偏差。</w:t>
            </w:r>
          </w:p>
        </w:tc>
      </w:tr>
      <w:tr w14:paraId="1DCA5D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A1B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2CB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78F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F977E">
            <w:pPr>
              <w:jc w:val="center"/>
            </w:pPr>
            <w:r>
              <w:rPr>
                <w:rFonts w:ascii="宋体" w:hAnsi="宋体" w:eastAsia="宋体"/>
                <w:sz w:val="16"/>
              </w:rPr>
              <w:t>政协会议期间产生的食宿费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78ED0">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9E48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3D6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F67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1EE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0F0C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0C61D">
            <w:pPr>
              <w:jc w:val="center"/>
            </w:pPr>
            <w:r>
              <w:rPr>
                <w:rFonts w:ascii="宋体" w:hAnsi="宋体" w:eastAsia="宋体"/>
                <w:sz w:val="16"/>
              </w:rPr>
              <w:t>1.57万元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5E517">
            <w:pPr>
              <w:jc w:val="center"/>
            </w:pPr>
            <w:r>
              <w:rPr>
                <w:rFonts w:ascii="宋体" w:hAnsi="宋体" w:eastAsia="宋体"/>
                <w:sz w:val="16"/>
              </w:rPr>
              <w:t>78.5%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C8E66">
            <w:pPr>
              <w:jc w:val="center"/>
            </w:pPr>
            <w:r>
              <w:rPr>
                <w:rFonts w:ascii="宋体" w:hAnsi="宋体" w:eastAsia="宋体"/>
                <w:sz w:val="16"/>
              </w:rPr>
              <w:t>7.85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24C25">
            <w:pPr>
              <w:jc w:val="center"/>
            </w:pPr>
            <w:r>
              <w:rPr>
                <w:rFonts w:ascii="宋体" w:hAnsi="宋体" w:eastAsia="宋体"/>
                <w:sz w:val="16"/>
              </w:rPr>
              <w:t>偏差原因：项目已圆满完成，但由于精简了会议标准，节约了开支。改进措施：今后合理精准预算，减少偏差。</w:t>
            </w:r>
          </w:p>
        </w:tc>
      </w:tr>
      <w:tr w14:paraId="534101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D2B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B997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62C4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CABC2">
            <w:pPr>
              <w:jc w:val="center"/>
            </w:pPr>
            <w:r>
              <w:rPr>
                <w:rFonts w:ascii="宋体" w:hAnsi="宋体" w:eastAsia="宋体"/>
                <w:sz w:val="16"/>
              </w:rPr>
              <w:t>保障政协委员正常开展工作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1941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B175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358A3">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BCF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2A34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4308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5FDF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BD9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4987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660D1">
            <w:pPr>
              <w:jc w:val="center"/>
            </w:pPr>
          </w:p>
        </w:tc>
      </w:tr>
      <w:tr w14:paraId="3AA58E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3F0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7187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94F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6F279">
            <w:pPr>
              <w:jc w:val="center"/>
            </w:pPr>
            <w:r>
              <w:rPr>
                <w:rFonts w:ascii="宋体" w:hAnsi="宋体" w:eastAsia="宋体"/>
                <w:sz w:val="16"/>
              </w:rPr>
              <w:t>参会政协委员满意度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5299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0388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4D57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898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4FFD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4B59C">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6488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96F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CB9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F5AEB">
            <w:pPr>
              <w:jc w:val="center"/>
            </w:pPr>
          </w:p>
        </w:tc>
      </w:tr>
      <w:tr w14:paraId="3F945C1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6C3BF9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8FDE1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1B59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8A61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969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57235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68BF7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EE14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7177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DE6AA">
            <w:pPr>
              <w:jc w:val="center"/>
            </w:pPr>
            <w:r>
              <w:rPr>
                <w:rFonts w:ascii="宋体" w:hAnsi="宋体" w:eastAsia="宋体"/>
                <w:sz w:val="16"/>
              </w:rPr>
              <w:t>95.08分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3C33BD"/>
        </w:tc>
      </w:tr>
    </w:tbl>
    <w:p w14:paraId="0EADF901">
      <w:r>
        <w:br w:type="page"/>
      </w:r>
    </w:p>
    <w:p w14:paraId="6874DCC3">
      <w:pPr>
        <w:spacing w:line="640" w:lineRule="exact"/>
        <w:ind w:firstLine="640"/>
        <w:jc w:val="both"/>
        <w:outlineLvl w:val="2"/>
      </w:pPr>
      <w:r>
        <w:rPr>
          <w:rFonts w:ascii="黑体" w:hAnsi="黑体" w:eastAsia="黑体"/>
          <w:sz w:val="32"/>
        </w:rPr>
        <w:t>十二、其他需说明的事项</w:t>
      </w:r>
    </w:p>
    <w:p w14:paraId="1944AE06">
      <w:pPr>
        <w:spacing w:line="580" w:lineRule="exact"/>
        <w:ind w:firstLine="640"/>
        <w:jc w:val="both"/>
      </w:pPr>
      <w:r>
        <w:rPr>
          <w:rFonts w:ascii="仿宋_GB2312" w:hAnsi="仿宋_GB2312" w:eastAsia="仿宋_GB2312"/>
          <w:b w:val="0"/>
          <w:sz w:val="32"/>
        </w:rPr>
        <w:t>本单位无其他需说明事项。</w:t>
      </w:r>
    </w:p>
    <w:p w14:paraId="140B5BAC">
      <w:r>
        <w:br w:type="page"/>
      </w:r>
    </w:p>
    <w:p w14:paraId="40EC5C3C">
      <w:pPr>
        <w:spacing w:line="240" w:lineRule="auto"/>
        <w:jc w:val="center"/>
        <w:outlineLvl w:val="1"/>
      </w:pPr>
      <w:r>
        <w:rPr>
          <w:rFonts w:ascii="黑体" w:hAnsi="黑体" w:eastAsia="黑体"/>
          <w:sz w:val="32"/>
        </w:rPr>
        <w:t>第三部分 专业名词解释</w:t>
      </w:r>
    </w:p>
    <w:p w14:paraId="3287C4D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A0854E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85034A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E5C111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425E66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51B361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3CADF7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C10000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D066DC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ACE254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45AC8C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B2552F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A91F1A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8DA6A4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E6E207E">
      <w:r>
        <w:br w:type="page"/>
      </w:r>
    </w:p>
    <w:p w14:paraId="316219C0">
      <w:pPr>
        <w:spacing w:line="240" w:lineRule="auto"/>
        <w:jc w:val="center"/>
        <w:outlineLvl w:val="1"/>
      </w:pPr>
      <w:r>
        <w:rPr>
          <w:rFonts w:ascii="黑体" w:hAnsi="黑体" w:eastAsia="黑体"/>
          <w:sz w:val="32"/>
        </w:rPr>
        <w:t>第四部分 部门决算报表（见附表）</w:t>
      </w:r>
    </w:p>
    <w:p w14:paraId="58F3D828">
      <w:pPr>
        <w:spacing w:line="240" w:lineRule="auto"/>
        <w:ind w:firstLine="640"/>
        <w:jc w:val="both"/>
      </w:pPr>
      <w:r>
        <w:rPr>
          <w:rFonts w:ascii="仿宋_GB2312" w:hAnsi="仿宋_GB2312" w:eastAsia="仿宋_GB2312"/>
          <w:b w:val="0"/>
          <w:sz w:val="32"/>
        </w:rPr>
        <w:t>一、《收入支出决算总表》</w:t>
      </w:r>
    </w:p>
    <w:p w14:paraId="11BE3CF4">
      <w:pPr>
        <w:spacing w:line="240" w:lineRule="auto"/>
        <w:ind w:firstLine="640"/>
        <w:jc w:val="both"/>
      </w:pPr>
      <w:r>
        <w:rPr>
          <w:rFonts w:ascii="仿宋_GB2312" w:hAnsi="仿宋_GB2312" w:eastAsia="仿宋_GB2312"/>
          <w:b w:val="0"/>
          <w:sz w:val="32"/>
        </w:rPr>
        <w:t>二、《收入决算表》</w:t>
      </w:r>
    </w:p>
    <w:p w14:paraId="4BB825F2">
      <w:pPr>
        <w:spacing w:line="240" w:lineRule="auto"/>
        <w:ind w:firstLine="640"/>
        <w:jc w:val="both"/>
      </w:pPr>
      <w:r>
        <w:rPr>
          <w:rFonts w:ascii="仿宋_GB2312" w:hAnsi="仿宋_GB2312" w:eastAsia="仿宋_GB2312"/>
          <w:b w:val="0"/>
          <w:sz w:val="32"/>
        </w:rPr>
        <w:t>三、《支出决算表》</w:t>
      </w:r>
    </w:p>
    <w:p w14:paraId="2812D68C">
      <w:pPr>
        <w:spacing w:line="240" w:lineRule="auto"/>
        <w:ind w:firstLine="640"/>
        <w:jc w:val="both"/>
      </w:pPr>
      <w:r>
        <w:rPr>
          <w:rFonts w:ascii="仿宋_GB2312" w:hAnsi="仿宋_GB2312" w:eastAsia="仿宋_GB2312"/>
          <w:b w:val="0"/>
          <w:sz w:val="32"/>
        </w:rPr>
        <w:t>四、《财政拨款收入支出决算总表》</w:t>
      </w:r>
    </w:p>
    <w:p w14:paraId="2C72807E">
      <w:pPr>
        <w:spacing w:line="240" w:lineRule="auto"/>
        <w:ind w:firstLine="640"/>
        <w:jc w:val="both"/>
      </w:pPr>
      <w:r>
        <w:rPr>
          <w:rFonts w:ascii="仿宋_GB2312" w:hAnsi="仿宋_GB2312" w:eastAsia="仿宋_GB2312"/>
          <w:b w:val="0"/>
          <w:sz w:val="32"/>
        </w:rPr>
        <w:t>五、《一般公共预算财政拨款支出决算表》</w:t>
      </w:r>
    </w:p>
    <w:p w14:paraId="6C5C629D">
      <w:pPr>
        <w:spacing w:line="240" w:lineRule="auto"/>
        <w:ind w:firstLine="640"/>
        <w:jc w:val="both"/>
      </w:pPr>
      <w:r>
        <w:rPr>
          <w:rFonts w:ascii="仿宋_GB2312" w:hAnsi="仿宋_GB2312" w:eastAsia="仿宋_GB2312"/>
          <w:b w:val="0"/>
          <w:sz w:val="32"/>
        </w:rPr>
        <w:t>六、《一般公共预算财政拨款基本支出决算表》</w:t>
      </w:r>
    </w:p>
    <w:p w14:paraId="16FC6F2E">
      <w:pPr>
        <w:spacing w:line="240" w:lineRule="auto"/>
        <w:ind w:firstLine="640"/>
        <w:jc w:val="both"/>
      </w:pPr>
      <w:r>
        <w:rPr>
          <w:rFonts w:ascii="仿宋_GB2312" w:hAnsi="仿宋_GB2312" w:eastAsia="仿宋_GB2312"/>
          <w:b w:val="0"/>
          <w:sz w:val="32"/>
        </w:rPr>
        <w:t>七、《政府性基金预算财政拨款收入支出决算表》</w:t>
      </w:r>
    </w:p>
    <w:p w14:paraId="627FE486">
      <w:pPr>
        <w:spacing w:line="240" w:lineRule="auto"/>
        <w:ind w:firstLine="640"/>
        <w:jc w:val="both"/>
      </w:pPr>
      <w:r>
        <w:rPr>
          <w:rFonts w:ascii="仿宋_GB2312" w:hAnsi="仿宋_GB2312" w:eastAsia="仿宋_GB2312"/>
          <w:b w:val="0"/>
          <w:sz w:val="32"/>
        </w:rPr>
        <w:t>八、《国有资本经营预算财政拨款收入支出决算表》</w:t>
      </w:r>
    </w:p>
    <w:p w14:paraId="0ED62627">
      <w:pPr>
        <w:spacing w:line="240" w:lineRule="auto"/>
        <w:ind w:firstLine="640"/>
        <w:jc w:val="both"/>
      </w:pPr>
      <w:r>
        <w:rPr>
          <w:rFonts w:ascii="仿宋_GB2312" w:hAnsi="仿宋_GB2312" w:eastAsia="仿宋_GB2312"/>
          <w:b w:val="0"/>
          <w:sz w:val="32"/>
        </w:rPr>
        <w:t>九、《财政拨款“三公”经费支出决算表》</w:t>
      </w:r>
    </w:p>
    <w:p w14:paraId="21645586">
      <w:pPr>
        <w:spacing w:line="240" w:lineRule="auto"/>
        <w:ind w:firstLine="640"/>
        <w:jc w:val="both"/>
      </w:pPr>
    </w:p>
    <w:p w14:paraId="358DBA41">
      <w:pPr>
        <w:spacing w:line="240" w:lineRule="auto"/>
        <w:ind w:firstLine="640"/>
        <w:jc w:val="both"/>
      </w:pPr>
    </w:p>
    <w:p w14:paraId="2D0E16BE">
      <w:pPr>
        <w:spacing w:line="240" w:lineRule="auto"/>
        <w:ind w:firstLine="640"/>
        <w:jc w:val="both"/>
      </w:pPr>
    </w:p>
    <w:p w14:paraId="10FF253D">
      <w:pPr>
        <w:spacing w:line="240" w:lineRule="auto"/>
        <w:ind w:firstLine="640"/>
        <w:jc w:val="both"/>
      </w:pPr>
    </w:p>
    <w:p w14:paraId="5177AE1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B882568-A29F-4E92-A7F9-7506B70139C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DC685BBD-8EB4-4F7A-8041-16D742EC11B8}"/>
  </w:font>
  <w:font w:name="仿宋_GB2312">
    <w:panose1 w:val="02010609030101010101"/>
    <w:charset w:val="86"/>
    <w:family w:val="modern"/>
    <w:pitch w:val="default"/>
    <w:sig w:usb0="00000001" w:usb1="080E0000" w:usb2="00000000" w:usb3="00000000" w:csb0="00040000" w:csb1="00000000"/>
    <w:embedRegular r:id="rId3" w:fontKey="{5C18A87F-0D7C-497D-9476-D10EF29F5596}"/>
  </w:font>
  <w:font w:name="楷体_GB2312">
    <w:panose1 w:val="02010609030101010101"/>
    <w:charset w:val="86"/>
    <w:family w:val="auto"/>
    <w:pitch w:val="default"/>
    <w:sig w:usb0="00000001" w:usb1="080E0000" w:usb2="00000000" w:usb3="00000000" w:csb0="00040000" w:csb1="00000000"/>
    <w:embedRegular r:id="rId4" w:fontKey="{D8758099-64A7-45FF-A2D3-4C37C41D158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3EE477C4"/>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D1348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5540</Words>
  <Characters>6382</Characters>
  <Lines>0</Lines>
  <Paragraphs>0</Paragraphs>
  <TotalTime>11</TotalTime>
  <ScaleCrop>false</ScaleCrop>
  <LinksUpToDate>false</LinksUpToDate>
  <CharactersWithSpaces>6390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2025-11-07T09:51:47Z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