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中共裕民县委网络安全和信息化委员会办公室2024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8F3ECFE">
      <w:r>
        <w:br w:type="page"/>
      </w:r>
    </w:p>
    <w:p w14:paraId="15D282BD">
      <w:pPr>
        <w:spacing w:line="640" w:lineRule="exact"/>
        <w:jc w:val="center"/>
        <w:outlineLvl w:val="1"/>
      </w:pPr>
      <w:r>
        <w:rPr>
          <w:rFonts w:ascii="黑体" w:hAnsi="黑体" w:eastAsia="黑体"/>
          <w:sz w:val="32"/>
        </w:rPr>
        <w:t>第一部分 单位概况</w:t>
      </w:r>
    </w:p>
    <w:p w14:paraId="6689C1AC">
      <w:pPr>
        <w:spacing w:line="640" w:lineRule="exact"/>
        <w:ind w:firstLine="640"/>
        <w:jc w:val="both"/>
        <w:outlineLvl w:val="2"/>
      </w:pPr>
      <w:r>
        <w:rPr>
          <w:rFonts w:ascii="黑体" w:hAnsi="黑体" w:eastAsia="黑体"/>
          <w:sz w:val="32"/>
        </w:rPr>
        <w:t>一、主要职能</w:t>
      </w:r>
    </w:p>
    <w:p w14:paraId="71181070">
      <w:pPr>
        <w:spacing w:line="580" w:lineRule="exact"/>
        <w:ind w:firstLine="640"/>
        <w:jc w:val="both"/>
      </w:pPr>
      <w:r>
        <w:rPr>
          <w:rFonts w:ascii="仿宋_GB2312" w:hAnsi="仿宋_GB2312" w:eastAsia="仿宋_GB2312"/>
          <w:sz w:val="32"/>
        </w:rPr>
        <w:t>（1）负责处理县委网络安全和信息化委员会日常事务工作。</w:t>
      </w:r>
    </w:p>
    <w:p w14:paraId="781B5545">
      <w:pPr>
        <w:spacing w:line="580" w:lineRule="exact"/>
        <w:ind w:firstLine="640"/>
        <w:jc w:val="both"/>
      </w:pPr>
      <w:r>
        <w:rPr>
          <w:rFonts w:ascii="仿宋_GB2312" w:hAnsi="仿宋_GB2312" w:eastAsia="仿宋_GB2312"/>
          <w:sz w:val="32"/>
        </w:rPr>
        <w:t>（2）协调督促有关方面落实县委网络安全和信息化委员会的决定事项、工作部署和要求。</w:t>
      </w:r>
    </w:p>
    <w:p w14:paraId="3E2C3061">
      <w:pPr>
        <w:spacing w:line="580" w:lineRule="exact"/>
        <w:ind w:firstLine="640"/>
        <w:jc w:val="both"/>
      </w:pPr>
      <w:r>
        <w:rPr>
          <w:rFonts w:ascii="仿宋_GB2312" w:hAnsi="仿宋_GB2312" w:eastAsia="仿宋_GB2312"/>
          <w:sz w:val="32"/>
        </w:rPr>
        <w:t>（3）组织开展涉及政治、经济、文化、社会等各个领域的网络安全和信息化重大问题研究，向县委网络安全和信息化委员会提出工作建议。</w:t>
      </w:r>
    </w:p>
    <w:p w14:paraId="320160A4">
      <w:pPr>
        <w:spacing w:line="580" w:lineRule="exact"/>
        <w:ind w:firstLine="640"/>
        <w:jc w:val="both"/>
      </w:pPr>
      <w:r>
        <w:rPr>
          <w:rFonts w:ascii="仿宋_GB2312" w:hAnsi="仿宋_GB2312" w:eastAsia="仿宋_GB2312"/>
          <w:sz w:val="32"/>
        </w:rPr>
        <w:t>（4）承担县委网信</w:t>
      </w:r>
      <w:bookmarkStart w:id="0" w:name="_GoBack"/>
      <w:bookmarkEnd w:id="0"/>
      <w:r>
        <w:rPr>
          <w:rFonts w:ascii="仿宋_GB2312" w:hAnsi="仿宋_GB2312" w:eastAsia="仿宋_GB2312"/>
          <w:sz w:val="32"/>
        </w:rPr>
        <w:t>工委日常事务工作。协调督促有关方面落实县委网信工委的决定事项、工作部署和要求。</w:t>
      </w:r>
    </w:p>
    <w:p w14:paraId="721ECC8E">
      <w:pPr>
        <w:spacing w:line="580" w:lineRule="exact"/>
        <w:ind w:firstLine="640"/>
        <w:jc w:val="both"/>
      </w:pPr>
      <w:r>
        <w:rPr>
          <w:rFonts w:ascii="仿宋_GB2312" w:hAnsi="仿宋_GB2312" w:eastAsia="仿宋_GB2312"/>
          <w:sz w:val="32"/>
        </w:rPr>
        <w:t>（5）负责网信领域党的建设和人才队伍建设。指导网信领域党的组织、党的领导、党的作用发挥全覆盖。</w:t>
      </w:r>
    </w:p>
    <w:p w14:paraId="6750E47B">
      <w:pPr>
        <w:spacing w:line="640" w:lineRule="exact"/>
        <w:ind w:firstLine="640"/>
        <w:jc w:val="both"/>
        <w:outlineLvl w:val="2"/>
      </w:pPr>
      <w:r>
        <w:rPr>
          <w:rFonts w:ascii="黑体" w:hAnsi="黑体" w:eastAsia="黑体"/>
          <w:sz w:val="32"/>
        </w:rPr>
        <w:t>二、机构设置及人员情况</w:t>
      </w:r>
    </w:p>
    <w:p w14:paraId="319A6BB7">
      <w:pPr>
        <w:spacing w:line="580" w:lineRule="exact"/>
        <w:ind w:firstLine="640"/>
        <w:jc w:val="both"/>
      </w:pPr>
      <w:r>
        <w:rPr>
          <w:rFonts w:ascii="仿宋_GB2312" w:hAnsi="仿宋_GB2312" w:eastAsia="仿宋_GB2312"/>
          <w:sz w:val="32"/>
        </w:rPr>
        <w:t>中共裕民县委网络安全和信息化委员会办公室2024年度，实有人数19人，其中：在职人员19人，增加3人；离休人员0人，增加0人；退休人员0人,增加0人。</w:t>
      </w:r>
    </w:p>
    <w:p w14:paraId="6805B1CA">
      <w:pPr>
        <w:spacing w:line="580" w:lineRule="exact"/>
        <w:ind w:firstLine="640"/>
        <w:jc w:val="both"/>
      </w:pPr>
      <w:r>
        <w:rPr>
          <w:rFonts w:ascii="仿宋_GB2312" w:hAnsi="仿宋_GB2312" w:eastAsia="仿宋_GB2312"/>
          <w:sz w:val="32"/>
        </w:rPr>
        <w:t>中共裕民县委网络安全和信息化委员会办公室无下属预算单位，下设4个科室，分别是：综合科、舆情科、党建科、网评网举中心。</w:t>
      </w:r>
    </w:p>
    <w:p w14:paraId="3B069EA8">
      <w:r>
        <w:br w:type="page"/>
      </w:r>
    </w:p>
    <w:p w14:paraId="21E6EA06">
      <w:pPr>
        <w:spacing w:line="240" w:lineRule="auto"/>
        <w:jc w:val="center"/>
        <w:outlineLvl w:val="1"/>
      </w:pPr>
      <w:r>
        <w:rPr>
          <w:rFonts w:ascii="黑体" w:hAnsi="黑体" w:eastAsia="黑体"/>
          <w:sz w:val="32"/>
        </w:rPr>
        <w:t>第二部分 部门决算情况说明</w:t>
      </w:r>
    </w:p>
    <w:p w14:paraId="1ED110CD">
      <w:pPr>
        <w:spacing w:line="640" w:lineRule="exact"/>
        <w:ind w:firstLine="640"/>
        <w:jc w:val="both"/>
        <w:outlineLvl w:val="2"/>
      </w:pPr>
      <w:r>
        <w:rPr>
          <w:rFonts w:ascii="黑体" w:hAnsi="黑体" w:eastAsia="黑体"/>
          <w:sz w:val="32"/>
        </w:rPr>
        <w:t>一、收入支出决算总体情况说明</w:t>
      </w:r>
    </w:p>
    <w:p w14:paraId="71800BF2">
      <w:pPr>
        <w:spacing w:line="580" w:lineRule="exact"/>
        <w:ind w:firstLine="640"/>
        <w:jc w:val="both"/>
      </w:pPr>
      <w:r>
        <w:rPr>
          <w:rFonts w:ascii="仿宋_GB2312" w:hAnsi="仿宋_GB2312" w:eastAsia="仿宋_GB2312"/>
          <w:b/>
          <w:sz w:val="32"/>
        </w:rPr>
        <w:t>2024年度收入总计283.63万元，</w:t>
      </w:r>
      <w:r>
        <w:rPr>
          <w:rFonts w:ascii="仿宋_GB2312" w:hAnsi="仿宋_GB2312" w:eastAsia="仿宋_GB2312"/>
          <w:b w:val="0"/>
          <w:sz w:val="32"/>
        </w:rPr>
        <w:t>其中：本年收入合计283.63万元，使用非财政拨款结余（含专用结余）0.00万元，年初结转和结余0.00万元。</w:t>
      </w:r>
    </w:p>
    <w:p w14:paraId="1DAFF155">
      <w:pPr>
        <w:spacing w:line="580" w:lineRule="exact"/>
        <w:ind w:firstLine="640"/>
        <w:jc w:val="both"/>
      </w:pPr>
      <w:r>
        <w:rPr>
          <w:rFonts w:ascii="仿宋_GB2312" w:hAnsi="仿宋_GB2312" w:eastAsia="仿宋_GB2312"/>
          <w:b/>
          <w:sz w:val="32"/>
        </w:rPr>
        <w:t>2024年度支出总计283.63万元，</w:t>
      </w:r>
      <w:r>
        <w:rPr>
          <w:rFonts w:ascii="仿宋_GB2312" w:hAnsi="仿宋_GB2312" w:eastAsia="仿宋_GB2312"/>
          <w:b w:val="0"/>
          <w:sz w:val="32"/>
        </w:rPr>
        <w:t>其中：本年支出合计283.63万元，结余分配0.00万元，年末结转和结余0.00万元。</w:t>
      </w:r>
    </w:p>
    <w:p w14:paraId="34142CFD">
      <w:pPr>
        <w:spacing w:line="580" w:lineRule="exact"/>
        <w:ind w:firstLine="640"/>
        <w:jc w:val="both"/>
      </w:pPr>
      <w:r>
        <w:rPr>
          <w:rFonts w:ascii="仿宋_GB2312" w:hAnsi="仿宋_GB2312" w:eastAsia="仿宋_GB2312"/>
          <w:b w:val="0"/>
          <w:sz w:val="32"/>
        </w:rPr>
        <w:t>收入支出总体与上年相比，增加34.13万元，增长13.68%，主要原因是：本年在职人员增加，在职人员工资调增、社保、公积金基数调增，人员经费增加。</w:t>
      </w:r>
    </w:p>
    <w:p w14:paraId="07824CD2">
      <w:pPr>
        <w:spacing w:line="640" w:lineRule="exact"/>
        <w:ind w:firstLine="640"/>
        <w:jc w:val="both"/>
        <w:outlineLvl w:val="2"/>
      </w:pPr>
      <w:r>
        <w:rPr>
          <w:rFonts w:ascii="黑体" w:hAnsi="黑体" w:eastAsia="黑体"/>
          <w:sz w:val="32"/>
        </w:rPr>
        <w:t>二、收入决算情况说明</w:t>
      </w:r>
    </w:p>
    <w:p w14:paraId="105D4DA4">
      <w:pPr>
        <w:spacing w:line="580" w:lineRule="exact"/>
        <w:ind w:firstLine="640"/>
        <w:jc w:val="both"/>
      </w:pPr>
      <w:r>
        <w:rPr>
          <w:rFonts w:ascii="仿宋_GB2312" w:hAnsi="仿宋_GB2312" w:eastAsia="仿宋_GB2312"/>
          <w:b/>
          <w:sz w:val="32"/>
        </w:rPr>
        <w:t>本年收入283.63万元，</w:t>
      </w:r>
      <w:r>
        <w:rPr>
          <w:rFonts w:ascii="仿宋_GB2312" w:hAnsi="仿宋_GB2312" w:eastAsia="仿宋_GB2312"/>
          <w:b w:val="0"/>
          <w:sz w:val="32"/>
        </w:rPr>
        <w:t>其中：财政拨款收入283.63万元，占100.00%；上级补助收入0.00万元，占0.00%；事业收入0.00万元，占0.00%；经营收入0.00万元，占0.00%；附属单位上缴收入0.00万元，占0.00%；其他收入0.00万元，占0.00%。</w:t>
      </w:r>
    </w:p>
    <w:p w14:paraId="5A9806C0">
      <w:pPr>
        <w:spacing w:line="640" w:lineRule="exact"/>
        <w:ind w:firstLine="640"/>
        <w:jc w:val="both"/>
        <w:outlineLvl w:val="2"/>
      </w:pPr>
      <w:r>
        <w:rPr>
          <w:rFonts w:ascii="黑体" w:hAnsi="黑体" w:eastAsia="黑体"/>
          <w:sz w:val="32"/>
        </w:rPr>
        <w:t>三、支出决算情况说明</w:t>
      </w:r>
    </w:p>
    <w:p w14:paraId="242B15F8">
      <w:pPr>
        <w:spacing w:line="580" w:lineRule="exact"/>
        <w:ind w:firstLine="640"/>
        <w:jc w:val="both"/>
      </w:pPr>
      <w:r>
        <w:rPr>
          <w:rFonts w:ascii="仿宋_GB2312" w:hAnsi="仿宋_GB2312" w:eastAsia="仿宋_GB2312"/>
          <w:b/>
          <w:sz w:val="32"/>
        </w:rPr>
        <w:t>本年支出283.63万元，</w:t>
      </w:r>
      <w:r>
        <w:rPr>
          <w:rFonts w:ascii="仿宋_GB2312" w:hAnsi="仿宋_GB2312" w:eastAsia="仿宋_GB2312"/>
          <w:b w:val="0"/>
          <w:sz w:val="32"/>
        </w:rPr>
        <w:t>其中：基本支出265.65万元，占93.66%；项目支出17.98万元，占6.34%；上缴上级支出0.00万元，占0.00%；经营支出0.00万元，占0.00%；对附属单位补助支出0.00万元，占0.00%。</w:t>
      </w:r>
    </w:p>
    <w:p w14:paraId="3BB25101">
      <w:pPr>
        <w:spacing w:line="640" w:lineRule="exact"/>
        <w:ind w:firstLine="640"/>
        <w:jc w:val="both"/>
        <w:outlineLvl w:val="2"/>
      </w:pPr>
      <w:r>
        <w:rPr>
          <w:rFonts w:ascii="黑体" w:hAnsi="黑体" w:eastAsia="黑体"/>
          <w:sz w:val="32"/>
        </w:rPr>
        <w:t>四、财政拨款收入支出决算总体情况说明</w:t>
      </w:r>
    </w:p>
    <w:p w14:paraId="198E3131">
      <w:pPr>
        <w:spacing w:line="580" w:lineRule="exact"/>
        <w:ind w:firstLine="640"/>
        <w:jc w:val="both"/>
      </w:pPr>
      <w:r>
        <w:rPr>
          <w:rFonts w:ascii="仿宋_GB2312" w:hAnsi="仿宋_GB2312" w:eastAsia="仿宋_GB2312"/>
          <w:b/>
          <w:sz w:val="32"/>
        </w:rPr>
        <w:t>2024年度财政拨款收入总计283.63万元，</w:t>
      </w:r>
      <w:r>
        <w:rPr>
          <w:rFonts w:ascii="仿宋_GB2312" w:hAnsi="仿宋_GB2312" w:eastAsia="仿宋_GB2312"/>
          <w:b w:val="0"/>
          <w:sz w:val="32"/>
        </w:rPr>
        <w:t>其中：年初财政拨款结转和结余0.00万元，本年财政拨款收入283.63万元。</w:t>
      </w:r>
      <w:r>
        <w:rPr>
          <w:rFonts w:ascii="仿宋_GB2312" w:hAnsi="仿宋_GB2312" w:eastAsia="仿宋_GB2312"/>
          <w:b/>
          <w:sz w:val="32"/>
        </w:rPr>
        <w:t>财政拨款支出总计283.63万元，</w:t>
      </w:r>
      <w:r>
        <w:rPr>
          <w:rFonts w:ascii="仿宋_GB2312" w:hAnsi="仿宋_GB2312" w:eastAsia="仿宋_GB2312"/>
          <w:b w:val="0"/>
          <w:sz w:val="32"/>
        </w:rPr>
        <w:t>其中：年末财政拨款结转和结余0.00万元，本年财政拨款支出283.63万元。</w:t>
      </w:r>
    </w:p>
    <w:p w14:paraId="58C3825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增加34.13万元，增长13.68%，主要原因是：本年在职人员增加，在职人员工资调增、社保、公积金基数调增，人员经费增加。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年初预算数271.53万元，决算数283.63万元，预决算差异率4.46%，主要原因是：本年在职人员增加，年中追加人员经费及人员工资、社保、公积金基数调增部分资金，导致预决算存在差异。</w:t>
      </w:r>
    </w:p>
    <w:p w14:paraId="0A5C8AF9">
      <w:pPr>
        <w:spacing w:line="640" w:lineRule="exact"/>
        <w:ind w:firstLine="640"/>
        <w:jc w:val="both"/>
        <w:outlineLvl w:val="2"/>
      </w:pPr>
      <w:r>
        <w:rPr>
          <w:rFonts w:ascii="黑体" w:hAnsi="黑体" w:eastAsia="黑体"/>
          <w:sz w:val="32"/>
        </w:rPr>
        <w:t>五、一般公共预算财政拨款支出决算情况说明</w:t>
      </w:r>
    </w:p>
    <w:p w14:paraId="6185AE17">
      <w:pPr>
        <w:spacing w:line="640" w:lineRule="exact"/>
        <w:ind w:firstLine="640"/>
        <w:jc w:val="both"/>
        <w:outlineLvl w:val="3"/>
      </w:pPr>
      <w:r>
        <w:rPr>
          <w:rFonts w:ascii="楷体_GB2312" w:hAnsi="楷体_GB2312" w:eastAsia="楷体_GB2312"/>
          <w:b/>
          <w:sz w:val="32"/>
        </w:rPr>
        <w:t>（一）一般公共预算财政拨款支出决算总体情况</w:t>
      </w:r>
    </w:p>
    <w:p w14:paraId="36BBBA4B">
      <w:pPr>
        <w:spacing w:line="580" w:lineRule="exact"/>
        <w:ind w:firstLine="640"/>
        <w:jc w:val="both"/>
      </w:pPr>
      <w:r>
        <w:rPr>
          <w:rFonts w:ascii="仿宋_GB2312" w:hAnsi="仿宋_GB2312" w:eastAsia="仿宋_GB2312"/>
          <w:b/>
          <w:sz w:val="32"/>
        </w:rPr>
        <w:t>2024年度一般公共预算财政拨款支出283.63万元，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增加34.13万元，增长13.68%，主要原因是：本年在职人员增加，在职人员工资调增、社保、公积金基数调增，人员经费增加。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年初预算数271.53万元，决算数283.63万元，预决算差异率4.46%，主要原因是：本年在职人员增加，年中追加人员经费及人员工资、社保、公积金基数调增部分资金，导致预决算存在差异。</w:t>
      </w:r>
    </w:p>
    <w:p w14:paraId="43B5722C">
      <w:pPr>
        <w:spacing w:line="640" w:lineRule="exact"/>
        <w:ind w:firstLine="640"/>
        <w:jc w:val="both"/>
        <w:outlineLvl w:val="3"/>
      </w:pPr>
      <w:r>
        <w:rPr>
          <w:rFonts w:ascii="楷体_GB2312" w:hAnsi="楷体_GB2312" w:eastAsia="楷体_GB2312"/>
          <w:b/>
          <w:sz w:val="32"/>
        </w:rPr>
        <w:t>（二）一般公共预算财政拨款支出决算结构情况</w:t>
      </w:r>
    </w:p>
    <w:p w14:paraId="17C9E1AB">
      <w:pPr>
        <w:spacing w:line="580" w:lineRule="exact"/>
        <w:ind w:firstLine="640"/>
        <w:jc w:val="both"/>
      </w:pPr>
      <w:r>
        <w:rPr>
          <w:rFonts w:ascii="仿宋_GB2312" w:hAnsi="仿宋_GB2312" w:eastAsia="仿宋_GB2312"/>
          <w:b w:val="0"/>
          <w:sz w:val="32"/>
        </w:rPr>
        <w:t>1.一般公共服务支出(类)221.22万元,占78.00%。</w:t>
      </w:r>
    </w:p>
    <w:p w14:paraId="3740A707">
      <w:pPr>
        <w:spacing w:line="580" w:lineRule="exact"/>
        <w:ind w:firstLine="640"/>
        <w:jc w:val="both"/>
      </w:pPr>
      <w:r>
        <w:rPr>
          <w:rFonts w:ascii="仿宋_GB2312" w:hAnsi="仿宋_GB2312" w:eastAsia="仿宋_GB2312"/>
          <w:b w:val="0"/>
          <w:sz w:val="32"/>
        </w:rPr>
        <w:t>2.社会保障和就业支出(类)29.77万元,占10.50%。</w:t>
      </w:r>
    </w:p>
    <w:p w14:paraId="5F5211A1">
      <w:pPr>
        <w:spacing w:line="580" w:lineRule="exact"/>
        <w:ind w:firstLine="640"/>
        <w:jc w:val="both"/>
      </w:pPr>
      <w:r>
        <w:rPr>
          <w:rFonts w:ascii="仿宋_GB2312" w:hAnsi="仿宋_GB2312" w:eastAsia="仿宋_GB2312"/>
          <w:b w:val="0"/>
          <w:sz w:val="32"/>
        </w:rPr>
        <w:t>3.卫生健康支出(类)12.09万元,占4.26%。</w:t>
      </w:r>
    </w:p>
    <w:p w14:paraId="1811AA84">
      <w:pPr>
        <w:spacing w:line="580" w:lineRule="exact"/>
        <w:ind w:firstLine="640"/>
        <w:jc w:val="both"/>
      </w:pPr>
      <w:r>
        <w:rPr>
          <w:rFonts w:ascii="仿宋_GB2312" w:hAnsi="仿宋_GB2312" w:eastAsia="仿宋_GB2312"/>
          <w:b w:val="0"/>
          <w:sz w:val="32"/>
        </w:rPr>
        <w:t>4.住房保障支出(类)20.55万元,占7.25%。</w:t>
      </w:r>
    </w:p>
    <w:p w14:paraId="43E33007">
      <w:pPr>
        <w:spacing w:line="640" w:lineRule="exact"/>
        <w:ind w:firstLine="640"/>
        <w:jc w:val="both"/>
        <w:outlineLvl w:val="3"/>
      </w:pPr>
      <w:r>
        <w:rPr>
          <w:rFonts w:ascii="楷体_GB2312" w:hAnsi="楷体_GB2312" w:eastAsia="楷体_GB2312"/>
          <w:b/>
          <w:sz w:val="32"/>
        </w:rPr>
        <w:t>（三）一般公共预算财政拨款支出决算具体情况</w:t>
      </w:r>
    </w:p>
    <w:p w14:paraId="410A44CF">
      <w:pPr>
        <w:spacing w:line="580" w:lineRule="exact"/>
        <w:ind w:firstLine="640"/>
        <w:jc w:val="both"/>
      </w:pPr>
      <w:r>
        <w:rPr>
          <w:rFonts w:ascii="仿宋_GB2312" w:hAnsi="仿宋_GB2312" w:eastAsia="仿宋_GB2312"/>
          <w:b w:val="0"/>
          <w:sz w:val="32"/>
        </w:rPr>
        <w:t>1.一般公共服务支出(类)网信事务(款)行政运行(项):支出决算数为203.24万元，比上年决算增加12.02万元，增长6.29%,主要原因是：本年新增在职人员，在职人员工资调增，人员经费增加，导致经费较上年有所增加。</w:t>
      </w:r>
    </w:p>
    <w:p w14:paraId="18762F18">
      <w:pPr>
        <w:spacing w:line="580" w:lineRule="exact"/>
        <w:ind w:firstLine="640"/>
        <w:jc w:val="both"/>
      </w:pPr>
      <w:r>
        <w:rPr>
          <w:rFonts w:ascii="仿宋_GB2312" w:hAnsi="仿宋_GB2312" w:eastAsia="仿宋_GB2312"/>
          <w:b w:val="0"/>
          <w:sz w:val="32"/>
        </w:rPr>
        <w:t>2.一般公共服务支出(类)网信事务(款)信息安全事务(项):支出决算数为17.98万元，比上年决算增加9.12万元，增长102.93%,主要原因是：本年科目调整，软件服务费上年在行政运行列支，本年</w:t>
      </w:r>
      <w:r>
        <w:rPr>
          <w:rFonts w:hint="eastAsia" w:ascii="仿宋_GB2312" w:hAnsi="仿宋_GB2312" w:eastAsia="仿宋_GB2312"/>
          <w:b w:val="0"/>
          <w:sz w:val="32"/>
          <w:lang w:val="en-US" w:eastAsia="zh-CN"/>
        </w:rPr>
        <w:t>调整至</w:t>
      </w:r>
      <w:r>
        <w:rPr>
          <w:rFonts w:ascii="仿宋_GB2312" w:hAnsi="仿宋_GB2312" w:eastAsia="仿宋_GB2312"/>
          <w:b w:val="0"/>
          <w:sz w:val="32"/>
        </w:rPr>
        <w:t>信息安全事务列支，导致经费增加。</w:t>
      </w:r>
    </w:p>
    <w:p w14:paraId="76A5E9FA">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26.38万元，比上年决算增加4.88万元，增长22.70%,主要原因是：本年在职人员增加，工资基数调增，养老缴费基数增加，机关事业养老保险缴费支出增加。</w:t>
      </w:r>
    </w:p>
    <w:p w14:paraId="4361C677">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3.39万元，比上年决算增加3.39万元，增长100.00%,主要原因是：本年辞职1人，职业年金做实，导致职业年金缴费支出增加。</w:t>
      </w:r>
    </w:p>
    <w:p w14:paraId="6008263F">
      <w:pPr>
        <w:spacing w:line="580" w:lineRule="exact"/>
        <w:ind w:firstLine="640"/>
        <w:jc w:val="both"/>
      </w:pPr>
      <w:r>
        <w:rPr>
          <w:rFonts w:ascii="仿宋_GB2312" w:hAnsi="仿宋_GB2312" w:eastAsia="仿宋_GB2312"/>
          <w:b w:val="0"/>
          <w:sz w:val="32"/>
        </w:rPr>
        <w:t>5.卫生健康支出(类)行政事业单位医疗(款)行政单位医疗(项):支出决算数为10.69万元，比上年决算增加1.18万元，增长12.41%,主要原因是：本年在职人员增加，工资基数调增，医疗保险基数增加，支出增加。</w:t>
      </w:r>
    </w:p>
    <w:p w14:paraId="5B7D2FE7">
      <w:pPr>
        <w:spacing w:line="580" w:lineRule="exact"/>
        <w:ind w:firstLine="640"/>
        <w:jc w:val="both"/>
      </w:pPr>
      <w:r>
        <w:rPr>
          <w:rFonts w:ascii="仿宋_GB2312" w:hAnsi="仿宋_GB2312" w:eastAsia="仿宋_GB2312"/>
          <w:b w:val="0"/>
          <w:sz w:val="32"/>
        </w:rPr>
        <w:t>6.卫生健康支出(类)行政事业单位医疗(款)公务员医疗补助(项):支出决算数为1.40万元，比上年决算增加0.09万元，增长6.87%,主要原因是：本年新增公务员，公务员医疗缴费基数增加，支出增加。</w:t>
      </w:r>
    </w:p>
    <w:p w14:paraId="25B7F94A">
      <w:pPr>
        <w:spacing w:line="580" w:lineRule="exact"/>
        <w:ind w:firstLine="640"/>
        <w:jc w:val="both"/>
      </w:pPr>
      <w:r>
        <w:rPr>
          <w:rFonts w:ascii="仿宋_GB2312" w:hAnsi="仿宋_GB2312" w:eastAsia="仿宋_GB2312"/>
          <w:b w:val="0"/>
          <w:sz w:val="32"/>
        </w:rPr>
        <w:t>7.住房保障支出(类)住房改革支出(款)住房公积金(项):支出决算数为20.55万元，比上年决算增加3.45万元，增长20.18%,主要原因是：本年新增</w:t>
      </w:r>
      <w:r>
        <w:rPr>
          <w:rFonts w:hint="eastAsia" w:ascii="仿宋_GB2312" w:hAnsi="仿宋_GB2312" w:eastAsia="仿宋_GB2312"/>
          <w:b w:val="0"/>
          <w:sz w:val="32"/>
          <w:lang w:val="en-US" w:eastAsia="zh-CN"/>
        </w:rPr>
        <w:t>在职</w:t>
      </w:r>
      <w:r>
        <w:rPr>
          <w:rFonts w:ascii="仿宋_GB2312" w:hAnsi="仿宋_GB2312" w:eastAsia="仿宋_GB2312"/>
          <w:b w:val="0"/>
          <w:sz w:val="32"/>
        </w:rPr>
        <w:t>人员，住房公积金基数增加，支出增加。</w:t>
      </w:r>
    </w:p>
    <w:p w14:paraId="4D4DA80F">
      <w:pPr>
        <w:spacing w:line="640" w:lineRule="exact"/>
        <w:ind w:firstLine="640"/>
        <w:jc w:val="both"/>
        <w:outlineLvl w:val="2"/>
      </w:pPr>
      <w:r>
        <w:rPr>
          <w:rFonts w:ascii="黑体" w:hAnsi="黑体" w:eastAsia="黑体"/>
          <w:sz w:val="32"/>
        </w:rPr>
        <w:t>六、一般公共预算财政拨款基本支出决算情况说明</w:t>
      </w:r>
    </w:p>
    <w:p w14:paraId="7ECF27F7">
      <w:pPr>
        <w:spacing w:line="580" w:lineRule="exact"/>
        <w:ind w:firstLine="640"/>
        <w:jc w:val="both"/>
      </w:pPr>
      <w:r>
        <w:rPr>
          <w:rFonts w:ascii="仿宋_GB2312" w:hAnsi="仿宋_GB2312" w:eastAsia="仿宋_GB2312"/>
          <w:b w:val="0"/>
          <w:sz w:val="32"/>
        </w:rPr>
        <w:t>2024年度一般公共预算财政拨款基本支出265.65万元，其中：</w:t>
      </w:r>
      <w:r>
        <w:rPr>
          <w:rFonts w:ascii="仿宋_GB2312" w:hAnsi="仿宋_GB2312" w:eastAsia="仿宋_GB2312"/>
          <w:b/>
          <w:sz w:val="32"/>
        </w:rPr>
        <w:t>人员经费246.90万元，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w:t>
      </w:r>
    </w:p>
    <w:p w14:paraId="27F7035D">
      <w:pPr>
        <w:spacing w:line="580" w:lineRule="exact"/>
        <w:ind w:firstLine="640"/>
        <w:jc w:val="both"/>
      </w:pPr>
      <w:r>
        <w:rPr>
          <w:rFonts w:ascii="仿宋_GB2312" w:hAnsi="仿宋_GB2312" w:eastAsia="仿宋_GB2312"/>
          <w:b/>
          <w:sz w:val="32"/>
        </w:rPr>
        <w:t>公用经费18.74万元，</w:t>
      </w:r>
      <w:r>
        <w:rPr>
          <w:rFonts w:ascii="仿宋_GB2312" w:hAnsi="仿宋_GB2312" w:eastAsia="仿宋_GB2312"/>
          <w:b w:val="0"/>
          <w:sz w:val="32"/>
        </w:rPr>
        <w:t>包括：办公费、邮电费、取暖费、差旅费、劳务费、工会经费、公务用车运行维护费、办公设备购置。</w:t>
      </w:r>
    </w:p>
    <w:p w14:paraId="6B297C94">
      <w:pPr>
        <w:spacing w:line="640" w:lineRule="exact"/>
        <w:ind w:firstLine="640"/>
        <w:jc w:val="both"/>
        <w:outlineLvl w:val="2"/>
      </w:pPr>
      <w:r>
        <w:rPr>
          <w:rFonts w:ascii="黑体" w:hAnsi="黑体" w:eastAsia="黑体"/>
          <w:sz w:val="32"/>
        </w:rPr>
        <w:t>七、政府性基金预算财政拨款收入支出决算情况说明</w:t>
      </w:r>
    </w:p>
    <w:p w14:paraId="22D395BB">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9998DB3">
      <w:pPr>
        <w:spacing w:line="640" w:lineRule="exact"/>
        <w:ind w:firstLine="640"/>
        <w:jc w:val="both"/>
        <w:outlineLvl w:val="2"/>
      </w:pPr>
      <w:r>
        <w:rPr>
          <w:rFonts w:ascii="黑体" w:hAnsi="黑体" w:eastAsia="黑体"/>
          <w:sz w:val="32"/>
        </w:rPr>
        <w:t>八、国有资本经营预算财政拨款收入支出决算情况说明</w:t>
      </w:r>
    </w:p>
    <w:p w14:paraId="505B6EF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19477D4">
      <w:pPr>
        <w:spacing w:line="640" w:lineRule="exact"/>
        <w:ind w:firstLine="640"/>
        <w:jc w:val="both"/>
        <w:outlineLvl w:val="2"/>
      </w:pPr>
      <w:r>
        <w:rPr>
          <w:rFonts w:ascii="黑体" w:hAnsi="黑体" w:eastAsia="黑体"/>
          <w:sz w:val="32"/>
        </w:rPr>
        <w:t>九、财政拨款“三公”经费支出决算情况说明</w:t>
      </w:r>
    </w:p>
    <w:p w14:paraId="27CDDF7A">
      <w:pPr>
        <w:spacing w:line="580" w:lineRule="exact"/>
        <w:ind w:firstLine="640"/>
        <w:jc w:val="both"/>
      </w:pPr>
      <w:r>
        <w:rPr>
          <w:rFonts w:ascii="仿宋_GB2312" w:hAnsi="仿宋_GB2312" w:eastAsia="仿宋_GB2312"/>
          <w:b/>
          <w:sz w:val="32"/>
        </w:rPr>
        <w:t>2024年度财政拨款“三公”经费支出0.78万元，</w:t>
      </w:r>
      <w:r>
        <w:rPr>
          <w:rFonts w:ascii="仿宋_GB2312" w:hAnsi="仿宋_GB2312" w:eastAsia="仿宋_GB2312"/>
          <w:b w:val="0"/>
          <w:sz w:val="32"/>
        </w:rPr>
        <w:t>比上年增加0.78万元，增长100.00%，主要原因是：</w:t>
      </w:r>
      <w:r>
        <w:rPr>
          <w:rFonts w:hint="eastAsia" w:ascii="仿宋_GB2312" w:hAnsi="仿宋_GB2312" w:eastAsia="仿宋_GB2312"/>
          <w:b w:val="0"/>
          <w:sz w:val="32"/>
          <w:lang w:val="en-US" w:eastAsia="zh-CN"/>
        </w:rPr>
        <w:t>本年将车辆纳入公务用车管理，增加车辆运行经费</w:t>
      </w:r>
      <w:r>
        <w:rPr>
          <w:rFonts w:ascii="仿宋_GB2312" w:hAnsi="仿宋_GB2312" w:eastAsia="仿宋_GB2312"/>
          <w:b w:val="0"/>
          <w:sz w:val="32"/>
        </w:rPr>
        <w:t>。其中：因公出国（境）费支出0.00万元，占0.00%，比上年增加0.00万元，增长0.00%，主要原因是：2023年与2024年均未安排因公出国（境）费支出。公务用车购置及运行维护费支出0.78万元，占100.00%，比上年增加0.78万元，增长100.00%，主要原因是：</w:t>
      </w:r>
      <w:r>
        <w:rPr>
          <w:rFonts w:hint="eastAsia" w:ascii="仿宋_GB2312" w:hAnsi="仿宋_GB2312" w:eastAsia="仿宋_GB2312"/>
          <w:b w:val="0"/>
          <w:sz w:val="32"/>
          <w:lang w:val="en-US" w:eastAsia="zh-CN"/>
        </w:rPr>
        <w:t>本年将车辆纳入公务用车管理，增加车辆运行经费</w:t>
      </w:r>
      <w:r>
        <w:rPr>
          <w:rFonts w:ascii="仿宋_GB2312" w:hAnsi="仿宋_GB2312" w:eastAsia="仿宋_GB2312"/>
          <w:b w:val="0"/>
          <w:sz w:val="32"/>
        </w:rPr>
        <w:t>。公务接待费支出0.00万元，占0.00%，比上年增加0.00万元，增长0.00%，主要原因是：2023年与2024年均未安排公务接待费支出。</w:t>
      </w:r>
    </w:p>
    <w:p w14:paraId="5A10F164">
      <w:pPr>
        <w:spacing w:line="580" w:lineRule="exact"/>
        <w:ind w:firstLine="640"/>
        <w:jc w:val="both"/>
      </w:pPr>
      <w:r>
        <w:rPr>
          <w:rFonts w:ascii="仿宋_GB2312" w:hAnsi="仿宋_GB2312" w:eastAsia="仿宋_GB2312"/>
          <w:b/>
          <w:sz w:val="32"/>
        </w:rPr>
        <w:t>具体情况如下：</w:t>
      </w:r>
    </w:p>
    <w:p w14:paraId="55B36D86">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161CE21">
      <w:pPr>
        <w:spacing w:line="580" w:lineRule="exact"/>
        <w:ind w:firstLine="640"/>
        <w:jc w:val="both"/>
      </w:pPr>
      <w:r>
        <w:rPr>
          <w:rFonts w:ascii="仿宋_GB2312" w:hAnsi="仿宋_GB2312" w:eastAsia="仿宋_GB2312"/>
          <w:b w:val="0"/>
          <w:sz w:val="32"/>
        </w:rPr>
        <w:t>公务用车购置及运行维护费0.78万元，其中：公务用车购置费0.00万元，公务用车运行维护费0.78万元。公务用车运行维护费开支内容包括车辆保险费、车辆燃油费。公务用车购置数0辆，公务用车保有量1辆。国有资产占用情况中固定资产车辆1辆，与公务用车保有量差异原因是：本单位固定资产车辆与公务用车保有量一致无差异。</w:t>
      </w:r>
    </w:p>
    <w:p w14:paraId="710353CA">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28ADA0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2.00万元，决算数0.78万元，预决算差异率-61.00%，主要原因是：严格落实中央八项规定精神，厉行节约，减少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2.00万元，决算数0.78万元，预决算差异率-61.00%，主要原因是：严格落实中央八项规定精神，厉行节约，减少经费支出。公务接待费全年预算数0.00万元，决算数0.00万元，预决算差异率0.00%，主要原因是：本单位无公务接待费。</w:t>
      </w:r>
    </w:p>
    <w:p w14:paraId="58472ECA">
      <w:pPr>
        <w:spacing w:line="640" w:lineRule="exact"/>
        <w:ind w:firstLine="640"/>
        <w:jc w:val="both"/>
        <w:outlineLvl w:val="2"/>
      </w:pPr>
      <w:r>
        <w:rPr>
          <w:rFonts w:ascii="黑体" w:hAnsi="黑体" w:eastAsia="黑体"/>
          <w:sz w:val="32"/>
        </w:rPr>
        <w:t>十、其他重要事项的情况说明</w:t>
      </w:r>
    </w:p>
    <w:p w14:paraId="36882929">
      <w:pPr>
        <w:spacing w:line="640" w:lineRule="exact"/>
        <w:ind w:firstLine="640"/>
        <w:jc w:val="both"/>
        <w:outlineLvl w:val="3"/>
      </w:pPr>
      <w:r>
        <w:rPr>
          <w:rFonts w:ascii="楷体_GB2312" w:hAnsi="楷体_GB2312" w:eastAsia="楷体_GB2312"/>
          <w:b/>
          <w:sz w:val="32"/>
        </w:rPr>
        <w:t>（一）机关运行经费及公用经费支出情况</w:t>
      </w:r>
    </w:p>
    <w:p w14:paraId="05990DF5">
      <w:pPr>
        <w:spacing w:line="580" w:lineRule="exact"/>
        <w:ind w:firstLine="640"/>
        <w:jc w:val="both"/>
      </w:pPr>
      <w:r>
        <w:rPr>
          <w:rFonts w:ascii="仿宋_GB2312" w:hAnsi="仿宋_GB2312" w:eastAsia="仿宋_GB2312"/>
          <w:b w:val="0"/>
          <w:sz w:val="32"/>
        </w:rPr>
        <w:t>2024年度中共裕民县委网络安全和信息化委员会办公室（行政单位和参照公务员法管理事业单位）机关运行经费支出18.74万元，比上年增加0.26万元，增长1.41%，主要原因是：本年在职人员增加，业务量增加，办公费用增加。</w:t>
      </w:r>
    </w:p>
    <w:p w14:paraId="317AAF3D">
      <w:pPr>
        <w:spacing w:line="640" w:lineRule="exact"/>
        <w:ind w:firstLine="640"/>
        <w:jc w:val="both"/>
        <w:outlineLvl w:val="3"/>
      </w:pPr>
      <w:r>
        <w:rPr>
          <w:rFonts w:ascii="楷体_GB2312" w:hAnsi="楷体_GB2312" w:eastAsia="楷体_GB2312"/>
          <w:b/>
          <w:sz w:val="32"/>
        </w:rPr>
        <w:t>（二）政府采购情况</w:t>
      </w:r>
    </w:p>
    <w:p w14:paraId="2EB7DA8B">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0F7507B5">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05835BF6">
      <w:pPr>
        <w:spacing w:line="640" w:lineRule="exact"/>
        <w:ind w:firstLine="640"/>
        <w:jc w:val="both"/>
        <w:outlineLvl w:val="3"/>
      </w:pPr>
      <w:r>
        <w:rPr>
          <w:rFonts w:ascii="楷体_GB2312" w:hAnsi="楷体_GB2312" w:eastAsia="楷体_GB2312"/>
          <w:b/>
          <w:sz w:val="32"/>
        </w:rPr>
        <w:t>（三）国有资产占用情况说明</w:t>
      </w:r>
    </w:p>
    <w:p w14:paraId="6E0AA5D1">
      <w:pPr>
        <w:spacing w:line="580" w:lineRule="exact"/>
        <w:ind w:firstLine="640"/>
        <w:jc w:val="both"/>
      </w:pPr>
      <w:r>
        <w:rPr>
          <w:rFonts w:ascii="仿宋_GB2312" w:hAnsi="仿宋_GB2312" w:eastAsia="仿宋_GB2312"/>
          <w:b w:val="0"/>
          <w:sz w:val="32"/>
        </w:rPr>
        <w:t>截至2024年12月31日，房屋0.00平方米，价值0.00万元。车辆1辆，价值27.55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3B027E7B">
      <w:pPr>
        <w:spacing w:line="640" w:lineRule="exact"/>
        <w:ind w:firstLine="640"/>
        <w:jc w:val="both"/>
        <w:outlineLvl w:val="2"/>
      </w:pPr>
      <w:r>
        <w:rPr>
          <w:rFonts w:ascii="黑体" w:hAnsi="黑体" w:eastAsia="黑体"/>
          <w:sz w:val="32"/>
        </w:rPr>
        <w:t>十一、预算绩效的情况说明</w:t>
      </w:r>
    </w:p>
    <w:p w14:paraId="23CB66D8">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根据预算绩效管理要求，本单位2024年度预算绩效管理形成整体支出绩效自评表1个，全年预算总额283.63万元，实际执行总额283.63万元；预算绩效评价项目</w:t>
      </w:r>
      <w:r>
        <w:rPr>
          <w:rFonts w:hint="eastAsia" w:ascii="仿宋_GB2312" w:hAnsi="仿宋_GB2312" w:eastAsia="仿宋_GB2312"/>
          <w:b w:val="0"/>
          <w:sz w:val="32"/>
          <w:lang w:val="en-US" w:eastAsia="zh-CN"/>
        </w:rPr>
        <w:t>1</w:t>
      </w:r>
      <w:r>
        <w:rPr>
          <w:rFonts w:ascii="仿宋_GB2312" w:hAnsi="仿宋_GB2312" w:eastAsia="仿宋_GB2312"/>
          <w:b w:val="0"/>
          <w:sz w:val="32"/>
        </w:rPr>
        <w:t>个，全年预算数17.98万元，全年执行数17.98万元。预算绩效管理取得的成效：本单位预算绩效项目不予公开。发现的问题及原因：本单位预算绩效项目不予公开。下一步改进措施：本单位预算绩效项目不予公开。具体附整体支出绩效自评表。</w:t>
      </w:r>
    </w:p>
    <w:p w14:paraId="24372519">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71248491">
        <w:tblPrEx>
          <w:tblCellMar>
            <w:top w:w="0" w:type="dxa"/>
            <w:left w:w="108" w:type="dxa"/>
            <w:bottom w:w="0" w:type="dxa"/>
            <w:right w:w="108" w:type="dxa"/>
          </w:tblCellMar>
        </w:tblPrEx>
        <w:tc>
          <w:tcPr>
            <w:tcW w:w="8840" w:type="dxa"/>
            <w:gridSpan w:val="8"/>
            <w:vAlign w:val="center"/>
          </w:tcPr>
          <w:p w14:paraId="2F4F8F9C">
            <w:pPr>
              <w:jc w:val="center"/>
            </w:pPr>
            <w:r>
              <w:rPr>
                <w:rFonts w:ascii="宋体" w:hAnsi="宋体" w:eastAsia="宋体"/>
                <w:sz w:val="24"/>
              </w:rPr>
              <w:t>单位整体支出绩效自评表</w:t>
            </w:r>
          </w:p>
        </w:tc>
      </w:tr>
      <w:tr w14:paraId="4E1A4B7F">
        <w:tblPrEx>
          <w:tblCellMar>
            <w:top w:w="0" w:type="dxa"/>
            <w:left w:w="108" w:type="dxa"/>
            <w:bottom w:w="0" w:type="dxa"/>
            <w:right w:w="108" w:type="dxa"/>
          </w:tblCellMar>
        </w:tblPrEx>
        <w:tc>
          <w:tcPr>
            <w:tcW w:w="8840" w:type="dxa"/>
            <w:gridSpan w:val="8"/>
            <w:vAlign w:val="center"/>
          </w:tcPr>
          <w:p w14:paraId="6BB7F57D">
            <w:pPr>
              <w:jc w:val="center"/>
            </w:pPr>
            <w:r>
              <w:rPr>
                <w:rFonts w:ascii="宋体" w:hAnsi="宋体" w:eastAsia="宋体"/>
                <w:sz w:val="24"/>
              </w:rPr>
              <w:t>（2024年度）</w:t>
            </w:r>
          </w:p>
        </w:tc>
      </w:tr>
      <w:tr w14:paraId="33B36B9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2D06CD">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298D55">
            <w:pPr>
              <w:jc w:val="center"/>
            </w:pPr>
            <w:r>
              <w:rPr>
                <w:rFonts w:ascii="宋体" w:hAnsi="宋体" w:eastAsia="宋体"/>
                <w:sz w:val="16"/>
              </w:rPr>
              <w:t>中共裕民县委网络安全和信息化委员会办公室</w:t>
            </w:r>
          </w:p>
        </w:tc>
      </w:tr>
      <w:tr w14:paraId="29CBF8A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4A7451">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B2E5ED">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CD1357">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5039A4">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B013C6">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BD5850">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2FDDC1">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1C5798">
            <w:pPr>
              <w:jc w:val="center"/>
            </w:pPr>
            <w:r>
              <w:rPr>
                <w:rFonts w:ascii="宋体" w:hAnsi="宋体" w:eastAsia="宋体"/>
                <w:sz w:val="16"/>
              </w:rPr>
              <w:t>得分</w:t>
            </w:r>
          </w:p>
        </w:tc>
      </w:tr>
      <w:tr w14:paraId="39E72BF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E5F8C4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B8EA68">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0B3206">
            <w:pPr>
              <w:jc w:val="center"/>
            </w:pPr>
            <w:r>
              <w:rPr>
                <w:rFonts w:ascii="宋体" w:hAnsi="宋体" w:eastAsia="宋体"/>
                <w:sz w:val="16"/>
              </w:rPr>
              <w:t>271.53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AE69ED">
            <w:pPr>
              <w:jc w:val="center"/>
            </w:pPr>
            <w:r>
              <w:rPr>
                <w:rFonts w:ascii="宋体" w:hAnsi="宋体" w:eastAsia="宋体"/>
                <w:sz w:val="16"/>
              </w:rPr>
              <w:t>283.63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8B398D">
            <w:pPr>
              <w:jc w:val="center"/>
            </w:pPr>
            <w:r>
              <w:rPr>
                <w:rFonts w:ascii="宋体" w:hAnsi="宋体" w:eastAsia="宋体"/>
                <w:sz w:val="16"/>
              </w:rPr>
              <w:t>283.63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5BD62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5390A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767DEE">
            <w:pPr>
              <w:jc w:val="center"/>
            </w:pPr>
            <w:r>
              <w:rPr>
                <w:rFonts w:ascii="宋体" w:hAnsi="宋体" w:eastAsia="宋体"/>
                <w:sz w:val="16"/>
              </w:rPr>
              <w:t>10</w:t>
            </w:r>
          </w:p>
        </w:tc>
      </w:tr>
      <w:tr w14:paraId="2E9DBE8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51AF60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E7BBEF">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A7380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032A3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F4ED8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2183D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709E4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B10586">
            <w:pPr>
              <w:jc w:val="center"/>
            </w:pPr>
            <w:r>
              <w:rPr>
                <w:rFonts w:ascii="宋体" w:hAnsi="宋体" w:eastAsia="宋体"/>
                <w:sz w:val="16"/>
              </w:rPr>
              <w:t>-</w:t>
            </w:r>
          </w:p>
        </w:tc>
      </w:tr>
      <w:tr w14:paraId="3CA69DD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95462A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6C690B">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729014">
            <w:pPr>
              <w:jc w:val="center"/>
            </w:pPr>
            <w:r>
              <w:rPr>
                <w:rFonts w:ascii="宋体" w:hAnsi="宋体" w:eastAsia="宋体"/>
                <w:sz w:val="16"/>
              </w:rPr>
              <w:t>271.53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EBFDC4">
            <w:pPr>
              <w:jc w:val="center"/>
            </w:pPr>
            <w:r>
              <w:rPr>
                <w:rFonts w:ascii="宋体" w:hAnsi="宋体" w:eastAsia="宋体"/>
                <w:sz w:val="16"/>
              </w:rPr>
              <w:t>283.63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46BA8D">
            <w:pPr>
              <w:jc w:val="center"/>
            </w:pPr>
            <w:r>
              <w:rPr>
                <w:rFonts w:ascii="宋体" w:hAnsi="宋体" w:eastAsia="宋体"/>
                <w:sz w:val="16"/>
              </w:rPr>
              <w:t>283.63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9E0AB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3CE4D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A43557">
            <w:pPr>
              <w:jc w:val="center"/>
            </w:pPr>
            <w:r>
              <w:rPr>
                <w:rFonts w:ascii="宋体" w:hAnsi="宋体" w:eastAsia="宋体"/>
                <w:sz w:val="16"/>
              </w:rPr>
              <w:t>-</w:t>
            </w:r>
          </w:p>
        </w:tc>
      </w:tr>
      <w:tr w14:paraId="0741FF9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0C9E46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F06A90">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9D2D5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024FA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57540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282A8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B6415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FB121C">
            <w:pPr>
              <w:jc w:val="center"/>
            </w:pPr>
            <w:r>
              <w:rPr>
                <w:rFonts w:ascii="宋体" w:hAnsi="宋体" w:eastAsia="宋体"/>
                <w:sz w:val="16"/>
              </w:rPr>
              <w:t>-</w:t>
            </w:r>
          </w:p>
        </w:tc>
      </w:tr>
      <w:tr w14:paraId="5818A22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8B8C56">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DEF338A">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494A7AB">
            <w:pPr>
              <w:jc w:val="center"/>
            </w:pPr>
            <w:r>
              <w:rPr>
                <w:rFonts w:ascii="宋体" w:hAnsi="宋体" w:eastAsia="宋体"/>
                <w:sz w:val="16"/>
              </w:rPr>
              <w:t>实际完成情况</w:t>
            </w:r>
          </w:p>
        </w:tc>
      </w:tr>
      <w:tr w14:paraId="6B0B6B4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AEFA103"/>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66D2CB3">
            <w:pPr>
              <w:jc w:val="both"/>
            </w:pPr>
            <w:r>
              <w:rPr>
                <w:rFonts w:ascii="宋体" w:hAnsi="宋体" w:eastAsia="宋体"/>
                <w:sz w:val="16"/>
              </w:rPr>
              <w:t>"1.根据年初绩效工作要求，树立“花钱必问效、无效必问责”的绩效理念，发挥单位预算绩效管理主体责任；</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2.2024年全面落实财政关于保工资、保运转、保基本民生的工作要求，按时发放人员工资社保缴费等工作。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3.本着厉行节约的原则，做好属地网络信息安全工作及网信办日常办公工作。"</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94C635C">
            <w:pPr>
              <w:jc w:val="both"/>
            </w:pPr>
            <w:r>
              <w:rPr>
                <w:rFonts w:hint="eastAsia" w:ascii="宋体" w:hAnsi="宋体"/>
                <w:sz w:val="16"/>
                <w:lang w:eastAsia="zh-CN"/>
              </w:rPr>
              <w:t>1.</w:t>
            </w:r>
            <w:r>
              <w:rPr>
                <w:rFonts w:ascii="宋体" w:hAnsi="宋体" w:eastAsia="宋体"/>
                <w:sz w:val="16"/>
              </w:rPr>
              <w:t>做好单位人员经费、公用经费支出，保障单位正常运行。</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2、开展网络安全检查工作4次。开展网络安全宣传活动4次。加强干部业务水平提升，开展业务培训4次、廉政教育培训4次、网络安全培训4次。</w:t>
            </w:r>
          </w:p>
        </w:tc>
      </w:tr>
      <w:tr w14:paraId="7185561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57F1CC">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14B5DC">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24A9EA">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AE297E">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7D5765">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D24948">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DBF81A">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C4CDAB">
            <w:pPr>
              <w:jc w:val="center"/>
            </w:pPr>
            <w:r>
              <w:rPr>
                <w:rFonts w:ascii="宋体" w:hAnsi="宋体" w:eastAsia="宋体"/>
                <w:sz w:val="16"/>
              </w:rPr>
              <w:t>得分</w:t>
            </w:r>
          </w:p>
        </w:tc>
      </w:tr>
      <w:tr w14:paraId="09AA745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4378D5">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76C944">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DAFB03">
            <w:pPr>
              <w:jc w:val="center"/>
            </w:pPr>
            <w:r>
              <w:rPr>
                <w:rFonts w:ascii="宋体" w:hAnsi="宋体" w:eastAsia="宋体"/>
                <w:sz w:val="16"/>
              </w:rPr>
              <w:t>网络培训队伍人数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37886C">
            <w:pPr>
              <w:jc w:val="center"/>
            </w:pPr>
            <w:r>
              <w:rPr>
                <w:rFonts w:ascii="宋体" w:hAnsi="宋体" w:eastAsia="宋体"/>
                <w:sz w:val="16"/>
              </w:rPr>
              <w:t>&gt;=830人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AB91D8">
            <w:pPr>
              <w:jc w:val="center"/>
            </w:pPr>
            <w:r>
              <w:rPr>
                <w:rFonts w:ascii="宋体" w:hAnsi="宋体" w:eastAsia="宋体"/>
                <w:sz w:val="16"/>
              </w:rPr>
              <w:t>2024年重点工作、</w:t>
            </w:r>
            <w:r>
              <w:rPr>
                <w:rFonts w:hint="eastAsia" w:ascii="宋体" w:hAnsi="宋体"/>
                <w:sz w:val="16"/>
                <w:lang w:eastAsia="zh-CN"/>
              </w:rPr>
              <w:t>政府工作报告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5259D8">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BFEEB0">
            <w:pPr>
              <w:jc w:val="center"/>
            </w:pPr>
            <w:r>
              <w:rPr>
                <w:rFonts w:ascii="宋体" w:hAnsi="宋体" w:eastAsia="宋体"/>
                <w:sz w:val="16"/>
              </w:rPr>
              <w:t>830人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6EA026">
            <w:pPr>
              <w:jc w:val="center"/>
            </w:pPr>
            <w:r>
              <w:rPr>
                <w:rFonts w:ascii="宋体" w:hAnsi="宋体" w:eastAsia="宋体"/>
                <w:sz w:val="16"/>
              </w:rPr>
              <w:t>13</w:t>
            </w:r>
          </w:p>
        </w:tc>
      </w:tr>
      <w:tr w14:paraId="353AB10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861668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F4E7AB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12AA44">
            <w:pPr>
              <w:jc w:val="center"/>
            </w:pPr>
            <w:r>
              <w:rPr>
                <w:rFonts w:ascii="宋体" w:hAnsi="宋体" w:eastAsia="宋体"/>
                <w:sz w:val="16"/>
              </w:rPr>
              <w:t>网评网举培训次数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FB542B">
            <w:pPr>
              <w:jc w:val="center"/>
            </w:pPr>
            <w:r>
              <w:rPr>
                <w:rFonts w:ascii="宋体" w:hAnsi="宋体" w:eastAsia="宋体"/>
                <w:sz w:val="16"/>
              </w:rPr>
              <w:t>&gt;=5次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52FEC1">
            <w:pPr>
              <w:jc w:val="center"/>
            </w:pPr>
            <w:r>
              <w:rPr>
                <w:rFonts w:ascii="宋体" w:hAnsi="宋体" w:eastAsia="宋体"/>
                <w:sz w:val="16"/>
              </w:rPr>
              <w:t>2024年重点工作、</w:t>
            </w:r>
            <w:r>
              <w:rPr>
                <w:rFonts w:hint="eastAsia" w:ascii="宋体" w:hAnsi="宋体"/>
                <w:sz w:val="16"/>
                <w:lang w:eastAsia="zh-CN"/>
              </w:rPr>
              <w:t>政府工作报告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81C56E">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B269EC">
            <w:pPr>
              <w:jc w:val="center"/>
            </w:pPr>
            <w:r>
              <w:rPr>
                <w:rFonts w:ascii="宋体" w:hAnsi="宋体" w:eastAsia="宋体"/>
                <w:sz w:val="16"/>
              </w:rPr>
              <w: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265B55">
            <w:pPr>
              <w:jc w:val="center"/>
            </w:pPr>
            <w:r>
              <w:rPr>
                <w:rFonts w:ascii="宋体" w:hAnsi="宋体" w:eastAsia="宋体"/>
                <w:sz w:val="16"/>
              </w:rPr>
              <w:t>13</w:t>
            </w:r>
          </w:p>
        </w:tc>
      </w:tr>
      <w:tr w14:paraId="02791F2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62F266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0CE605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4B9C49">
            <w:pPr>
              <w:jc w:val="center"/>
            </w:pPr>
            <w:r>
              <w:rPr>
                <w:rFonts w:ascii="宋体" w:hAnsi="宋体" w:eastAsia="宋体"/>
                <w:sz w:val="16"/>
              </w:rPr>
              <w:t>网络安全宣传次数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4DB0D3">
            <w:pPr>
              <w:jc w:val="center"/>
            </w:pPr>
            <w:r>
              <w:rPr>
                <w:rFonts w:ascii="宋体" w:hAnsi="宋体" w:eastAsia="宋体"/>
                <w:sz w:val="16"/>
              </w:rPr>
              <w:t>&gt;=12次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F404D4">
            <w:pPr>
              <w:jc w:val="center"/>
            </w:pPr>
            <w:r>
              <w:rPr>
                <w:rFonts w:ascii="宋体" w:hAnsi="宋体" w:eastAsia="宋体"/>
                <w:sz w:val="16"/>
              </w:rPr>
              <w:t>2024年重点工作、</w:t>
            </w:r>
            <w:r>
              <w:rPr>
                <w:rFonts w:hint="eastAsia" w:ascii="宋体" w:hAnsi="宋体"/>
                <w:sz w:val="16"/>
                <w:lang w:eastAsia="zh-CN"/>
              </w:rPr>
              <w:t>政府工作报告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B11B76">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A6A950">
            <w:pPr>
              <w:jc w:val="center"/>
            </w:pPr>
            <w:r>
              <w:rPr>
                <w:rFonts w:ascii="宋体" w:hAnsi="宋体" w:eastAsia="宋体"/>
                <w:sz w:val="16"/>
              </w:rPr>
              <w: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712E32">
            <w:pPr>
              <w:jc w:val="center"/>
            </w:pPr>
            <w:r>
              <w:rPr>
                <w:rFonts w:ascii="宋体" w:hAnsi="宋体" w:eastAsia="宋体"/>
                <w:sz w:val="16"/>
              </w:rPr>
              <w:t>13</w:t>
            </w:r>
          </w:p>
        </w:tc>
      </w:tr>
      <w:tr w14:paraId="0FA4D80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EC7AA6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006866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BFC157">
            <w:pPr>
              <w:jc w:val="center"/>
            </w:pPr>
            <w:r>
              <w:rPr>
                <w:rFonts w:ascii="宋体" w:hAnsi="宋体" w:eastAsia="宋体"/>
                <w:sz w:val="16"/>
              </w:rPr>
              <w:t>网络安全检查次数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EF2FE0">
            <w:pPr>
              <w:jc w:val="center"/>
            </w:pPr>
            <w:r>
              <w:rPr>
                <w:rFonts w:ascii="宋体" w:hAnsi="宋体" w:eastAsia="宋体"/>
                <w:sz w:val="16"/>
              </w:rPr>
              <w:t>&gt;=6次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9F6FE3">
            <w:pPr>
              <w:jc w:val="center"/>
            </w:pPr>
            <w:r>
              <w:rPr>
                <w:rFonts w:ascii="宋体" w:hAnsi="宋体" w:eastAsia="宋体"/>
                <w:sz w:val="16"/>
              </w:rPr>
              <w:t>2024年重点工作、</w:t>
            </w:r>
            <w:r>
              <w:rPr>
                <w:rFonts w:hint="eastAsia" w:ascii="宋体" w:hAnsi="宋体"/>
                <w:sz w:val="16"/>
                <w:lang w:eastAsia="zh-CN"/>
              </w:rPr>
              <w:t>政府工作报告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EDE6DA">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1890AA">
            <w:pPr>
              <w:jc w:val="center"/>
            </w:pPr>
            <w:r>
              <w:rPr>
                <w:rFonts w:ascii="宋体" w:hAnsi="宋体" w:eastAsia="宋体"/>
                <w:sz w:val="16"/>
              </w:rPr>
              <w:t>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7FEC07">
            <w:pPr>
              <w:jc w:val="center"/>
            </w:pPr>
            <w:r>
              <w:rPr>
                <w:rFonts w:ascii="宋体" w:hAnsi="宋体" w:eastAsia="宋体"/>
                <w:sz w:val="16"/>
              </w:rPr>
              <w:t>13</w:t>
            </w:r>
          </w:p>
        </w:tc>
      </w:tr>
      <w:tr w14:paraId="60E93FB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BFAFE78"/>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B7096C">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3D86E1">
            <w:pPr>
              <w:jc w:val="center"/>
            </w:pPr>
            <w:r>
              <w:rPr>
                <w:rFonts w:ascii="宋体" w:hAnsi="宋体" w:eastAsia="宋体"/>
                <w:sz w:val="16"/>
              </w:rPr>
              <w:t>网评网举培训合格率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D8826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A40789">
            <w:pPr>
              <w:jc w:val="center"/>
            </w:pPr>
            <w:r>
              <w:rPr>
                <w:rFonts w:ascii="宋体" w:hAnsi="宋体" w:eastAsia="宋体"/>
                <w:sz w:val="16"/>
              </w:rPr>
              <w:t>2024年重点工作、</w:t>
            </w:r>
            <w:r>
              <w:rPr>
                <w:rFonts w:hint="eastAsia" w:ascii="宋体" w:hAnsi="宋体"/>
                <w:sz w:val="16"/>
                <w:lang w:eastAsia="zh-CN"/>
              </w:rPr>
              <w:t>政府工作报告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A8BE4B">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DBE57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E03CA0">
            <w:pPr>
              <w:jc w:val="center"/>
            </w:pPr>
            <w:r>
              <w:rPr>
                <w:rFonts w:ascii="宋体" w:hAnsi="宋体" w:eastAsia="宋体"/>
                <w:sz w:val="16"/>
              </w:rPr>
              <w:t>13</w:t>
            </w:r>
          </w:p>
        </w:tc>
      </w:tr>
      <w:tr w14:paraId="58824C2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7083EB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47A45E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6964F7">
            <w:pPr>
              <w:jc w:val="center"/>
            </w:pPr>
            <w:r>
              <w:rPr>
                <w:rFonts w:ascii="宋体" w:hAnsi="宋体" w:eastAsia="宋体"/>
                <w:sz w:val="16"/>
              </w:rPr>
              <w:t>工作处置完成率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530DFA">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34D63E">
            <w:pPr>
              <w:jc w:val="center"/>
            </w:pPr>
            <w:r>
              <w:rPr>
                <w:rFonts w:ascii="宋体" w:hAnsi="宋体" w:eastAsia="宋体"/>
                <w:sz w:val="16"/>
              </w:rPr>
              <w:t>2024年重点工作、</w:t>
            </w:r>
            <w:r>
              <w:rPr>
                <w:rFonts w:hint="eastAsia" w:ascii="宋体" w:hAnsi="宋体"/>
                <w:sz w:val="16"/>
                <w:lang w:eastAsia="zh-CN"/>
              </w:rPr>
              <w:t>政府工作报告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A8A9BE">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4F8F6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4E398D">
            <w:pPr>
              <w:jc w:val="center"/>
            </w:pPr>
            <w:r>
              <w:rPr>
                <w:rFonts w:ascii="宋体" w:hAnsi="宋体" w:eastAsia="宋体"/>
                <w:sz w:val="16"/>
              </w:rPr>
              <w:t>13</w:t>
            </w:r>
          </w:p>
        </w:tc>
      </w:tr>
      <w:tr w14:paraId="2144FC8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60AC93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3080E6">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F2CF80">
            <w:pPr>
              <w:jc w:val="center"/>
            </w:pPr>
            <w:r>
              <w:rPr>
                <w:rFonts w:ascii="宋体" w:hAnsi="宋体" w:eastAsia="宋体"/>
                <w:sz w:val="16"/>
              </w:rPr>
              <w:t>工作处置及时率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C0EF3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DEC0CB">
            <w:pPr>
              <w:jc w:val="center"/>
            </w:pPr>
            <w:r>
              <w:rPr>
                <w:rFonts w:ascii="宋体" w:hAnsi="宋体" w:eastAsia="宋体"/>
                <w:sz w:val="16"/>
              </w:rPr>
              <w:t>2024年重点工作、</w:t>
            </w:r>
            <w:r>
              <w:rPr>
                <w:rFonts w:hint="eastAsia" w:ascii="宋体" w:hAnsi="宋体"/>
                <w:sz w:val="16"/>
                <w:lang w:eastAsia="zh-CN"/>
              </w:rPr>
              <w:t>政府工作报告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0FD310">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46D56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D1D069">
            <w:pPr>
              <w:jc w:val="center"/>
            </w:pPr>
            <w:r>
              <w:rPr>
                <w:rFonts w:ascii="宋体" w:hAnsi="宋体" w:eastAsia="宋体"/>
                <w:sz w:val="16"/>
              </w:rPr>
              <w:t>12</w:t>
            </w:r>
          </w:p>
        </w:tc>
      </w:tr>
    </w:tbl>
    <w:p w14:paraId="488B93E1">
      <w:r>
        <w:br w:type="page"/>
      </w:r>
    </w:p>
    <w:p w14:paraId="659E3918">
      <w:pPr>
        <w:spacing w:line="640" w:lineRule="exact"/>
        <w:ind w:firstLine="640"/>
        <w:jc w:val="both"/>
        <w:outlineLvl w:val="2"/>
      </w:pPr>
      <w:r>
        <w:rPr>
          <w:rFonts w:ascii="黑体" w:hAnsi="黑体" w:eastAsia="黑体"/>
          <w:sz w:val="32"/>
        </w:rPr>
        <w:t>十二、其他需说明的事项</w:t>
      </w:r>
    </w:p>
    <w:p w14:paraId="7C1DC0A6">
      <w:pPr>
        <w:spacing w:line="580" w:lineRule="exact"/>
        <w:ind w:firstLine="640"/>
        <w:jc w:val="both"/>
        <w:rPr>
          <w:rFonts w:ascii="仿宋_GB2312" w:hAnsi="仿宋_GB2312" w:eastAsia="仿宋_GB2312"/>
          <w:b w:val="0"/>
          <w:sz w:val="32"/>
        </w:rPr>
      </w:pPr>
      <w:r>
        <w:rPr>
          <w:rFonts w:ascii="仿宋_GB2312" w:hAnsi="仿宋_GB2312" w:eastAsia="仿宋_GB2312"/>
          <w:b w:val="0"/>
          <w:sz w:val="32"/>
        </w:rPr>
        <w:t>本单位2024年度无政府采购支出，授予中小企业合同金额0.00万元。</w:t>
      </w:r>
    </w:p>
    <w:p w14:paraId="37DAD599">
      <w:pPr>
        <w:spacing w:line="580" w:lineRule="exact"/>
        <w:ind w:firstLine="640"/>
        <w:jc w:val="both"/>
      </w:pPr>
      <w:r>
        <w:rPr>
          <w:rFonts w:ascii="仿宋_GB2312" w:hAnsi="仿宋_GB2312" w:eastAsia="仿宋_GB2312"/>
          <w:b w:val="0"/>
          <w:sz w:val="32"/>
        </w:rPr>
        <w:t>本年本单位</w:t>
      </w:r>
      <w:r>
        <w:rPr>
          <w:rFonts w:hint="eastAsia" w:ascii="仿宋_GB2312" w:hAnsi="仿宋_GB2312" w:eastAsia="仿宋_GB2312"/>
          <w:b w:val="0"/>
          <w:sz w:val="32"/>
          <w:lang w:val="en-US" w:eastAsia="zh-CN"/>
        </w:rPr>
        <w:t>不予公开</w:t>
      </w:r>
      <w:r>
        <w:rPr>
          <w:rFonts w:ascii="仿宋_GB2312" w:hAnsi="仿宋_GB2312" w:eastAsia="仿宋_GB2312"/>
          <w:b w:val="0"/>
          <w:sz w:val="32"/>
        </w:rPr>
        <w:t>项目1个，全年预算数17.98万元，全年执行数17.98万元。</w:t>
      </w:r>
    </w:p>
    <w:p w14:paraId="5D2192EB">
      <w:r>
        <w:br w:type="page"/>
      </w:r>
    </w:p>
    <w:p w14:paraId="74C28565">
      <w:pPr>
        <w:spacing w:line="240" w:lineRule="auto"/>
        <w:jc w:val="center"/>
        <w:outlineLvl w:val="1"/>
      </w:pPr>
      <w:r>
        <w:rPr>
          <w:rFonts w:ascii="黑体" w:hAnsi="黑体" w:eastAsia="黑体"/>
          <w:sz w:val="32"/>
        </w:rPr>
        <w:t>第三部分 专业名词解释</w:t>
      </w:r>
    </w:p>
    <w:p w14:paraId="57C3C589">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6EE092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6A76EB6">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79B2155">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80B49B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D6F634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8633390">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983B82D">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A9860A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9A58596">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8B4C355">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D735939">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80838E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C4B10E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3F44638">
      <w:r>
        <w:br w:type="page"/>
      </w:r>
    </w:p>
    <w:p w14:paraId="18E830E8">
      <w:pPr>
        <w:spacing w:line="240" w:lineRule="auto"/>
        <w:jc w:val="center"/>
        <w:outlineLvl w:val="1"/>
      </w:pPr>
      <w:r>
        <w:rPr>
          <w:rFonts w:ascii="黑体" w:hAnsi="黑体" w:eastAsia="黑体"/>
          <w:sz w:val="32"/>
        </w:rPr>
        <w:t>第四部分 部门决算报表（见附表）</w:t>
      </w:r>
    </w:p>
    <w:p w14:paraId="3DE39EF9">
      <w:pPr>
        <w:spacing w:line="240" w:lineRule="auto"/>
        <w:ind w:firstLine="640"/>
        <w:jc w:val="both"/>
      </w:pPr>
      <w:r>
        <w:rPr>
          <w:rFonts w:ascii="仿宋_GB2312" w:hAnsi="仿宋_GB2312" w:eastAsia="仿宋_GB2312"/>
          <w:b w:val="0"/>
          <w:sz w:val="32"/>
        </w:rPr>
        <w:t>一、《收入支出决算总表》</w:t>
      </w:r>
    </w:p>
    <w:p w14:paraId="498839A2">
      <w:pPr>
        <w:spacing w:line="240" w:lineRule="auto"/>
        <w:ind w:firstLine="640"/>
        <w:jc w:val="both"/>
      </w:pPr>
      <w:r>
        <w:rPr>
          <w:rFonts w:ascii="仿宋_GB2312" w:hAnsi="仿宋_GB2312" w:eastAsia="仿宋_GB2312"/>
          <w:b w:val="0"/>
          <w:sz w:val="32"/>
        </w:rPr>
        <w:t>二、《收入决算表》</w:t>
      </w:r>
    </w:p>
    <w:p w14:paraId="7CBF33DE">
      <w:pPr>
        <w:spacing w:line="240" w:lineRule="auto"/>
        <w:ind w:firstLine="640"/>
        <w:jc w:val="both"/>
      </w:pPr>
      <w:r>
        <w:rPr>
          <w:rFonts w:ascii="仿宋_GB2312" w:hAnsi="仿宋_GB2312" w:eastAsia="仿宋_GB2312"/>
          <w:b w:val="0"/>
          <w:sz w:val="32"/>
        </w:rPr>
        <w:t>三、《支出决算表》</w:t>
      </w:r>
    </w:p>
    <w:p w14:paraId="32565CCB">
      <w:pPr>
        <w:spacing w:line="240" w:lineRule="auto"/>
        <w:ind w:firstLine="640"/>
        <w:jc w:val="both"/>
      </w:pPr>
      <w:r>
        <w:rPr>
          <w:rFonts w:ascii="仿宋_GB2312" w:hAnsi="仿宋_GB2312" w:eastAsia="仿宋_GB2312"/>
          <w:b w:val="0"/>
          <w:sz w:val="32"/>
        </w:rPr>
        <w:t>四、《财政拨款收入支出决算总表》</w:t>
      </w:r>
    </w:p>
    <w:p w14:paraId="23390482">
      <w:pPr>
        <w:spacing w:line="240" w:lineRule="auto"/>
        <w:ind w:firstLine="640"/>
        <w:jc w:val="both"/>
      </w:pPr>
      <w:r>
        <w:rPr>
          <w:rFonts w:ascii="仿宋_GB2312" w:hAnsi="仿宋_GB2312" w:eastAsia="仿宋_GB2312"/>
          <w:b w:val="0"/>
          <w:sz w:val="32"/>
        </w:rPr>
        <w:t>五、《一般公共预算财政拨款支出决算表》</w:t>
      </w:r>
    </w:p>
    <w:p w14:paraId="035DB29C">
      <w:pPr>
        <w:spacing w:line="240" w:lineRule="auto"/>
        <w:ind w:firstLine="640"/>
        <w:jc w:val="both"/>
      </w:pPr>
      <w:r>
        <w:rPr>
          <w:rFonts w:ascii="仿宋_GB2312" w:hAnsi="仿宋_GB2312" w:eastAsia="仿宋_GB2312"/>
          <w:b w:val="0"/>
          <w:sz w:val="32"/>
        </w:rPr>
        <w:t>六、《一般公共预算财政拨款基本支出决算表》</w:t>
      </w:r>
    </w:p>
    <w:p w14:paraId="6D0A5AAC">
      <w:pPr>
        <w:spacing w:line="240" w:lineRule="auto"/>
        <w:ind w:firstLine="640"/>
        <w:jc w:val="both"/>
      </w:pPr>
      <w:r>
        <w:rPr>
          <w:rFonts w:ascii="仿宋_GB2312" w:hAnsi="仿宋_GB2312" w:eastAsia="仿宋_GB2312"/>
          <w:b w:val="0"/>
          <w:sz w:val="32"/>
        </w:rPr>
        <w:t>七、《政府性基金预算财政拨款收入支出决算表》</w:t>
      </w:r>
    </w:p>
    <w:p w14:paraId="28A6C8A3">
      <w:pPr>
        <w:spacing w:line="240" w:lineRule="auto"/>
        <w:ind w:firstLine="640"/>
        <w:jc w:val="both"/>
      </w:pPr>
      <w:r>
        <w:rPr>
          <w:rFonts w:ascii="仿宋_GB2312" w:hAnsi="仿宋_GB2312" w:eastAsia="仿宋_GB2312"/>
          <w:b w:val="0"/>
          <w:sz w:val="32"/>
        </w:rPr>
        <w:t>八、《国有资本经营预算财政拨款收入支出决算表》</w:t>
      </w:r>
    </w:p>
    <w:p w14:paraId="78EC5CC8">
      <w:pPr>
        <w:spacing w:line="240" w:lineRule="auto"/>
        <w:ind w:firstLine="640"/>
        <w:jc w:val="both"/>
      </w:pPr>
      <w:r>
        <w:rPr>
          <w:rFonts w:ascii="仿宋_GB2312" w:hAnsi="仿宋_GB2312" w:eastAsia="仿宋_GB2312"/>
          <w:b w:val="0"/>
          <w:sz w:val="32"/>
        </w:rPr>
        <w:t>九、《财政拨款“三公”经费支出决算表》</w:t>
      </w:r>
    </w:p>
    <w:p w14:paraId="746C2858">
      <w:pPr>
        <w:spacing w:line="240" w:lineRule="auto"/>
        <w:ind w:firstLine="640"/>
        <w:jc w:val="both"/>
      </w:pPr>
    </w:p>
    <w:p w14:paraId="725D5912">
      <w:pPr>
        <w:spacing w:line="240" w:lineRule="auto"/>
        <w:ind w:firstLine="640"/>
        <w:jc w:val="both"/>
      </w:pPr>
    </w:p>
    <w:p w14:paraId="56B94B93">
      <w:pPr>
        <w:spacing w:line="240" w:lineRule="auto"/>
        <w:ind w:firstLine="640"/>
        <w:jc w:val="both"/>
      </w:pPr>
    </w:p>
    <w:p w14:paraId="54464753">
      <w:pPr>
        <w:spacing w:line="240" w:lineRule="auto"/>
        <w:ind w:firstLine="640"/>
        <w:jc w:val="both"/>
      </w:pPr>
    </w:p>
    <w:p w14:paraId="286A4ED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6912401-AFA3-4801-B0AF-13A3B64EA66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430F319E-4B00-4DC8-ADFD-8BEC640CAD75}"/>
  </w:font>
  <w:font w:name="仿宋_GB2312">
    <w:panose1 w:val="02010609030101010101"/>
    <w:charset w:val="86"/>
    <w:family w:val="auto"/>
    <w:pitch w:val="default"/>
    <w:sig w:usb0="00000001" w:usb1="080E0000" w:usb2="00000000" w:usb3="00000000" w:csb0="00040000" w:csb1="00000000"/>
    <w:embedRegular r:id="rId3" w:fontKey="{E3AD324E-D018-4843-B4B8-D6FD27170E96}"/>
  </w:font>
  <w:font w:name="楷体_GB2312">
    <w:panose1 w:val="02010609030101010101"/>
    <w:charset w:val="86"/>
    <w:family w:val="auto"/>
    <w:pitch w:val="default"/>
    <w:sig w:usb0="00000001" w:usb1="080E0000" w:usb2="00000000" w:usb3="00000000" w:csb0="00040000" w:csb1="00000000"/>
    <w:embedRegular r:id="rId4" w:fontKey="{73BB5B8C-6429-4809-BE42-253DE4F81D9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7481644"/>
    <w:rsid w:val="0817314E"/>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8BA00E9"/>
    <w:rsid w:val="29116777"/>
    <w:rsid w:val="29F15C38"/>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C4023DB"/>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1DF3072"/>
    <w:rsid w:val="73423603"/>
    <w:rsid w:val="736305DA"/>
    <w:rsid w:val="737A5923"/>
    <w:rsid w:val="73DE4104"/>
    <w:rsid w:val="73FB6630"/>
    <w:rsid w:val="74CE04EC"/>
    <w:rsid w:val="74E76DCD"/>
    <w:rsid w:val="76660D7C"/>
    <w:rsid w:val="77ED6F44"/>
    <w:rsid w:val="795A0A34"/>
    <w:rsid w:val="7A0D3BC7"/>
    <w:rsid w:val="7A2111EE"/>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4314</Words>
  <Characters>4956</Characters>
  <Lines>0</Lines>
  <Paragraphs>0</Paragraphs>
  <TotalTime>3</TotalTime>
  <ScaleCrop>false</ScaleCrop>
  <LinksUpToDate>false</LinksUpToDate>
  <CharactersWithSpaces>4964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2025-11-07T09:40:52Z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eyJoZGlkIjoiNTBiYjFiYzY0OWM2ODlhYjA1NDAwODJkOGMwZGNkYTMiLCJ1c2VySWQiOiIzNzI2MDMzNTYifQ==</vt:lpwstr>
  </property>
</Properties>
</file>