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中共裕民县委政法委员会2024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628C4A">
      <w:r>
        <w:br w:type="page"/>
      </w:r>
    </w:p>
    <w:p w14:paraId="784D2F42">
      <w:pPr>
        <w:spacing w:line="640" w:lineRule="exact"/>
        <w:jc w:val="center"/>
        <w:outlineLvl w:val="1"/>
      </w:pPr>
      <w:r>
        <w:rPr>
          <w:rFonts w:ascii="黑体" w:hAnsi="黑体" w:eastAsia="黑体"/>
          <w:sz w:val="32"/>
        </w:rPr>
        <w:t>第一部分 单位概况</w:t>
      </w:r>
    </w:p>
    <w:p w14:paraId="60E27F84">
      <w:pPr>
        <w:spacing w:line="640" w:lineRule="exact"/>
        <w:ind w:firstLine="640"/>
        <w:jc w:val="both"/>
        <w:outlineLvl w:val="2"/>
      </w:pPr>
      <w:r>
        <w:rPr>
          <w:rFonts w:ascii="黑体" w:hAnsi="黑体" w:eastAsia="黑体"/>
          <w:sz w:val="32"/>
        </w:rPr>
        <w:t>一、主要职能</w:t>
      </w:r>
    </w:p>
    <w:p w14:paraId="01C4AE09">
      <w:pPr>
        <w:spacing w:line="580" w:lineRule="exact"/>
        <w:ind w:firstLine="640"/>
        <w:jc w:val="both"/>
      </w:pPr>
      <w:r>
        <w:rPr>
          <w:rFonts w:ascii="仿宋_GB2312" w:hAnsi="仿宋_GB2312" w:eastAsia="仿宋_GB2312"/>
          <w:sz w:val="32"/>
        </w:rPr>
        <w:t>中共裕民县委政法委员会是县委领导、管理政法工作的职能部门。</w:t>
      </w:r>
    </w:p>
    <w:p w14:paraId="054A38A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根据中央的路线、方针、政策和县委的工作部署，统一政法各部门的思想和行动。</w:t>
      </w:r>
    </w:p>
    <w:p w14:paraId="5EDC0E6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协助党委研究制定政法工作的方针、政策，对一定时期内的政法工作作出全局性部署，并督促贯彻落实。</w:t>
      </w:r>
    </w:p>
    <w:p w14:paraId="65DE6E2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组织协</w:t>
      </w:r>
      <w:r>
        <w:rPr>
          <w:rFonts w:hint="eastAsia" w:ascii="仿宋_GB2312" w:hAnsi="仿宋_GB2312" w:eastAsia="仿宋_GB2312"/>
          <w:sz w:val="32"/>
          <w:lang w:eastAsia="zh-CN"/>
        </w:rPr>
        <w:t>调和</w:t>
      </w:r>
      <w:r>
        <w:rPr>
          <w:rFonts w:ascii="仿宋_GB2312" w:hAnsi="仿宋_GB2312" w:eastAsia="仿宋_GB2312"/>
          <w:sz w:val="32"/>
        </w:rPr>
        <w:t>指</w:t>
      </w:r>
      <w:r>
        <w:rPr>
          <w:rFonts w:hint="eastAsia" w:ascii="仿宋_GB2312" w:hAnsi="仿宋_GB2312" w:eastAsia="仿宋_GB2312"/>
          <w:sz w:val="32"/>
          <w:lang w:eastAsia="zh-CN"/>
        </w:rPr>
        <w:t>导和</w:t>
      </w:r>
      <w:r>
        <w:rPr>
          <w:rFonts w:ascii="仿宋_GB2312" w:hAnsi="仿宋_GB2312" w:eastAsia="仿宋_GB2312"/>
          <w:sz w:val="32"/>
        </w:rPr>
        <w:t>维护社会工作，支持和监督政法各部门依法行使职权。</w:t>
      </w:r>
    </w:p>
    <w:p w14:paraId="422CA45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督促、推动大要案的查处工作，研究和协调有争议的重大、疑难案件。</w:t>
      </w:r>
    </w:p>
    <w:p w14:paraId="0F9C556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组织推动社会治安综合治理和政法战线的调查研究工作，推动政法工作改革。</w:t>
      </w:r>
    </w:p>
    <w:p w14:paraId="531EF7B6">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研究、指导政法队伍建设和政法各部门领导班子建设，指导地方政法委员会的工作。</w:t>
      </w:r>
    </w:p>
    <w:p w14:paraId="64CED93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完成上级部门交办的其他任务。</w:t>
      </w:r>
    </w:p>
    <w:p w14:paraId="5A6788DA">
      <w:pPr>
        <w:spacing w:line="640" w:lineRule="exact"/>
        <w:ind w:firstLine="640"/>
        <w:jc w:val="both"/>
        <w:outlineLvl w:val="2"/>
      </w:pPr>
      <w:r>
        <w:rPr>
          <w:rFonts w:ascii="黑体" w:hAnsi="黑体" w:eastAsia="黑体"/>
          <w:sz w:val="32"/>
        </w:rPr>
        <w:t>二、机构设置及人员情况</w:t>
      </w:r>
    </w:p>
    <w:p w14:paraId="306BF2B6">
      <w:pPr>
        <w:spacing w:line="580" w:lineRule="exact"/>
        <w:ind w:firstLine="640"/>
        <w:jc w:val="both"/>
      </w:pPr>
      <w:r>
        <w:rPr>
          <w:rFonts w:ascii="仿宋_GB2312" w:hAnsi="仿宋_GB2312" w:eastAsia="仿宋_GB2312"/>
          <w:sz w:val="32"/>
        </w:rPr>
        <w:t>中共裕民县委政法委员会2024年度，实有人数22人，其中：在职人员16人，减少1人；离休人员0人，增加0人；退休人员6人,增加0人。</w:t>
      </w:r>
    </w:p>
    <w:p w14:paraId="2A9F4EFA">
      <w:pPr>
        <w:spacing w:line="580" w:lineRule="exact"/>
        <w:ind w:firstLine="640"/>
        <w:jc w:val="both"/>
      </w:pPr>
      <w:r>
        <w:rPr>
          <w:rFonts w:ascii="仿宋_GB2312" w:hAnsi="仿宋_GB2312" w:eastAsia="仿宋_GB2312"/>
          <w:sz w:val="32"/>
        </w:rPr>
        <w:t>中共裕民县委政法委员会无下属预算单位，下设3个科室，分别是：中共裕民县委政法委员会、网格化服务管理中心、裕民县指挥中心。</w:t>
      </w:r>
    </w:p>
    <w:p w14:paraId="1C1BE9A9">
      <w:r>
        <w:br w:type="page"/>
      </w:r>
    </w:p>
    <w:p w14:paraId="1EBF857F">
      <w:pPr>
        <w:spacing w:line="240" w:lineRule="auto"/>
        <w:jc w:val="center"/>
        <w:outlineLvl w:val="1"/>
      </w:pPr>
      <w:r>
        <w:rPr>
          <w:rFonts w:ascii="黑体" w:hAnsi="黑体" w:eastAsia="黑体"/>
          <w:sz w:val="32"/>
        </w:rPr>
        <w:t>第二部分 部门决算情况说明</w:t>
      </w:r>
    </w:p>
    <w:p w14:paraId="0BE22506">
      <w:pPr>
        <w:spacing w:line="640" w:lineRule="exact"/>
        <w:ind w:firstLine="640"/>
        <w:jc w:val="both"/>
        <w:outlineLvl w:val="2"/>
      </w:pPr>
      <w:r>
        <w:rPr>
          <w:rFonts w:ascii="黑体" w:hAnsi="黑体" w:eastAsia="黑体"/>
          <w:sz w:val="32"/>
        </w:rPr>
        <w:t>一、收入支出决算总体情况说明</w:t>
      </w:r>
    </w:p>
    <w:p w14:paraId="435CB950">
      <w:pPr>
        <w:spacing w:line="580" w:lineRule="exact"/>
        <w:ind w:firstLine="640"/>
        <w:jc w:val="both"/>
      </w:pPr>
      <w:r>
        <w:rPr>
          <w:rFonts w:ascii="仿宋_GB2312" w:hAnsi="仿宋_GB2312" w:eastAsia="仿宋_GB2312"/>
          <w:b/>
          <w:sz w:val="32"/>
        </w:rPr>
        <w:t>2024年度收入总计782.70万元，</w:t>
      </w:r>
      <w:r>
        <w:rPr>
          <w:rFonts w:ascii="仿宋_GB2312" w:hAnsi="仿宋_GB2312" w:eastAsia="仿宋_GB2312"/>
          <w:b w:val="0"/>
          <w:sz w:val="32"/>
        </w:rPr>
        <w:t>其中：本年收入合计782.70万元，使用非财政拨款结余（含专用结余）0.00万元，年初结转和结余0.00万元。</w:t>
      </w:r>
    </w:p>
    <w:p w14:paraId="63D602D3">
      <w:pPr>
        <w:spacing w:line="580" w:lineRule="exact"/>
        <w:ind w:firstLine="640"/>
        <w:jc w:val="both"/>
      </w:pPr>
      <w:r>
        <w:rPr>
          <w:rFonts w:ascii="仿宋_GB2312" w:hAnsi="仿宋_GB2312" w:eastAsia="仿宋_GB2312"/>
          <w:b/>
          <w:sz w:val="32"/>
        </w:rPr>
        <w:t>2024年度支出总计782.70万元，</w:t>
      </w:r>
      <w:r>
        <w:rPr>
          <w:rFonts w:ascii="仿宋_GB2312" w:hAnsi="仿宋_GB2312" w:eastAsia="仿宋_GB2312"/>
          <w:b w:val="0"/>
          <w:sz w:val="32"/>
        </w:rPr>
        <w:t>其中：本年支出合计782.70万元，结余分配0.00万元，年末结转和结余0.00万元。</w:t>
      </w:r>
    </w:p>
    <w:p w14:paraId="5DBE20FB">
      <w:pPr>
        <w:spacing w:line="580" w:lineRule="exact"/>
        <w:ind w:firstLine="640"/>
        <w:jc w:val="both"/>
      </w:pPr>
      <w:r>
        <w:rPr>
          <w:rFonts w:ascii="仿宋_GB2312" w:hAnsi="仿宋_GB2312" w:eastAsia="仿宋_GB2312"/>
          <w:b w:val="0"/>
          <w:sz w:val="32"/>
        </w:rPr>
        <w:t>收入支出总体与上年相比，减少4,489.52万元，下降85.15%，主要原因是：2024年减少视频建设项目欠款。</w:t>
      </w:r>
    </w:p>
    <w:p w14:paraId="342643F9">
      <w:pPr>
        <w:spacing w:line="640" w:lineRule="exact"/>
        <w:ind w:firstLine="640"/>
        <w:jc w:val="both"/>
        <w:outlineLvl w:val="2"/>
      </w:pPr>
      <w:r>
        <w:rPr>
          <w:rFonts w:ascii="黑体" w:hAnsi="黑体" w:eastAsia="黑体"/>
          <w:sz w:val="32"/>
        </w:rPr>
        <w:t>二、收入决算情况说明</w:t>
      </w:r>
    </w:p>
    <w:p w14:paraId="4108C1DA">
      <w:pPr>
        <w:spacing w:line="580" w:lineRule="exact"/>
        <w:ind w:firstLine="640"/>
        <w:jc w:val="both"/>
      </w:pPr>
      <w:r>
        <w:rPr>
          <w:rFonts w:ascii="仿宋_GB2312" w:hAnsi="仿宋_GB2312" w:eastAsia="仿宋_GB2312"/>
          <w:b/>
          <w:sz w:val="32"/>
        </w:rPr>
        <w:t>本年收入782.70万元，</w:t>
      </w:r>
      <w:r>
        <w:rPr>
          <w:rFonts w:ascii="仿宋_GB2312" w:hAnsi="仿宋_GB2312" w:eastAsia="仿宋_GB2312"/>
          <w:b w:val="0"/>
          <w:sz w:val="32"/>
        </w:rPr>
        <w:t>其中：财政拨款收入721.70万元，占92.21%；上级补助收入0.00万元，占0.00%；事业收入0.00万元，占0.00%；经营收入0.00万元，占0.00%；附属单位上缴收入0.00万元，占0.00%；其他收入61.00万元，占7.79%。</w:t>
      </w:r>
    </w:p>
    <w:p w14:paraId="3AD3DE53">
      <w:pPr>
        <w:spacing w:line="640" w:lineRule="exact"/>
        <w:ind w:firstLine="640"/>
        <w:jc w:val="both"/>
        <w:outlineLvl w:val="2"/>
      </w:pPr>
      <w:r>
        <w:rPr>
          <w:rFonts w:ascii="黑体" w:hAnsi="黑体" w:eastAsia="黑体"/>
          <w:sz w:val="32"/>
        </w:rPr>
        <w:t>三、支出决算情况说明</w:t>
      </w:r>
    </w:p>
    <w:p w14:paraId="7D26E648">
      <w:pPr>
        <w:spacing w:line="580" w:lineRule="exact"/>
        <w:ind w:firstLine="640"/>
        <w:jc w:val="both"/>
      </w:pPr>
      <w:r>
        <w:rPr>
          <w:rFonts w:ascii="仿宋_GB2312" w:hAnsi="仿宋_GB2312" w:eastAsia="仿宋_GB2312"/>
          <w:b/>
          <w:sz w:val="32"/>
        </w:rPr>
        <w:t>本年支出782.70万元，</w:t>
      </w:r>
      <w:r>
        <w:rPr>
          <w:rFonts w:ascii="仿宋_GB2312" w:hAnsi="仿宋_GB2312" w:eastAsia="仿宋_GB2312"/>
          <w:b w:val="0"/>
          <w:sz w:val="32"/>
        </w:rPr>
        <w:t>其中：基本支出389.47万元，占49.76%；项目支出393.23万元，占50.24%；上缴上级支出0.00万元，占0.00%；经营支出0.00万元，占0.00%；对附属单位补助支出0.00万元，占0.00%。</w:t>
      </w:r>
    </w:p>
    <w:p w14:paraId="41ED11DA">
      <w:pPr>
        <w:spacing w:line="640" w:lineRule="exact"/>
        <w:ind w:firstLine="640"/>
        <w:jc w:val="both"/>
        <w:outlineLvl w:val="2"/>
      </w:pPr>
      <w:r>
        <w:rPr>
          <w:rFonts w:ascii="黑体" w:hAnsi="黑体" w:eastAsia="黑体"/>
          <w:sz w:val="32"/>
        </w:rPr>
        <w:t>四、财政拨款收入支出决算总体情况说明</w:t>
      </w:r>
    </w:p>
    <w:p w14:paraId="75724A51">
      <w:pPr>
        <w:spacing w:line="580" w:lineRule="exact"/>
        <w:ind w:firstLine="640"/>
        <w:jc w:val="both"/>
      </w:pPr>
      <w:r>
        <w:rPr>
          <w:rFonts w:ascii="仿宋_GB2312" w:hAnsi="仿宋_GB2312" w:eastAsia="仿宋_GB2312"/>
          <w:b/>
          <w:sz w:val="32"/>
        </w:rPr>
        <w:t>2024年度财政拨款收入总计721.70万元，</w:t>
      </w:r>
      <w:r>
        <w:rPr>
          <w:rFonts w:ascii="仿宋_GB2312" w:hAnsi="仿宋_GB2312" w:eastAsia="仿宋_GB2312"/>
          <w:b w:val="0"/>
          <w:sz w:val="32"/>
        </w:rPr>
        <w:t>其中：年初财政拨款结转和结余0.00万元，本年财政拨款收入721.70万元。</w:t>
      </w:r>
      <w:r>
        <w:rPr>
          <w:rFonts w:ascii="仿宋_GB2312" w:hAnsi="仿宋_GB2312" w:eastAsia="仿宋_GB2312"/>
          <w:b/>
          <w:sz w:val="32"/>
        </w:rPr>
        <w:t>财政拨款支出总计721.70万元，</w:t>
      </w:r>
      <w:r>
        <w:rPr>
          <w:rFonts w:ascii="仿宋_GB2312" w:hAnsi="仿宋_GB2312" w:eastAsia="仿宋_GB2312"/>
          <w:b w:val="0"/>
          <w:sz w:val="32"/>
        </w:rPr>
        <w:t>其中：年末财政拨款结转和结余0.00万元，本年财政拨款支出721.70万元。</w:t>
      </w:r>
    </w:p>
    <w:p w14:paraId="29A4F1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减少4,545.66万元，下降86.30%，主要原因是：2024年减少视频建设项目欠款。</w:t>
      </w:r>
      <w:r>
        <w:rPr>
          <w:rFonts w:ascii="仿宋_GB2312" w:hAnsi="仿宋_GB2312" w:eastAsia="仿宋_GB2312"/>
          <w:b/>
          <w:sz w:val="32"/>
        </w:rPr>
        <w:t>与年初预算相比，</w:t>
      </w:r>
      <w:r>
        <w:rPr>
          <w:rFonts w:ascii="仿宋_GB2312" w:hAnsi="仿宋_GB2312" w:eastAsia="仿宋_GB2312"/>
          <w:b w:val="0"/>
          <w:sz w:val="32"/>
        </w:rPr>
        <w:t>年初预算数801.82万元，决算数721.70万元，预决算差异率-9.99%，主要原因是：在职人员减少1人，年中调减人员经费；2020年项目前期费年中调整为其他收入，导致预决算差异。</w:t>
      </w:r>
    </w:p>
    <w:p w14:paraId="2D5A1010">
      <w:pPr>
        <w:spacing w:line="640" w:lineRule="exact"/>
        <w:ind w:firstLine="640"/>
        <w:jc w:val="both"/>
        <w:outlineLvl w:val="2"/>
      </w:pPr>
      <w:r>
        <w:rPr>
          <w:rFonts w:ascii="黑体" w:hAnsi="黑体" w:eastAsia="黑体"/>
          <w:sz w:val="32"/>
        </w:rPr>
        <w:t>五、一般公共预算财政拨款支出决算情况说明</w:t>
      </w:r>
    </w:p>
    <w:p w14:paraId="047B7C91">
      <w:pPr>
        <w:spacing w:line="640" w:lineRule="exact"/>
        <w:ind w:firstLine="640"/>
        <w:jc w:val="both"/>
        <w:outlineLvl w:val="3"/>
      </w:pPr>
      <w:r>
        <w:rPr>
          <w:rFonts w:ascii="楷体_GB2312" w:hAnsi="楷体_GB2312" w:eastAsia="楷体_GB2312"/>
          <w:b/>
          <w:sz w:val="32"/>
        </w:rPr>
        <w:t>（一）一般公共预算财政拨款支出决算总体情况</w:t>
      </w:r>
    </w:p>
    <w:p w14:paraId="1A4FE022">
      <w:pPr>
        <w:spacing w:line="580" w:lineRule="exact"/>
        <w:ind w:firstLine="640"/>
        <w:jc w:val="both"/>
      </w:pPr>
      <w:r>
        <w:rPr>
          <w:rFonts w:ascii="仿宋_GB2312" w:hAnsi="仿宋_GB2312" w:eastAsia="仿宋_GB2312"/>
          <w:b/>
          <w:sz w:val="32"/>
        </w:rPr>
        <w:t>2024年度一般公共预算财政拨款支出721.70万元，</w:t>
      </w:r>
      <w:r>
        <w:rPr>
          <w:rFonts w:ascii="仿宋_GB2312" w:hAnsi="仿宋_GB2312" w:eastAsia="仿宋_GB2312"/>
          <w:b w:val="0"/>
          <w:sz w:val="32"/>
        </w:rPr>
        <w:t>占本年支出合计的92.21%。</w:t>
      </w:r>
      <w:r>
        <w:rPr>
          <w:rFonts w:ascii="仿宋_GB2312" w:hAnsi="仿宋_GB2312" w:eastAsia="仿宋_GB2312"/>
          <w:b/>
          <w:sz w:val="32"/>
        </w:rPr>
        <w:t>与上年相比，</w:t>
      </w:r>
      <w:r>
        <w:rPr>
          <w:rFonts w:ascii="仿宋_GB2312" w:hAnsi="仿宋_GB2312" w:eastAsia="仿宋_GB2312"/>
          <w:b w:val="0"/>
          <w:sz w:val="32"/>
        </w:rPr>
        <w:t>减少4,545.66万元，下降86.30%，主要原因是：2024年减少视频建设项目欠款。</w:t>
      </w:r>
      <w:r>
        <w:rPr>
          <w:rFonts w:ascii="仿宋_GB2312" w:hAnsi="仿宋_GB2312" w:eastAsia="仿宋_GB2312"/>
          <w:b/>
          <w:sz w:val="32"/>
        </w:rPr>
        <w:t>与年初预算相比,</w:t>
      </w:r>
      <w:r>
        <w:rPr>
          <w:rFonts w:ascii="仿宋_GB2312" w:hAnsi="仿宋_GB2312" w:eastAsia="仿宋_GB2312"/>
          <w:b w:val="0"/>
          <w:sz w:val="32"/>
        </w:rPr>
        <w:t>年初预算数801.82万元，决算数721.70万元，预决算差异率-9.99%，主要原因是：在职人员减少1人，年中调减人员经费；2020年项目前期费年中调整为其他收入，导致预决算差异。</w:t>
      </w:r>
    </w:p>
    <w:p w14:paraId="6F5100AE">
      <w:pPr>
        <w:spacing w:line="640" w:lineRule="exact"/>
        <w:ind w:firstLine="640"/>
        <w:jc w:val="both"/>
        <w:outlineLvl w:val="3"/>
      </w:pPr>
      <w:r>
        <w:rPr>
          <w:rFonts w:ascii="楷体_GB2312" w:hAnsi="楷体_GB2312" w:eastAsia="楷体_GB2312"/>
          <w:b/>
          <w:sz w:val="32"/>
        </w:rPr>
        <w:t>（二）一般公共预算财政拨款支出决算结构情况</w:t>
      </w:r>
    </w:p>
    <w:p w14:paraId="78898A5B">
      <w:pPr>
        <w:spacing w:line="580" w:lineRule="exact"/>
        <w:ind w:firstLine="640"/>
        <w:jc w:val="both"/>
      </w:pPr>
      <w:r>
        <w:rPr>
          <w:rFonts w:ascii="仿宋_GB2312" w:hAnsi="仿宋_GB2312" w:eastAsia="仿宋_GB2312"/>
          <w:b w:val="0"/>
          <w:sz w:val="32"/>
        </w:rPr>
        <w:t>1.公共安全支出(类)651.29万元,占90.24%。</w:t>
      </w:r>
    </w:p>
    <w:p w14:paraId="01566ACA">
      <w:pPr>
        <w:spacing w:line="580" w:lineRule="exact"/>
        <w:ind w:firstLine="640"/>
        <w:jc w:val="both"/>
      </w:pPr>
      <w:r>
        <w:rPr>
          <w:rFonts w:ascii="仿宋_GB2312" w:hAnsi="仿宋_GB2312" w:eastAsia="仿宋_GB2312"/>
          <w:b w:val="0"/>
          <w:sz w:val="32"/>
        </w:rPr>
        <w:t>2.社会保障和就业支出(类)33.87万元,占4.69%。</w:t>
      </w:r>
    </w:p>
    <w:p w14:paraId="0FCBA9FE">
      <w:pPr>
        <w:spacing w:line="580" w:lineRule="exact"/>
        <w:ind w:firstLine="640"/>
        <w:jc w:val="both"/>
      </w:pPr>
      <w:r>
        <w:rPr>
          <w:rFonts w:ascii="仿宋_GB2312" w:hAnsi="仿宋_GB2312" w:eastAsia="仿宋_GB2312"/>
          <w:b w:val="0"/>
          <w:sz w:val="32"/>
        </w:rPr>
        <w:t>3.卫生健康支出(类)14.54万元,占2.01%。</w:t>
      </w:r>
    </w:p>
    <w:p w14:paraId="5F56FEB1">
      <w:pPr>
        <w:spacing w:line="580" w:lineRule="exact"/>
        <w:ind w:firstLine="640"/>
        <w:jc w:val="both"/>
      </w:pPr>
      <w:r>
        <w:rPr>
          <w:rFonts w:ascii="仿宋_GB2312" w:hAnsi="仿宋_GB2312" w:eastAsia="仿宋_GB2312"/>
          <w:b w:val="0"/>
          <w:sz w:val="32"/>
        </w:rPr>
        <w:t>4.住房保障支出(类)22.01万元,占3.05%。</w:t>
      </w:r>
    </w:p>
    <w:p w14:paraId="6C961BAE">
      <w:pPr>
        <w:spacing w:line="640" w:lineRule="exact"/>
        <w:ind w:firstLine="640"/>
        <w:jc w:val="both"/>
        <w:outlineLvl w:val="3"/>
      </w:pPr>
      <w:r>
        <w:rPr>
          <w:rFonts w:ascii="楷体_GB2312" w:hAnsi="楷体_GB2312" w:eastAsia="楷体_GB2312"/>
          <w:b/>
          <w:sz w:val="32"/>
        </w:rPr>
        <w:t>（三）一般公共预算财政拨款支出决算具体情况</w:t>
      </w:r>
    </w:p>
    <w:p w14:paraId="23BDB84D">
      <w:pPr>
        <w:spacing w:line="580" w:lineRule="exact"/>
        <w:ind w:firstLine="640"/>
        <w:jc w:val="both"/>
      </w:pPr>
      <w:r>
        <w:rPr>
          <w:rFonts w:ascii="仿宋_GB2312" w:hAnsi="仿宋_GB2312" w:eastAsia="仿宋_GB2312"/>
          <w:b w:val="0"/>
          <w:sz w:val="32"/>
        </w:rPr>
        <w:t>1.公共安全支出(类)公安(款)行政运行(项):支出决算数为319.06万元，比上年决算减少5.81万元，下降1.79%,主要原因是：在职人员减少1人，人员经费支出减少。</w:t>
      </w:r>
    </w:p>
    <w:p w14:paraId="22E63193">
      <w:pPr>
        <w:spacing w:line="580" w:lineRule="exact"/>
        <w:ind w:firstLine="640"/>
        <w:jc w:val="both"/>
      </w:pPr>
      <w:r>
        <w:rPr>
          <w:rFonts w:ascii="仿宋_GB2312" w:hAnsi="仿宋_GB2312" w:eastAsia="仿宋_GB2312"/>
          <w:b w:val="0"/>
          <w:sz w:val="32"/>
        </w:rPr>
        <w:t>2.公共安全支出(类)公安(款)其他公安支出(项):支出决算数为332.23万元，比上年决算减少4,548.10万元，下降93.19%,主要原因是：2024年减少视频建设项目欠款。</w:t>
      </w:r>
    </w:p>
    <w:p w14:paraId="4031624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3.社会保障和就业支出(类)行政事业单位养老支出(款)行政单位离退休(项):支出决算数为5.33万元，比上年决算增加1.15万元，增长27.51%,主要原因是：本年增加退休人员基础绩效奖，退休费支出增加。</w:t>
      </w:r>
    </w:p>
    <w:p w14:paraId="6B04E1E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28.54万元，比上年决算增加3.02万元，增长11.83%,主要原因是：本年在职人员工资基数调增，养老缴费基数上涨，相应支出增加。</w:t>
      </w:r>
    </w:p>
    <w:p w14:paraId="116D9F55">
      <w:pPr>
        <w:spacing w:line="580" w:lineRule="exact"/>
        <w:ind w:firstLine="640"/>
        <w:jc w:val="both"/>
      </w:pPr>
      <w:r>
        <w:rPr>
          <w:rFonts w:ascii="仿宋_GB2312" w:hAnsi="仿宋_GB2312" w:eastAsia="仿宋_GB2312"/>
          <w:b w:val="0"/>
          <w:sz w:val="32"/>
        </w:rPr>
        <w:t>5.卫生健康支出(类)行政事业单位医疗(款)行政单位医疗(项):支出决算数为11.87万元，比上年决算增加1.17万元，增长10.93%,主要原因是：本年在职人员工资基数调增，医疗缴费基数上涨，相应支出增加。</w:t>
      </w:r>
    </w:p>
    <w:p w14:paraId="0D8F0534">
      <w:pPr>
        <w:spacing w:line="580" w:lineRule="exact"/>
        <w:ind w:firstLine="640"/>
        <w:jc w:val="both"/>
      </w:pPr>
      <w:r>
        <w:rPr>
          <w:rFonts w:ascii="仿宋_GB2312" w:hAnsi="仿宋_GB2312" w:eastAsia="仿宋_GB2312"/>
          <w:b w:val="0"/>
          <w:sz w:val="32"/>
        </w:rPr>
        <w:t>6.卫生健康支出(类)行政事业单位医疗(款)公务员医疗补助(项):支出决算数为2.67万元，比上年决算增加0.60万元，增长28.99%,主要原因是：本年在职人员工资基数调增，医疗缴费基数上涨，相应支出增加。</w:t>
      </w:r>
    </w:p>
    <w:p w14:paraId="6C011D81">
      <w:pPr>
        <w:spacing w:line="580" w:lineRule="exact"/>
        <w:ind w:firstLine="640"/>
        <w:jc w:val="both"/>
      </w:pPr>
      <w:r>
        <w:rPr>
          <w:rFonts w:ascii="仿宋_GB2312" w:hAnsi="仿宋_GB2312" w:eastAsia="仿宋_GB2312"/>
          <w:b w:val="0"/>
          <w:sz w:val="32"/>
        </w:rPr>
        <w:t>7.住房保障支出(类)住房改革支出(款)住房公积金(项):支出决算数为22.01万元，比上年决算增加2.33万元，增长11.84%,主要原因是：本年在职人员工资基数调增，公积金缴费基数上涨，相应支出增加。</w:t>
      </w:r>
    </w:p>
    <w:p w14:paraId="6F0EDDC1">
      <w:pPr>
        <w:spacing w:line="640" w:lineRule="exact"/>
        <w:ind w:firstLine="640"/>
        <w:jc w:val="both"/>
        <w:outlineLvl w:val="2"/>
      </w:pPr>
      <w:r>
        <w:rPr>
          <w:rFonts w:ascii="黑体" w:hAnsi="黑体" w:eastAsia="黑体"/>
          <w:sz w:val="32"/>
        </w:rPr>
        <w:t>六、一般公共预算财政拨款基本支出决算情况说明</w:t>
      </w:r>
    </w:p>
    <w:p w14:paraId="7A8D8209">
      <w:pPr>
        <w:spacing w:line="580" w:lineRule="exact"/>
        <w:ind w:firstLine="640"/>
        <w:jc w:val="both"/>
      </w:pPr>
      <w:r>
        <w:rPr>
          <w:rFonts w:ascii="仿宋_GB2312" w:hAnsi="仿宋_GB2312" w:eastAsia="仿宋_GB2312"/>
          <w:b w:val="0"/>
          <w:sz w:val="32"/>
        </w:rPr>
        <w:t>2024年度一般公共预算财政拨款基本支出389.47万元，其中：</w:t>
      </w:r>
      <w:r>
        <w:rPr>
          <w:rFonts w:ascii="仿宋_GB2312" w:hAnsi="仿宋_GB2312" w:eastAsia="仿宋_GB2312"/>
          <w:b/>
          <w:sz w:val="32"/>
        </w:rPr>
        <w:t>人员经费371.05万元，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14:paraId="0BB42A52">
      <w:pPr>
        <w:spacing w:line="580" w:lineRule="exact"/>
        <w:ind w:firstLine="640"/>
        <w:jc w:val="both"/>
      </w:pPr>
      <w:r>
        <w:rPr>
          <w:rFonts w:ascii="仿宋_GB2312" w:hAnsi="仿宋_GB2312" w:eastAsia="仿宋_GB2312"/>
          <w:b/>
          <w:sz w:val="32"/>
        </w:rPr>
        <w:t>公用经费18.43万元，</w:t>
      </w:r>
      <w:r>
        <w:rPr>
          <w:rFonts w:ascii="仿宋_GB2312" w:hAnsi="仿宋_GB2312" w:eastAsia="仿宋_GB2312"/>
          <w:b w:val="0"/>
          <w:sz w:val="32"/>
        </w:rPr>
        <w:t>包括：办公费、电费、邮电费、取暖费、工会经费、公务用车运行维护费、其他商品和服务支出。</w:t>
      </w:r>
    </w:p>
    <w:p w14:paraId="552F598B">
      <w:pPr>
        <w:spacing w:line="640" w:lineRule="exact"/>
        <w:ind w:firstLine="640"/>
        <w:jc w:val="both"/>
        <w:outlineLvl w:val="2"/>
      </w:pPr>
      <w:r>
        <w:rPr>
          <w:rFonts w:ascii="黑体" w:hAnsi="黑体" w:eastAsia="黑体"/>
          <w:sz w:val="32"/>
        </w:rPr>
        <w:t>七、政府性基金预算财政拨款收入支出决算情况说明</w:t>
      </w:r>
    </w:p>
    <w:p w14:paraId="186CA9F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6945E7">
      <w:pPr>
        <w:spacing w:line="640" w:lineRule="exact"/>
        <w:ind w:firstLine="640"/>
        <w:jc w:val="both"/>
        <w:outlineLvl w:val="2"/>
      </w:pPr>
      <w:r>
        <w:rPr>
          <w:rFonts w:ascii="黑体" w:hAnsi="黑体" w:eastAsia="黑体"/>
          <w:sz w:val="32"/>
        </w:rPr>
        <w:t>八、国有资本经营预算财政拨款收入支出决算情况说明</w:t>
      </w:r>
    </w:p>
    <w:p w14:paraId="773F2EF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BA09E6">
      <w:pPr>
        <w:spacing w:line="640" w:lineRule="exact"/>
        <w:ind w:firstLine="640"/>
        <w:jc w:val="both"/>
        <w:outlineLvl w:val="2"/>
      </w:pPr>
      <w:r>
        <w:rPr>
          <w:rFonts w:ascii="黑体" w:hAnsi="黑体" w:eastAsia="黑体"/>
          <w:sz w:val="32"/>
        </w:rPr>
        <w:t>九、财政拨款“三公”经费支出决算情况说明</w:t>
      </w:r>
    </w:p>
    <w:p w14:paraId="435FC125">
      <w:pPr>
        <w:spacing w:line="580" w:lineRule="exact"/>
        <w:ind w:firstLine="640"/>
        <w:jc w:val="both"/>
      </w:pPr>
      <w:r>
        <w:rPr>
          <w:rFonts w:ascii="仿宋_GB2312" w:hAnsi="仿宋_GB2312" w:eastAsia="仿宋_GB2312"/>
          <w:b/>
          <w:sz w:val="32"/>
        </w:rPr>
        <w:t>2024年度财政拨款“三公”经费支出2.82万元，</w:t>
      </w:r>
      <w:r>
        <w:rPr>
          <w:rFonts w:ascii="仿宋_GB2312" w:hAnsi="仿宋_GB2312" w:eastAsia="仿宋_GB2312"/>
          <w:b w:val="0"/>
          <w:sz w:val="32"/>
        </w:rPr>
        <w:t>比上年增加2.48万元，增长729.41%，主要原因是：本单位公务用车老化，维修维护成本增加，本年支付以前年度公务用车维修费。本年业务量大，用车次数增加，燃油费增加，导致公务用车运行维护费较上年增加。其中：因公出国（境）费支出0.00万元，占0.00%，比上年增加0.00万元，增长0.00%，主要原因是：2023年与2024年均未安排因公出国（境）费支出。公务用车购置及运行维护费支出2.82万元，占100.00%，比上年增加2.48万元，增长729.41%，主要原因是：本单位公务用车老化，维修维护成本增加，本年支付以前年度公务用车维修费。本年业务量大，用车次数增加，燃油费增加，导致公务用车运行维护费较上年增加。公务接待费支出0.00万元，占0.00%，比上年增加0.00万元，增长0.00%，主要原因是：2023年与2024年均未安排公务接待费支出。</w:t>
      </w:r>
    </w:p>
    <w:p w14:paraId="44B7C65C">
      <w:pPr>
        <w:spacing w:line="580" w:lineRule="exact"/>
        <w:ind w:firstLine="640"/>
        <w:jc w:val="both"/>
      </w:pPr>
      <w:r>
        <w:rPr>
          <w:rFonts w:ascii="仿宋_GB2312" w:hAnsi="仿宋_GB2312" w:eastAsia="仿宋_GB2312"/>
          <w:b/>
          <w:sz w:val="32"/>
        </w:rPr>
        <w:t>具体情况如下：</w:t>
      </w:r>
    </w:p>
    <w:p w14:paraId="72CA94A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3002252">
      <w:pPr>
        <w:spacing w:line="580" w:lineRule="exact"/>
        <w:ind w:firstLine="640"/>
        <w:jc w:val="both"/>
      </w:pPr>
      <w:r>
        <w:rPr>
          <w:rFonts w:ascii="仿宋_GB2312" w:hAnsi="仿宋_GB2312" w:eastAsia="仿宋_GB2312"/>
          <w:b w:val="0"/>
          <w:sz w:val="32"/>
        </w:rPr>
        <w:t>公务用车购置及运行维护费2.82万元，其中：公务用车购置费0.00万元，公务用车运行维护费2.82万元。公务用车运行维护费开支内容包括车辆加油费、维修费、保险费。公务用车购置数0辆，公务用车保有量1辆。国有资产占用情况中固定资产车辆11辆，与公务用车保有量差异原因是：差异车辆为一般业务用车，借用裕民县边防事务中心使用，车辆费用由使用单位支付。</w:t>
      </w:r>
    </w:p>
    <w:p w14:paraId="5A837E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A85D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2.82万元，决算数2.82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2.82万元，决算数2.82万元，预决算差异率0.00%，主要原因是：严格按照预算执行，预决算无差异。公务接待费全年预算数0.00万元，决算数0.00万元，预决算差异率0.00%，主要原因是：本单位无公务接待费。</w:t>
      </w:r>
    </w:p>
    <w:p w14:paraId="59DC6E14">
      <w:pPr>
        <w:spacing w:line="640" w:lineRule="exact"/>
        <w:ind w:firstLine="640"/>
        <w:jc w:val="both"/>
        <w:outlineLvl w:val="2"/>
      </w:pPr>
      <w:r>
        <w:rPr>
          <w:rFonts w:ascii="黑体" w:hAnsi="黑体" w:eastAsia="黑体"/>
          <w:sz w:val="32"/>
        </w:rPr>
        <w:t>十、其他重要事项的情况说明</w:t>
      </w:r>
    </w:p>
    <w:p w14:paraId="542D5052">
      <w:pPr>
        <w:spacing w:line="640" w:lineRule="exact"/>
        <w:ind w:firstLine="640"/>
        <w:jc w:val="both"/>
        <w:outlineLvl w:val="3"/>
      </w:pPr>
      <w:r>
        <w:rPr>
          <w:rFonts w:ascii="楷体_GB2312" w:hAnsi="楷体_GB2312" w:eastAsia="楷体_GB2312"/>
          <w:b/>
          <w:sz w:val="32"/>
        </w:rPr>
        <w:t>（一）机关运行经费及公用经费支出情况</w:t>
      </w:r>
    </w:p>
    <w:p w14:paraId="560A00F2">
      <w:pPr>
        <w:spacing w:line="580" w:lineRule="exact"/>
        <w:ind w:firstLine="640"/>
        <w:jc w:val="both"/>
      </w:pPr>
      <w:r>
        <w:rPr>
          <w:rFonts w:ascii="仿宋_GB2312" w:hAnsi="仿宋_GB2312" w:eastAsia="仿宋_GB2312"/>
          <w:b w:val="0"/>
          <w:sz w:val="32"/>
        </w:rPr>
        <w:t>2024年度中共裕民县委政法委员会（行政单位和参照公务员法管理事业单位）机关运行经费支出18.43万元，比上年增加7.53万元，增长69.08%，主要原因是：2024年办公费、</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支出增加，机关运行经费支出增加。</w:t>
      </w:r>
    </w:p>
    <w:p w14:paraId="0802D460">
      <w:pPr>
        <w:spacing w:line="640" w:lineRule="exact"/>
        <w:ind w:firstLine="640"/>
        <w:jc w:val="both"/>
        <w:outlineLvl w:val="3"/>
      </w:pPr>
      <w:r>
        <w:rPr>
          <w:rFonts w:ascii="楷体_GB2312" w:hAnsi="楷体_GB2312" w:eastAsia="楷体_GB2312"/>
          <w:b/>
          <w:sz w:val="32"/>
        </w:rPr>
        <w:t>（二）政府采购情况</w:t>
      </w:r>
    </w:p>
    <w:p w14:paraId="4A5CAD7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BFEA81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E20444E">
      <w:pPr>
        <w:spacing w:line="640" w:lineRule="exact"/>
        <w:ind w:firstLine="640"/>
        <w:jc w:val="both"/>
        <w:outlineLvl w:val="3"/>
      </w:pPr>
      <w:r>
        <w:rPr>
          <w:rFonts w:ascii="楷体_GB2312" w:hAnsi="楷体_GB2312" w:eastAsia="楷体_GB2312"/>
          <w:b/>
          <w:sz w:val="32"/>
        </w:rPr>
        <w:t>（三）国有资产占用情况说明</w:t>
      </w:r>
    </w:p>
    <w:p w14:paraId="2B9B6A70">
      <w:pPr>
        <w:spacing w:line="580" w:lineRule="exact"/>
        <w:ind w:firstLine="640"/>
        <w:jc w:val="both"/>
      </w:pPr>
      <w:r>
        <w:rPr>
          <w:rFonts w:ascii="仿宋_GB2312" w:hAnsi="仿宋_GB2312" w:eastAsia="仿宋_GB2312"/>
          <w:b w:val="0"/>
          <w:sz w:val="32"/>
        </w:rPr>
        <w:t>截至2024年12月31日，房屋0.00平方米，价值0.00万元。车辆11辆，价值105.21万元，其中：副部（省）级及以上领导用车0辆、主要负责人用车0辆、机要通信用车0辆、应急保障用车0辆、执法执勤用车0辆、特种专业技术用车0辆、离退休干部服务用车0辆、其他用车11辆，其他用车主要是：一般公务用车1辆，业务用车10辆。单价100万元（含）以上设备（不含车辆）0台（套）。</w:t>
      </w:r>
    </w:p>
    <w:p w14:paraId="0D5498E0">
      <w:pPr>
        <w:spacing w:line="640" w:lineRule="exact"/>
        <w:ind w:firstLine="640"/>
        <w:jc w:val="both"/>
        <w:outlineLvl w:val="2"/>
      </w:pPr>
      <w:r>
        <w:rPr>
          <w:rFonts w:ascii="黑体" w:hAnsi="黑体" w:eastAsia="黑体"/>
          <w:sz w:val="32"/>
        </w:rPr>
        <w:t>十一、预算绩效的情况说明</w:t>
      </w:r>
    </w:p>
    <w:p w14:paraId="6E903B2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根据预算绩效管理要求，本单位2024年度预算绩效管理形成整体支出绩效自评表1个，全年预算总额782.69万元，实际执行总额782.69万元；预算绩效评价项目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240.62万元，全年执行数240.62万元。预算绩效管理取得的成效：本单位预算绩效项目不予公开。发现的问题及原因：本单位预算绩效项目不予公开。下一步改进措施：本单位预算绩效项目不予公开。具体附整体支出绩效自评表。</w:t>
      </w:r>
    </w:p>
    <w:p w14:paraId="5029EE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F8BE1A2">
        <w:tblPrEx>
          <w:tblCellMar>
            <w:top w:w="0" w:type="dxa"/>
            <w:left w:w="108" w:type="dxa"/>
            <w:bottom w:w="0" w:type="dxa"/>
            <w:right w:w="108" w:type="dxa"/>
          </w:tblCellMar>
        </w:tblPrEx>
        <w:tc>
          <w:tcPr>
            <w:tcW w:w="8840" w:type="dxa"/>
            <w:gridSpan w:val="8"/>
            <w:vAlign w:val="center"/>
          </w:tcPr>
          <w:p w14:paraId="0406FCBF">
            <w:pPr>
              <w:jc w:val="center"/>
            </w:pPr>
            <w:r>
              <w:rPr>
                <w:rFonts w:ascii="宋体" w:hAnsi="宋体" w:eastAsia="宋体"/>
                <w:sz w:val="24"/>
              </w:rPr>
              <w:t>单位整体支出绩效自评表</w:t>
            </w:r>
          </w:p>
        </w:tc>
      </w:tr>
      <w:tr w14:paraId="65FB3592">
        <w:tblPrEx>
          <w:tblCellMar>
            <w:top w:w="0" w:type="dxa"/>
            <w:left w:w="108" w:type="dxa"/>
            <w:bottom w:w="0" w:type="dxa"/>
            <w:right w:w="108" w:type="dxa"/>
          </w:tblCellMar>
        </w:tblPrEx>
        <w:tc>
          <w:tcPr>
            <w:tcW w:w="8840" w:type="dxa"/>
            <w:gridSpan w:val="8"/>
            <w:vAlign w:val="center"/>
          </w:tcPr>
          <w:p w14:paraId="2B0DF6DC">
            <w:pPr>
              <w:jc w:val="center"/>
            </w:pPr>
            <w:r>
              <w:rPr>
                <w:rFonts w:ascii="宋体" w:hAnsi="宋体" w:eastAsia="宋体"/>
                <w:sz w:val="24"/>
              </w:rPr>
              <w:t>（2024年度）</w:t>
            </w:r>
          </w:p>
        </w:tc>
      </w:tr>
      <w:tr w14:paraId="36E6AE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C7AA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86BFE">
            <w:pPr>
              <w:jc w:val="center"/>
            </w:pPr>
            <w:r>
              <w:rPr>
                <w:rFonts w:ascii="宋体" w:hAnsi="宋体" w:eastAsia="宋体"/>
                <w:sz w:val="16"/>
              </w:rPr>
              <w:t>中共裕民县委政法委员会</w:t>
            </w:r>
          </w:p>
        </w:tc>
      </w:tr>
      <w:tr w14:paraId="6BA655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E0D4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0224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742A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7E21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E64E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4D2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8F1B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8855D">
            <w:pPr>
              <w:jc w:val="center"/>
            </w:pPr>
            <w:r>
              <w:rPr>
                <w:rFonts w:ascii="宋体" w:hAnsi="宋体" w:eastAsia="宋体"/>
                <w:sz w:val="16"/>
              </w:rPr>
              <w:t>得分</w:t>
            </w:r>
          </w:p>
        </w:tc>
      </w:tr>
      <w:tr w14:paraId="28F09C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973F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E75B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B47B1">
            <w:pPr>
              <w:jc w:val="center"/>
            </w:pPr>
            <w:r>
              <w:rPr>
                <w:rFonts w:ascii="宋体" w:hAnsi="宋体" w:eastAsia="宋体"/>
                <w:sz w:val="16"/>
              </w:rPr>
              <w:t>801.82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79961">
            <w:pPr>
              <w:jc w:val="center"/>
            </w:pPr>
            <w:r>
              <w:rPr>
                <w:rFonts w:ascii="宋体" w:hAnsi="宋体" w:eastAsia="宋体"/>
                <w:sz w:val="16"/>
              </w:rPr>
              <w:t>782.69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15471">
            <w:pPr>
              <w:jc w:val="center"/>
            </w:pPr>
            <w:r>
              <w:rPr>
                <w:rFonts w:ascii="宋体" w:hAnsi="宋体" w:eastAsia="宋体"/>
                <w:sz w:val="16"/>
              </w:rPr>
              <w:t>782.69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7D1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5441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6C695">
            <w:pPr>
              <w:jc w:val="center"/>
            </w:pPr>
            <w:r>
              <w:rPr>
                <w:rFonts w:ascii="宋体" w:hAnsi="宋体" w:eastAsia="宋体"/>
                <w:sz w:val="16"/>
              </w:rPr>
              <w:t>10</w:t>
            </w:r>
          </w:p>
        </w:tc>
      </w:tr>
      <w:tr w14:paraId="1BC427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2552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1941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DDD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095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255B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032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53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B86D5">
            <w:pPr>
              <w:jc w:val="center"/>
            </w:pPr>
            <w:r>
              <w:rPr>
                <w:rFonts w:ascii="宋体" w:hAnsi="宋体" w:eastAsia="宋体"/>
                <w:sz w:val="16"/>
              </w:rPr>
              <w:t>-</w:t>
            </w:r>
          </w:p>
        </w:tc>
      </w:tr>
      <w:tr w14:paraId="1F886C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F4E9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CD24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A528E">
            <w:pPr>
              <w:jc w:val="center"/>
            </w:pPr>
            <w:r>
              <w:rPr>
                <w:rFonts w:ascii="宋体" w:hAnsi="宋体" w:eastAsia="宋体"/>
                <w:sz w:val="16"/>
              </w:rPr>
              <w:t>801.82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D68B6">
            <w:pPr>
              <w:jc w:val="center"/>
            </w:pPr>
            <w:r>
              <w:rPr>
                <w:rFonts w:ascii="宋体" w:hAnsi="宋体" w:eastAsia="宋体"/>
                <w:sz w:val="16"/>
              </w:rPr>
              <w:t>721.69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6D8B9">
            <w:pPr>
              <w:jc w:val="center"/>
            </w:pPr>
            <w:r>
              <w:rPr>
                <w:rFonts w:ascii="宋体" w:hAnsi="宋体" w:eastAsia="宋体"/>
                <w:sz w:val="16"/>
              </w:rPr>
              <w:t>721.69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8AC36">
            <w:pPr>
              <w:jc w:val="center"/>
              <w:rPr>
                <w:rFonts w:ascii="宋体" w:hAnsi="宋体" w:eastAsia="宋体"/>
                <w:sz w:val="16"/>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4BBDA">
            <w:pPr>
              <w:jc w:val="center"/>
              <w:rPr>
                <w:rFonts w:ascii="宋体" w:hAnsi="宋体" w:eastAsia="宋体"/>
                <w:sz w:val="16"/>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C212C">
            <w:pPr>
              <w:jc w:val="center"/>
              <w:rPr>
                <w:rFonts w:ascii="宋体" w:hAnsi="宋体" w:eastAsia="宋体"/>
                <w:sz w:val="16"/>
              </w:rPr>
            </w:pPr>
            <w:r>
              <w:rPr>
                <w:rFonts w:ascii="宋体" w:hAnsi="宋体" w:eastAsia="宋体"/>
                <w:sz w:val="16"/>
              </w:rPr>
              <w:t>-</w:t>
            </w:r>
          </w:p>
        </w:tc>
      </w:tr>
      <w:tr w14:paraId="0698B2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0D63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21CF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B6A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042FF">
            <w:pPr>
              <w:jc w:val="center"/>
            </w:pPr>
            <w:r>
              <w:rPr>
                <w:rFonts w:ascii="宋体" w:hAnsi="宋体" w:eastAsia="宋体"/>
                <w:sz w:val="16"/>
              </w:rPr>
              <w:t>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4FD4B">
            <w:pPr>
              <w:jc w:val="center"/>
            </w:pPr>
            <w:r>
              <w:rPr>
                <w:rFonts w:ascii="宋体" w:hAnsi="宋体" w:eastAsia="宋体"/>
                <w:sz w:val="16"/>
              </w:rPr>
              <w:t>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06D6B">
            <w:pPr>
              <w:jc w:val="center"/>
              <w:rPr>
                <w:rFonts w:hint="eastAsia" w:ascii="宋体" w:hAnsi="宋体" w:eastAsia="宋体"/>
                <w:sz w:val="16"/>
                <w:lang w:val="en-US" w:eastAsia="zh-CN"/>
              </w:rPr>
            </w:pPr>
            <w:r>
              <w:rPr>
                <w:rFonts w:hint="eastAsia" w:ascii="宋体" w:hAnsi="宋体" w:eastAsia="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B2BF">
            <w:pPr>
              <w:jc w:val="center"/>
              <w:rPr>
                <w:rFonts w:hint="eastAsia" w:ascii="宋体" w:hAnsi="宋体" w:eastAsia="宋体"/>
                <w:sz w:val="16"/>
                <w:lang w:val="en-US" w:eastAsia="zh-CN"/>
              </w:rPr>
            </w:pPr>
            <w:r>
              <w:rPr>
                <w:rFonts w:hint="eastAsia" w:ascii="宋体" w:hAnsi="宋体" w:eastAsia="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9EEBC">
            <w:pPr>
              <w:jc w:val="center"/>
              <w:rPr>
                <w:rFonts w:hint="eastAsia" w:ascii="宋体" w:hAnsi="宋体" w:eastAsia="宋体"/>
                <w:sz w:val="16"/>
                <w:lang w:val="en-US" w:eastAsia="zh-CN"/>
              </w:rPr>
            </w:pPr>
            <w:r>
              <w:rPr>
                <w:rFonts w:hint="eastAsia" w:ascii="宋体" w:hAnsi="宋体" w:eastAsia="宋体"/>
                <w:sz w:val="16"/>
                <w:lang w:val="en-US" w:eastAsia="zh-CN"/>
              </w:rPr>
              <w:t>-</w:t>
            </w:r>
          </w:p>
        </w:tc>
      </w:tr>
      <w:tr w14:paraId="6AA282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91C3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21753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26AD65">
            <w:pPr>
              <w:jc w:val="center"/>
            </w:pPr>
            <w:r>
              <w:rPr>
                <w:rFonts w:ascii="宋体" w:hAnsi="宋体" w:eastAsia="宋体"/>
                <w:sz w:val="16"/>
              </w:rPr>
              <w:t>实际完成情况</w:t>
            </w:r>
          </w:p>
        </w:tc>
      </w:tr>
      <w:tr w14:paraId="1EC0E9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84DB1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64B690">
            <w:pPr>
              <w:jc w:val="both"/>
            </w:pPr>
            <w:r>
              <w:rPr>
                <w:rFonts w:ascii="宋体" w:hAnsi="宋体" w:eastAsia="宋体"/>
                <w:sz w:val="16"/>
              </w:rPr>
              <w:t>根据年初绩效工作要求，树立“花钱必问效、无效必问责”的绩效理念，发挥单位预算绩效管理主体责任，完善内部管理机制，强化财务管理机制，开展项目绩效监控工作。单位成立项目资金使用领导小组，规范单位绩效管控措施，确保实施方案的有效性。根据项目进度和验收情况支付，确保专项资金发挥最大效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根据中央、自治区、地区政法综治工作要求，全面做好全县综合治理常态化工作，指挥部各中心工作、平安建设工作需要，做好全年财务预算和支付工作，有办公经费、人员出差、伙食费、办公车辆加油、日常办公用电等费用，县财政部门拨款给予保障，确保各中心工作正常有序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9BB367">
            <w:pPr>
              <w:jc w:val="both"/>
            </w:pPr>
            <w:r>
              <w:rPr>
                <w:rFonts w:ascii="宋体" w:hAnsi="宋体" w:eastAsia="宋体"/>
                <w:sz w:val="16"/>
              </w:rPr>
              <w:t>2024年各项培训工作顺利进行，共组织干部参加廉政教育培训4次，开展</w:t>
            </w:r>
            <w:r>
              <w:rPr>
                <w:rFonts w:hint="eastAsia" w:ascii="宋体" w:hAnsi="宋体"/>
                <w:sz w:val="16"/>
                <w:lang w:eastAsia="zh-CN"/>
              </w:rPr>
              <w:t>干部队伍</w:t>
            </w:r>
            <w:r>
              <w:rPr>
                <w:rFonts w:ascii="宋体" w:hAnsi="宋体" w:eastAsia="宋体"/>
                <w:sz w:val="16"/>
              </w:rPr>
              <w:t>建设业务培训3次，积极完成各项培训学习任务，每季度开展业务培训。开展平安建设宣传活动4次，专项宣传活动次数4次，普法宣传活动4次。较好</w:t>
            </w:r>
            <w:r>
              <w:rPr>
                <w:rFonts w:hint="eastAsia" w:ascii="宋体" w:hAnsi="宋体"/>
                <w:sz w:val="16"/>
                <w:lang w:eastAsia="zh-CN"/>
              </w:rPr>
              <w:t>地</w:t>
            </w:r>
            <w:r>
              <w:rPr>
                <w:rFonts w:ascii="宋体" w:hAnsi="宋体" w:eastAsia="宋体"/>
                <w:sz w:val="16"/>
              </w:rPr>
              <w:t>完成了各项宣传工作。做好全年人员经费、公用经费支付工作，确保各中心工作正常有序开展。</w:t>
            </w:r>
          </w:p>
        </w:tc>
      </w:tr>
      <w:tr w14:paraId="08733C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30CF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DDC8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81C3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04B7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A41D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FF03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260C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4A3AA">
            <w:pPr>
              <w:jc w:val="center"/>
            </w:pPr>
            <w:r>
              <w:rPr>
                <w:rFonts w:ascii="宋体" w:hAnsi="宋体" w:eastAsia="宋体"/>
                <w:sz w:val="16"/>
              </w:rPr>
              <w:t>得分</w:t>
            </w:r>
          </w:p>
        </w:tc>
      </w:tr>
      <w:tr w14:paraId="0D44FC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628C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E42B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C1363">
            <w:pPr>
              <w:jc w:val="center"/>
            </w:pPr>
            <w:r>
              <w:rPr>
                <w:rFonts w:ascii="宋体" w:hAnsi="宋体" w:eastAsia="宋体"/>
                <w:sz w:val="16"/>
              </w:rPr>
              <w:t>综治中心运行维护</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D06A2">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0D901">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EF6D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EE20D">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8E6E3">
            <w:pPr>
              <w:jc w:val="center"/>
            </w:pPr>
            <w:r>
              <w:rPr>
                <w:rFonts w:ascii="宋体" w:hAnsi="宋体" w:eastAsia="宋体"/>
                <w:sz w:val="16"/>
              </w:rPr>
              <w:t>15</w:t>
            </w:r>
          </w:p>
        </w:tc>
      </w:tr>
      <w:tr w14:paraId="61239E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288F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D986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99F6C">
            <w:pPr>
              <w:jc w:val="center"/>
            </w:pPr>
            <w:r>
              <w:rPr>
                <w:rFonts w:ascii="宋体" w:hAnsi="宋体" w:eastAsia="宋体"/>
                <w:sz w:val="16"/>
              </w:rPr>
              <w:t>平安建设培训宣传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D3F3C">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AAB8A">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D78F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BC484">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1A37D">
            <w:pPr>
              <w:jc w:val="center"/>
            </w:pPr>
            <w:r>
              <w:rPr>
                <w:rFonts w:ascii="宋体" w:hAnsi="宋体" w:eastAsia="宋体"/>
                <w:sz w:val="16"/>
              </w:rPr>
              <w:t>15</w:t>
            </w:r>
          </w:p>
        </w:tc>
      </w:tr>
      <w:tr w14:paraId="690388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C598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26D6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2527E">
            <w:pPr>
              <w:jc w:val="center"/>
            </w:pPr>
            <w:r>
              <w:rPr>
                <w:rFonts w:ascii="宋体" w:hAnsi="宋体" w:eastAsia="宋体"/>
                <w:sz w:val="16"/>
              </w:rPr>
              <w:t>专项宣传活动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5C0A2">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7576E">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C892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8CF57">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883B4">
            <w:pPr>
              <w:jc w:val="center"/>
            </w:pPr>
            <w:bookmarkStart w:id="0" w:name="_GoBack"/>
            <w:bookmarkEnd w:id="0"/>
            <w:r>
              <w:rPr>
                <w:rFonts w:ascii="宋体" w:hAnsi="宋体" w:eastAsia="宋体"/>
                <w:sz w:val="16"/>
              </w:rPr>
              <w:t>15</w:t>
            </w:r>
          </w:p>
        </w:tc>
      </w:tr>
      <w:tr w14:paraId="46E1D1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38B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49FC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98842">
            <w:pPr>
              <w:jc w:val="center"/>
            </w:pPr>
            <w:r>
              <w:rPr>
                <w:rFonts w:ascii="宋体" w:hAnsi="宋体" w:eastAsia="宋体"/>
                <w:sz w:val="16"/>
              </w:rPr>
              <w:t>普法宣传活动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3C739">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AE4F4">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045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0D3AE">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64FAD">
            <w:pPr>
              <w:jc w:val="center"/>
            </w:pPr>
            <w:r>
              <w:rPr>
                <w:rFonts w:ascii="宋体" w:hAnsi="宋体" w:eastAsia="宋体"/>
                <w:sz w:val="16"/>
              </w:rPr>
              <w:t>15</w:t>
            </w:r>
          </w:p>
        </w:tc>
      </w:tr>
      <w:tr w14:paraId="15D8B3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292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9968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F4BB4">
            <w:pPr>
              <w:jc w:val="center"/>
            </w:pPr>
            <w:r>
              <w:rPr>
                <w:rFonts w:ascii="宋体" w:hAnsi="宋体" w:eastAsia="宋体"/>
                <w:sz w:val="16"/>
              </w:rPr>
              <w:t>宣传培训覆盖率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6989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FBF4C">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D922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E22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9276A">
            <w:pPr>
              <w:jc w:val="center"/>
            </w:pPr>
            <w:r>
              <w:rPr>
                <w:rFonts w:ascii="宋体" w:hAnsi="宋体" w:eastAsia="宋体"/>
                <w:sz w:val="16"/>
              </w:rPr>
              <w:t>15</w:t>
            </w:r>
          </w:p>
        </w:tc>
      </w:tr>
      <w:tr w14:paraId="1E6468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4A6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AAE0A">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29525">
            <w:pPr>
              <w:jc w:val="center"/>
            </w:pPr>
            <w:r>
              <w:rPr>
                <w:rFonts w:ascii="宋体" w:hAnsi="宋体" w:eastAsia="宋体"/>
                <w:sz w:val="16"/>
              </w:rPr>
              <w:t>运行维护及时率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D79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4CA9D">
            <w:pPr>
              <w:jc w:val="center"/>
            </w:pPr>
            <w:r>
              <w:rPr>
                <w:rFonts w:ascii="宋体" w:hAnsi="宋体" w:eastAsia="宋体"/>
                <w:sz w:val="16"/>
              </w:rPr>
              <w:t>2024年重点工作计划、</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172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993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FBE4C">
            <w:pPr>
              <w:jc w:val="center"/>
            </w:pPr>
            <w:r>
              <w:rPr>
                <w:rFonts w:ascii="宋体" w:hAnsi="宋体" w:eastAsia="宋体"/>
                <w:sz w:val="16"/>
              </w:rPr>
              <w:t>15</w:t>
            </w:r>
          </w:p>
        </w:tc>
      </w:tr>
    </w:tbl>
    <w:p w14:paraId="2C4B0FFE">
      <w:r>
        <w:br w:type="page"/>
      </w:r>
    </w:p>
    <w:p w14:paraId="2074D6F2">
      <w:pPr>
        <w:spacing w:line="640" w:lineRule="exact"/>
        <w:ind w:firstLine="640"/>
        <w:jc w:val="both"/>
        <w:outlineLvl w:val="2"/>
      </w:pPr>
      <w:r>
        <w:rPr>
          <w:rFonts w:ascii="黑体" w:hAnsi="黑体" w:eastAsia="黑体"/>
          <w:sz w:val="32"/>
        </w:rPr>
        <w:t>十二、其他需说明的事项</w:t>
      </w:r>
    </w:p>
    <w:p w14:paraId="65BB404E">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250EB090">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项目4个，全年预算数240.62万元，全年执行数240.62万元。</w:t>
      </w:r>
    </w:p>
    <w:p w14:paraId="0DF22A47">
      <w:r>
        <w:br w:type="page"/>
      </w:r>
    </w:p>
    <w:p w14:paraId="7A0B5EE5">
      <w:pPr>
        <w:spacing w:line="240" w:lineRule="auto"/>
        <w:jc w:val="center"/>
        <w:outlineLvl w:val="1"/>
      </w:pPr>
      <w:r>
        <w:rPr>
          <w:rFonts w:ascii="黑体" w:hAnsi="黑体" w:eastAsia="黑体"/>
          <w:sz w:val="32"/>
        </w:rPr>
        <w:t>第三部分 专业名词解释</w:t>
      </w:r>
    </w:p>
    <w:p w14:paraId="734A3B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A1F1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6479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13F85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4FC73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F940F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8868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C2A0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9392C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7B692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A599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16C0E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3F3C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38720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A6DAA1">
      <w:r>
        <w:br w:type="page"/>
      </w:r>
    </w:p>
    <w:p w14:paraId="480229F1">
      <w:pPr>
        <w:spacing w:line="240" w:lineRule="auto"/>
        <w:jc w:val="center"/>
        <w:outlineLvl w:val="1"/>
      </w:pPr>
      <w:r>
        <w:rPr>
          <w:rFonts w:ascii="黑体" w:hAnsi="黑体" w:eastAsia="黑体"/>
          <w:sz w:val="32"/>
        </w:rPr>
        <w:t>第四部分 部门决算报表（见附表）</w:t>
      </w:r>
    </w:p>
    <w:p w14:paraId="3D775D2D">
      <w:pPr>
        <w:spacing w:line="240" w:lineRule="auto"/>
        <w:ind w:firstLine="640"/>
        <w:jc w:val="both"/>
      </w:pPr>
      <w:r>
        <w:rPr>
          <w:rFonts w:ascii="仿宋_GB2312" w:hAnsi="仿宋_GB2312" w:eastAsia="仿宋_GB2312"/>
          <w:b w:val="0"/>
          <w:sz w:val="32"/>
        </w:rPr>
        <w:t>一、《收入支出决算总表》</w:t>
      </w:r>
    </w:p>
    <w:p w14:paraId="139AD605">
      <w:pPr>
        <w:spacing w:line="240" w:lineRule="auto"/>
        <w:ind w:firstLine="640"/>
        <w:jc w:val="both"/>
      </w:pPr>
      <w:r>
        <w:rPr>
          <w:rFonts w:ascii="仿宋_GB2312" w:hAnsi="仿宋_GB2312" w:eastAsia="仿宋_GB2312"/>
          <w:b w:val="0"/>
          <w:sz w:val="32"/>
        </w:rPr>
        <w:t>二、《收入决算表》</w:t>
      </w:r>
    </w:p>
    <w:p w14:paraId="6327EDDC">
      <w:pPr>
        <w:spacing w:line="240" w:lineRule="auto"/>
        <w:ind w:firstLine="640"/>
        <w:jc w:val="both"/>
      </w:pPr>
      <w:r>
        <w:rPr>
          <w:rFonts w:ascii="仿宋_GB2312" w:hAnsi="仿宋_GB2312" w:eastAsia="仿宋_GB2312"/>
          <w:b w:val="0"/>
          <w:sz w:val="32"/>
        </w:rPr>
        <w:t>三、《支出决算表》</w:t>
      </w:r>
    </w:p>
    <w:p w14:paraId="077792DF">
      <w:pPr>
        <w:spacing w:line="240" w:lineRule="auto"/>
        <w:ind w:firstLine="640"/>
        <w:jc w:val="both"/>
      </w:pPr>
      <w:r>
        <w:rPr>
          <w:rFonts w:ascii="仿宋_GB2312" w:hAnsi="仿宋_GB2312" w:eastAsia="仿宋_GB2312"/>
          <w:b w:val="0"/>
          <w:sz w:val="32"/>
        </w:rPr>
        <w:t>四、《财政拨款收入支出决算总表》</w:t>
      </w:r>
    </w:p>
    <w:p w14:paraId="2039E89C">
      <w:pPr>
        <w:spacing w:line="240" w:lineRule="auto"/>
        <w:ind w:firstLine="640"/>
        <w:jc w:val="both"/>
      </w:pPr>
      <w:r>
        <w:rPr>
          <w:rFonts w:ascii="仿宋_GB2312" w:hAnsi="仿宋_GB2312" w:eastAsia="仿宋_GB2312"/>
          <w:b w:val="0"/>
          <w:sz w:val="32"/>
        </w:rPr>
        <w:t>五、《一般公共预算财政拨款支出决算表》</w:t>
      </w:r>
    </w:p>
    <w:p w14:paraId="5AB2ADB8">
      <w:pPr>
        <w:spacing w:line="240" w:lineRule="auto"/>
        <w:ind w:firstLine="640"/>
        <w:jc w:val="both"/>
      </w:pPr>
      <w:r>
        <w:rPr>
          <w:rFonts w:ascii="仿宋_GB2312" w:hAnsi="仿宋_GB2312" w:eastAsia="仿宋_GB2312"/>
          <w:b w:val="0"/>
          <w:sz w:val="32"/>
        </w:rPr>
        <w:t>六、《一般公共预算财政拨款基本支出决算表》</w:t>
      </w:r>
    </w:p>
    <w:p w14:paraId="52C59EA1">
      <w:pPr>
        <w:spacing w:line="240" w:lineRule="auto"/>
        <w:ind w:firstLine="640"/>
        <w:jc w:val="both"/>
      </w:pPr>
      <w:r>
        <w:rPr>
          <w:rFonts w:ascii="仿宋_GB2312" w:hAnsi="仿宋_GB2312" w:eastAsia="仿宋_GB2312"/>
          <w:b w:val="0"/>
          <w:sz w:val="32"/>
        </w:rPr>
        <w:t>七、《政府性基金预算财政拨款收入支出决算表》</w:t>
      </w:r>
    </w:p>
    <w:p w14:paraId="2DB237C7">
      <w:pPr>
        <w:spacing w:line="240" w:lineRule="auto"/>
        <w:ind w:firstLine="640"/>
        <w:jc w:val="both"/>
      </w:pPr>
      <w:r>
        <w:rPr>
          <w:rFonts w:ascii="仿宋_GB2312" w:hAnsi="仿宋_GB2312" w:eastAsia="仿宋_GB2312"/>
          <w:b w:val="0"/>
          <w:sz w:val="32"/>
        </w:rPr>
        <w:t>八、《国有资本经营预算财政拨款收入支出决算表》</w:t>
      </w:r>
    </w:p>
    <w:p w14:paraId="36D500FA">
      <w:pPr>
        <w:spacing w:line="240" w:lineRule="auto"/>
        <w:ind w:firstLine="640"/>
        <w:jc w:val="both"/>
      </w:pPr>
      <w:r>
        <w:rPr>
          <w:rFonts w:ascii="仿宋_GB2312" w:hAnsi="仿宋_GB2312" w:eastAsia="仿宋_GB2312"/>
          <w:b w:val="0"/>
          <w:sz w:val="32"/>
        </w:rPr>
        <w:t>九、《财政拨款“三公”经费支出决算表》</w:t>
      </w:r>
    </w:p>
    <w:p w14:paraId="56DBAACF">
      <w:pPr>
        <w:spacing w:line="240" w:lineRule="auto"/>
        <w:ind w:firstLine="640"/>
        <w:jc w:val="both"/>
      </w:pPr>
    </w:p>
    <w:p w14:paraId="478D69AA">
      <w:pPr>
        <w:spacing w:line="240" w:lineRule="auto"/>
        <w:ind w:firstLine="640"/>
        <w:jc w:val="both"/>
      </w:pPr>
    </w:p>
    <w:p w14:paraId="5426B63E">
      <w:pPr>
        <w:spacing w:line="240" w:lineRule="auto"/>
        <w:ind w:firstLine="640"/>
        <w:jc w:val="both"/>
      </w:pPr>
    </w:p>
    <w:p w14:paraId="1A27D999">
      <w:pPr>
        <w:spacing w:line="240" w:lineRule="auto"/>
        <w:ind w:firstLine="640"/>
        <w:jc w:val="both"/>
      </w:pPr>
    </w:p>
    <w:p w14:paraId="394C17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C7D253-9D35-401E-9A84-9726430424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F753797A-634D-478A-8671-096BCB0BA6CB}"/>
  </w:font>
  <w:font w:name="楷体_GB2312">
    <w:panose1 w:val="02010609030101010101"/>
    <w:charset w:val="86"/>
    <w:family w:val="auto"/>
    <w:pitch w:val="default"/>
    <w:sig w:usb0="00000001" w:usb1="080E0000" w:usb2="00000000" w:usb3="00000000" w:csb0="00040000" w:csb1="00000000"/>
    <w:embedRegular r:id="rId3" w:fontKey="{B30EFD6C-328F-4DC0-A9A6-D679612FD027}"/>
  </w:font>
  <w:font w:name="方正小标宋_GBK">
    <w:panose1 w:val="02000000000000000000"/>
    <w:charset w:val="86"/>
    <w:family w:val="script"/>
    <w:pitch w:val="default"/>
    <w:sig w:usb0="A00002BF" w:usb1="38CF7CFA" w:usb2="00082016" w:usb3="00000000" w:csb0="00040001" w:csb1="00000000"/>
    <w:embedRegular r:id="rId4" w:fontKey="{5332FA07-EF0E-40B7-8DF3-939F9F7330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1F3682"/>
    <w:rsid w:val="11E15093"/>
    <w:rsid w:val="120E0809"/>
    <w:rsid w:val="1265051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356FED"/>
    <w:rsid w:val="23BC04D2"/>
    <w:rsid w:val="25275618"/>
    <w:rsid w:val="25560DD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5F262D"/>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2779F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B726D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4280</Words>
  <Characters>4945</Characters>
  <Lines>0</Lines>
  <Paragraphs>0</Paragraphs>
  <TotalTime>0</TotalTime>
  <ScaleCrop>false</ScaleCrop>
  <LinksUpToDate>false</LinksUpToDate>
  <CharactersWithSpaces>4953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2025-11-07T07:17:16Z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