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FED6E">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5041446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581EC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A31448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95AB6A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8F8FAE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中共裕民县委党校2024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67946EF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14166179">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02EA018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758B460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126B86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2E5F104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0426A17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A151D5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4FDA81B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5D1C154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73779B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60E68AF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74E1671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5331FB6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F4B9F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72582E0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57E661A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13509E3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417DF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8FA867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376E66D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4F07A34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B66F41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5721454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68E3BAB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20E11F3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1BCE3BC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6A5250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3D0CBA3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1967065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37D4160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11D7C5F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912370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18ADBCD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7B3359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0FB0E37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FBE177B">
      <w:r>
        <w:br w:type="page"/>
      </w:r>
    </w:p>
    <w:p w14:paraId="1F2EDB07">
      <w:pPr>
        <w:spacing w:line="640" w:lineRule="exact"/>
        <w:jc w:val="center"/>
        <w:outlineLvl w:val="1"/>
      </w:pPr>
      <w:r>
        <w:rPr>
          <w:rFonts w:ascii="黑体" w:hAnsi="黑体" w:eastAsia="黑体"/>
          <w:sz w:val="32"/>
        </w:rPr>
        <w:t>第一部分 单位概况</w:t>
      </w:r>
    </w:p>
    <w:p w14:paraId="03637D11">
      <w:pPr>
        <w:spacing w:line="640" w:lineRule="exact"/>
        <w:ind w:firstLine="640"/>
        <w:jc w:val="both"/>
        <w:outlineLvl w:val="2"/>
      </w:pPr>
      <w:r>
        <w:rPr>
          <w:rFonts w:ascii="黑体" w:hAnsi="黑体" w:eastAsia="黑体"/>
          <w:sz w:val="32"/>
        </w:rPr>
        <w:t>一、主要职能</w:t>
      </w:r>
    </w:p>
    <w:p w14:paraId="4909BD61">
      <w:pPr>
        <w:spacing w:line="580" w:lineRule="exact"/>
        <w:ind w:firstLine="640"/>
        <w:jc w:val="both"/>
        <w:rPr>
          <w:w w:val="98"/>
          <w:sz w:val="32"/>
        </w:rPr>
      </w:pPr>
      <w:r>
        <w:rPr>
          <w:rFonts w:ascii="仿宋_GB2312" w:hAnsi="仿宋_GB2312" w:eastAsia="仿宋_GB2312"/>
          <w:w w:val="98"/>
          <w:sz w:val="32"/>
        </w:rPr>
        <w:t>(1)加强马克思主义基本理论研究，重点研究宣传习近平新时代中国特色社会主义思想；培训各级党政领导干部、公务员、事业单位领导人员、年轻干部、理论宣传骨干、高层次人才、基层干部、党员；承办县委</w:t>
      </w:r>
      <w:r>
        <w:rPr>
          <w:rFonts w:hint="eastAsia" w:ascii="仿宋_GB2312" w:hAnsi="仿宋_GB2312" w:eastAsia="仿宋_GB2312"/>
          <w:w w:val="98"/>
          <w:sz w:val="32"/>
          <w:lang w:eastAsia="zh-CN"/>
        </w:rPr>
        <w:t>、县</w:t>
      </w:r>
      <w:r>
        <w:rPr>
          <w:rFonts w:ascii="仿宋_GB2312" w:hAnsi="仿宋_GB2312" w:eastAsia="仿宋_GB2312"/>
          <w:w w:val="98"/>
          <w:sz w:val="32"/>
        </w:rPr>
        <w:t>政府以及相关部门举办的专题培训班。</w:t>
      </w:r>
    </w:p>
    <w:p w14:paraId="2FFEEAD3">
      <w:pPr>
        <w:spacing w:line="580" w:lineRule="exact"/>
        <w:ind w:firstLine="640"/>
        <w:jc w:val="both"/>
      </w:pPr>
      <w:r>
        <w:rPr>
          <w:rFonts w:ascii="仿宋_GB2312" w:hAnsi="仿宋_GB2312" w:eastAsia="仿宋_GB2312"/>
          <w:sz w:val="32"/>
        </w:rPr>
        <w:t>(2)负责党校教师聘任和队伍建设，建立健全各项规章制度；从党校自身工作特点出发，切实加强党校的自身建设。</w:t>
      </w:r>
    </w:p>
    <w:p w14:paraId="583B208F">
      <w:pPr>
        <w:spacing w:line="580" w:lineRule="exact"/>
        <w:ind w:firstLine="640"/>
        <w:jc w:val="both"/>
      </w:pPr>
      <w:r>
        <w:rPr>
          <w:rFonts w:ascii="仿宋_GB2312" w:hAnsi="仿宋_GB2312" w:eastAsia="仿宋_GB2312"/>
          <w:sz w:val="32"/>
        </w:rPr>
        <w:t>(3)开展与其他县市党校之间教学教研的合作交流。</w:t>
      </w:r>
    </w:p>
    <w:p w14:paraId="5BD97722">
      <w:pPr>
        <w:spacing w:line="580" w:lineRule="exact"/>
        <w:ind w:firstLine="640"/>
        <w:jc w:val="both"/>
      </w:pPr>
      <w:r>
        <w:rPr>
          <w:rFonts w:ascii="仿宋_GB2312" w:hAnsi="仿宋_GB2312" w:eastAsia="仿宋_GB2312"/>
          <w:sz w:val="32"/>
        </w:rPr>
        <w:t>(4)开展重大理论和现实问题研究，主动参与县委关于党校工作政策以及干部培训计划的制定工作，为县委</w:t>
      </w:r>
      <w:r>
        <w:rPr>
          <w:rFonts w:hint="eastAsia" w:ascii="仿宋_GB2312" w:hAnsi="仿宋_GB2312" w:eastAsia="仿宋_GB2312"/>
          <w:sz w:val="32"/>
          <w:lang w:eastAsia="zh-CN"/>
        </w:rPr>
        <w:t>、县</w:t>
      </w:r>
      <w:r>
        <w:rPr>
          <w:rFonts w:ascii="仿宋_GB2312" w:hAnsi="仿宋_GB2312" w:eastAsia="仿宋_GB2312"/>
          <w:sz w:val="32"/>
        </w:rPr>
        <w:t>政府决策咨询提供服务。</w:t>
      </w:r>
    </w:p>
    <w:p w14:paraId="316FF0C0">
      <w:pPr>
        <w:spacing w:line="640" w:lineRule="exact"/>
        <w:ind w:firstLine="640"/>
        <w:jc w:val="both"/>
        <w:outlineLvl w:val="2"/>
      </w:pPr>
      <w:r>
        <w:rPr>
          <w:rFonts w:ascii="黑体" w:hAnsi="黑体" w:eastAsia="黑体"/>
          <w:sz w:val="32"/>
        </w:rPr>
        <w:t>二、机构设置及人员情况</w:t>
      </w:r>
    </w:p>
    <w:p w14:paraId="6719EE09">
      <w:pPr>
        <w:spacing w:line="580" w:lineRule="exact"/>
        <w:ind w:firstLine="640"/>
        <w:jc w:val="both"/>
      </w:pPr>
      <w:r>
        <w:rPr>
          <w:rFonts w:ascii="仿宋_GB2312" w:hAnsi="仿宋_GB2312" w:eastAsia="仿宋_GB2312"/>
          <w:sz w:val="32"/>
        </w:rPr>
        <w:t>中共裕民县委党校2024年度，实有人数41人，其中：在职人员23人，增加8人；离休人员0人，增加0人；退休人员18人,增加1人。</w:t>
      </w:r>
    </w:p>
    <w:p w14:paraId="12025261">
      <w:pPr>
        <w:spacing w:line="580" w:lineRule="exact"/>
        <w:ind w:firstLine="640"/>
        <w:jc w:val="both"/>
      </w:pPr>
      <w:r>
        <w:rPr>
          <w:rFonts w:ascii="仿宋_GB2312" w:hAnsi="仿宋_GB2312" w:eastAsia="仿宋_GB2312"/>
          <w:sz w:val="32"/>
        </w:rPr>
        <w:t>中共裕民县委党校无下属预算单位，下设5个科室，分别是：办公室、教务室、教研室、财务室、总务室。</w:t>
      </w:r>
    </w:p>
    <w:p w14:paraId="52762B08">
      <w:r>
        <w:br w:type="page"/>
      </w:r>
    </w:p>
    <w:p w14:paraId="5B0C9103">
      <w:pPr>
        <w:spacing w:line="240" w:lineRule="auto"/>
        <w:jc w:val="center"/>
        <w:outlineLvl w:val="1"/>
      </w:pPr>
      <w:r>
        <w:rPr>
          <w:rFonts w:ascii="黑体" w:hAnsi="黑体" w:eastAsia="黑体"/>
          <w:sz w:val="32"/>
        </w:rPr>
        <w:t>第二部分 部门决算情况说明</w:t>
      </w:r>
    </w:p>
    <w:p w14:paraId="625E4582">
      <w:pPr>
        <w:spacing w:line="640" w:lineRule="exact"/>
        <w:ind w:firstLine="640"/>
        <w:jc w:val="both"/>
        <w:outlineLvl w:val="2"/>
      </w:pPr>
      <w:r>
        <w:rPr>
          <w:rFonts w:ascii="黑体" w:hAnsi="黑体" w:eastAsia="黑体"/>
          <w:sz w:val="32"/>
        </w:rPr>
        <w:t>一、收入支出决算总体情况说明</w:t>
      </w:r>
    </w:p>
    <w:p w14:paraId="70CB785E">
      <w:pPr>
        <w:spacing w:line="580" w:lineRule="exact"/>
        <w:ind w:firstLine="640"/>
        <w:jc w:val="both"/>
      </w:pPr>
      <w:r>
        <w:rPr>
          <w:rFonts w:ascii="仿宋_GB2312" w:hAnsi="仿宋_GB2312" w:eastAsia="仿宋_GB2312"/>
          <w:b/>
          <w:sz w:val="32"/>
        </w:rPr>
        <w:t>2024年度收入总计1,188.07万元，</w:t>
      </w:r>
      <w:r>
        <w:rPr>
          <w:rFonts w:ascii="仿宋_GB2312" w:hAnsi="仿宋_GB2312" w:eastAsia="仿宋_GB2312"/>
          <w:b w:val="0"/>
          <w:sz w:val="32"/>
        </w:rPr>
        <w:t>其中：本年收入合计1,188.07万元，使用非财政拨款结余（含专用结余）0.00万元，年初结转和结余0.00万元。</w:t>
      </w:r>
    </w:p>
    <w:p w14:paraId="749C12C5">
      <w:pPr>
        <w:spacing w:line="580" w:lineRule="exact"/>
        <w:ind w:firstLine="640"/>
        <w:jc w:val="both"/>
      </w:pPr>
      <w:r>
        <w:rPr>
          <w:rFonts w:ascii="仿宋_GB2312" w:hAnsi="仿宋_GB2312" w:eastAsia="仿宋_GB2312"/>
          <w:b/>
          <w:sz w:val="32"/>
        </w:rPr>
        <w:t>2024年度支出总计1,188.07万元，</w:t>
      </w:r>
      <w:r>
        <w:rPr>
          <w:rFonts w:ascii="仿宋_GB2312" w:hAnsi="仿宋_GB2312" w:eastAsia="仿宋_GB2312"/>
          <w:b w:val="0"/>
          <w:sz w:val="32"/>
        </w:rPr>
        <w:t>其中：本年支出合计</w:t>
      </w:r>
      <w:r>
        <w:rPr>
          <w:rFonts w:ascii="仿宋_GB2312" w:hAnsi="仿宋_GB2312" w:eastAsia="仿宋_GB2312"/>
          <w:b w:val="0"/>
          <w:w w:val="97"/>
          <w:sz w:val="32"/>
        </w:rPr>
        <w:t>1,188.07万元，结余分配0.00万元，年末结转和结余0.00万元。</w:t>
      </w:r>
    </w:p>
    <w:p w14:paraId="6277AAFA">
      <w:pPr>
        <w:spacing w:line="580" w:lineRule="exact"/>
        <w:ind w:firstLine="640"/>
        <w:jc w:val="both"/>
      </w:pPr>
      <w:r>
        <w:rPr>
          <w:rFonts w:ascii="仿宋_GB2312" w:hAnsi="仿宋_GB2312" w:eastAsia="仿宋_GB2312"/>
          <w:b w:val="0"/>
          <w:sz w:val="32"/>
        </w:rPr>
        <w:t>收入支出总体与上年相比，减少2,853.51万元，下降70.60%，主要原因是：本年小白杨干部教育培训基地资金和党校基础设施建设项目资金较上年减少。</w:t>
      </w:r>
    </w:p>
    <w:p w14:paraId="156317D6">
      <w:pPr>
        <w:spacing w:line="640" w:lineRule="exact"/>
        <w:ind w:firstLine="640"/>
        <w:jc w:val="both"/>
        <w:outlineLvl w:val="2"/>
      </w:pPr>
      <w:r>
        <w:rPr>
          <w:rFonts w:ascii="黑体" w:hAnsi="黑体" w:eastAsia="黑体"/>
          <w:sz w:val="32"/>
        </w:rPr>
        <w:t>二、收入决算情况说明</w:t>
      </w:r>
    </w:p>
    <w:p w14:paraId="2C60D6C9">
      <w:pPr>
        <w:spacing w:line="580" w:lineRule="exact"/>
        <w:ind w:firstLine="640"/>
        <w:jc w:val="both"/>
      </w:pPr>
      <w:r>
        <w:rPr>
          <w:rFonts w:ascii="仿宋_GB2312" w:hAnsi="仿宋_GB2312" w:eastAsia="仿宋_GB2312"/>
          <w:b/>
          <w:sz w:val="32"/>
        </w:rPr>
        <w:t>本年收入1,188.07万元，</w:t>
      </w:r>
      <w:r>
        <w:rPr>
          <w:rFonts w:ascii="仿宋_GB2312" w:hAnsi="仿宋_GB2312" w:eastAsia="仿宋_GB2312"/>
          <w:b w:val="0"/>
          <w:sz w:val="32"/>
        </w:rPr>
        <w:t>其中：财政拨款收入1,121.25万元，占94.38%；上级补助收入0.00万元，占0.00%；事业收入66.83万元，占5.63%；经营收入0.00万元，占0.00%；附属单位上缴收入0.00万元，占0.00%；其他收入0.00万元，占0.00%。</w:t>
      </w:r>
    </w:p>
    <w:p w14:paraId="0AF7E118">
      <w:pPr>
        <w:spacing w:line="640" w:lineRule="exact"/>
        <w:ind w:firstLine="640"/>
        <w:jc w:val="both"/>
        <w:outlineLvl w:val="2"/>
      </w:pPr>
      <w:r>
        <w:rPr>
          <w:rFonts w:ascii="黑体" w:hAnsi="黑体" w:eastAsia="黑体"/>
          <w:sz w:val="32"/>
        </w:rPr>
        <w:t>三、支出决算情况说明</w:t>
      </w:r>
    </w:p>
    <w:p w14:paraId="2DA4EBB4">
      <w:pPr>
        <w:spacing w:line="580" w:lineRule="exact"/>
        <w:ind w:firstLine="640"/>
        <w:jc w:val="both"/>
      </w:pPr>
      <w:r>
        <w:rPr>
          <w:rFonts w:ascii="仿宋_GB2312" w:hAnsi="仿宋_GB2312" w:eastAsia="仿宋_GB2312"/>
          <w:b/>
          <w:sz w:val="32"/>
        </w:rPr>
        <w:t>本年支出1,188.07万元，</w:t>
      </w:r>
      <w:r>
        <w:rPr>
          <w:rFonts w:ascii="仿宋_GB2312" w:hAnsi="仿宋_GB2312" w:eastAsia="仿宋_GB2312"/>
          <w:b w:val="0"/>
          <w:sz w:val="32"/>
        </w:rPr>
        <w:t>其中：基本支出492.23万元，占41.43%；项目支出695.84万元，占58.57%；上缴上级支出0.00万元，占0.00%；经营支出0.00万元，占0.00%；对附属单位补助支出0.00万元，占0.00%。</w:t>
      </w:r>
    </w:p>
    <w:p w14:paraId="32096C45">
      <w:pPr>
        <w:spacing w:line="640" w:lineRule="exact"/>
        <w:ind w:firstLine="640"/>
        <w:jc w:val="both"/>
        <w:outlineLvl w:val="2"/>
      </w:pPr>
      <w:r>
        <w:rPr>
          <w:rFonts w:ascii="黑体" w:hAnsi="黑体" w:eastAsia="黑体"/>
          <w:sz w:val="32"/>
        </w:rPr>
        <w:t>四、财政拨款收入支出决算总体情况说明</w:t>
      </w:r>
    </w:p>
    <w:p w14:paraId="694C3F62">
      <w:pPr>
        <w:spacing w:line="580" w:lineRule="exact"/>
        <w:ind w:firstLine="640"/>
        <w:jc w:val="both"/>
      </w:pPr>
      <w:r>
        <w:rPr>
          <w:rFonts w:ascii="仿宋_GB2312" w:hAnsi="仿宋_GB2312" w:eastAsia="仿宋_GB2312"/>
          <w:b/>
          <w:sz w:val="32"/>
        </w:rPr>
        <w:t>2024年度财政拨款收入总计1,121.25万元，</w:t>
      </w:r>
      <w:r>
        <w:rPr>
          <w:rFonts w:ascii="仿宋_GB2312" w:hAnsi="仿宋_GB2312" w:eastAsia="仿宋_GB2312"/>
          <w:b w:val="0"/>
          <w:sz w:val="32"/>
        </w:rPr>
        <w:t>其中：年初财政拨款结转和结余0.00万元，本年财政拨款收入1,121.25万元。</w:t>
      </w:r>
      <w:r>
        <w:rPr>
          <w:rFonts w:ascii="仿宋_GB2312" w:hAnsi="仿宋_GB2312" w:eastAsia="仿宋_GB2312"/>
          <w:b/>
          <w:sz w:val="32"/>
        </w:rPr>
        <w:t>财政拨款支出总计1,121.25万元，</w:t>
      </w:r>
      <w:r>
        <w:rPr>
          <w:rFonts w:ascii="仿宋_GB2312" w:hAnsi="仿宋_GB2312" w:eastAsia="仿宋_GB2312"/>
          <w:b w:val="0"/>
          <w:sz w:val="32"/>
        </w:rPr>
        <w:t>其中：年末财政拨款结转和结余0.00万元，本年财政拨款支出1,121.25万元。</w:t>
      </w:r>
    </w:p>
    <w:p w14:paraId="369FC0E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减少2,885.03万元，下降72.01%，主要原因是：本年小白杨干部教育培训基地资金和党校基础设施建设项目资金较上年减少。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年初预算数1,089.76万元，决算数1,121.25万元，预决算差异率2.89%，主要原因是：本年新增人员，年中追加新增人员工资及在职人员工资、社保、公积金基数调增部分资金，导致预决算存在差异。</w:t>
      </w:r>
    </w:p>
    <w:p w14:paraId="6726C9D0">
      <w:pPr>
        <w:spacing w:line="640" w:lineRule="exact"/>
        <w:ind w:firstLine="640"/>
        <w:jc w:val="both"/>
        <w:outlineLvl w:val="2"/>
      </w:pPr>
      <w:r>
        <w:rPr>
          <w:rFonts w:ascii="黑体" w:hAnsi="黑体" w:eastAsia="黑体"/>
          <w:sz w:val="32"/>
        </w:rPr>
        <w:t>五、一般公共预算财政拨款支出决算情况说明</w:t>
      </w:r>
    </w:p>
    <w:p w14:paraId="4048DEBB">
      <w:pPr>
        <w:spacing w:line="640" w:lineRule="exact"/>
        <w:ind w:firstLine="640"/>
        <w:jc w:val="both"/>
        <w:outlineLvl w:val="3"/>
      </w:pPr>
      <w:r>
        <w:rPr>
          <w:rFonts w:ascii="楷体_GB2312" w:hAnsi="楷体_GB2312" w:eastAsia="楷体_GB2312"/>
          <w:b/>
          <w:sz w:val="32"/>
        </w:rPr>
        <w:t>（一）一般公共预算财政拨款支出决算总体情况</w:t>
      </w:r>
    </w:p>
    <w:p w14:paraId="1E4CBFC1">
      <w:pPr>
        <w:spacing w:line="580" w:lineRule="exact"/>
        <w:ind w:firstLine="640"/>
        <w:jc w:val="both"/>
      </w:pPr>
      <w:r>
        <w:rPr>
          <w:rFonts w:ascii="仿宋_GB2312" w:hAnsi="仿宋_GB2312" w:eastAsia="仿宋_GB2312"/>
          <w:b/>
          <w:sz w:val="32"/>
        </w:rPr>
        <w:t>2024年度一般公共预算财政拨款支出1,121.25万元，</w:t>
      </w:r>
      <w:r>
        <w:rPr>
          <w:rFonts w:ascii="仿宋_GB2312" w:hAnsi="仿宋_GB2312" w:eastAsia="仿宋_GB2312"/>
          <w:b w:val="0"/>
          <w:sz w:val="32"/>
        </w:rPr>
        <w:t>占本年支出合计的94.38%。</w:t>
      </w:r>
      <w:r>
        <w:rPr>
          <w:rFonts w:ascii="仿宋_GB2312" w:hAnsi="仿宋_GB2312" w:eastAsia="仿宋_GB2312"/>
          <w:b/>
          <w:sz w:val="32"/>
        </w:rPr>
        <w:t>与上年相比，</w:t>
      </w:r>
      <w:r>
        <w:rPr>
          <w:rFonts w:ascii="仿宋_GB2312" w:hAnsi="仿宋_GB2312" w:eastAsia="仿宋_GB2312"/>
          <w:b w:val="0"/>
          <w:sz w:val="32"/>
        </w:rPr>
        <w:t>减少2,885.03万元，下降72.01%，主要原因是：本年小白杨干部教育培训基地资金和党校基础设施建设项目资金较上年减少。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年初预算数1,089.76万元，决算数1,121.25万元，预决算差异率2.89%，主要原因是：本年新增人员，年中追加新增人员工资及在职人员工资、社保、公积金基数调增部分资金，导致预决算存在差异。</w:t>
      </w:r>
    </w:p>
    <w:p w14:paraId="350D577E">
      <w:pPr>
        <w:spacing w:line="640" w:lineRule="exact"/>
        <w:ind w:firstLine="640"/>
        <w:jc w:val="both"/>
        <w:outlineLvl w:val="3"/>
      </w:pPr>
      <w:r>
        <w:rPr>
          <w:rFonts w:ascii="楷体_GB2312" w:hAnsi="楷体_GB2312" w:eastAsia="楷体_GB2312"/>
          <w:b/>
          <w:sz w:val="32"/>
        </w:rPr>
        <w:t>（二）一般公共预算财政拨款支出决算结构情况</w:t>
      </w:r>
    </w:p>
    <w:p w14:paraId="481A7350">
      <w:pPr>
        <w:spacing w:line="580" w:lineRule="exact"/>
        <w:ind w:firstLine="640"/>
        <w:jc w:val="both"/>
      </w:pPr>
      <w:r>
        <w:rPr>
          <w:rFonts w:ascii="仿宋_GB2312" w:hAnsi="仿宋_GB2312" w:eastAsia="仿宋_GB2312"/>
          <w:b w:val="0"/>
          <w:sz w:val="32"/>
        </w:rPr>
        <w:t>1.教育支出(类)324.30万元,占28.92%。</w:t>
      </w:r>
    </w:p>
    <w:p w14:paraId="5B00CFF1">
      <w:pPr>
        <w:spacing w:line="580" w:lineRule="exact"/>
        <w:ind w:firstLine="640"/>
        <w:jc w:val="both"/>
      </w:pPr>
      <w:r>
        <w:rPr>
          <w:rFonts w:ascii="仿宋_GB2312" w:hAnsi="仿宋_GB2312" w:eastAsia="仿宋_GB2312"/>
          <w:b w:val="0"/>
          <w:sz w:val="32"/>
        </w:rPr>
        <w:t>2.社会保障和就业支出(类)55.82万元,占4.98%。</w:t>
      </w:r>
    </w:p>
    <w:p w14:paraId="16D76923">
      <w:pPr>
        <w:spacing w:line="580" w:lineRule="exact"/>
        <w:ind w:firstLine="640"/>
        <w:jc w:val="both"/>
      </w:pPr>
      <w:r>
        <w:rPr>
          <w:rFonts w:ascii="仿宋_GB2312" w:hAnsi="仿宋_GB2312" w:eastAsia="仿宋_GB2312"/>
          <w:b w:val="0"/>
          <w:sz w:val="32"/>
        </w:rPr>
        <w:t>3.卫生健康支出(类)18.35万元,占1.64%。</w:t>
      </w:r>
    </w:p>
    <w:p w14:paraId="2628F1D7">
      <w:pPr>
        <w:spacing w:line="580" w:lineRule="exact"/>
        <w:ind w:firstLine="640"/>
        <w:jc w:val="both"/>
      </w:pPr>
      <w:r>
        <w:rPr>
          <w:rFonts w:ascii="仿宋_GB2312" w:hAnsi="仿宋_GB2312" w:eastAsia="仿宋_GB2312"/>
          <w:b w:val="0"/>
          <w:sz w:val="32"/>
        </w:rPr>
        <w:t>4.住房保障支出(类)26.94万元,占2.40%。</w:t>
      </w:r>
    </w:p>
    <w:p w14:paraId="4BD7803C">
      <w:pPr>
        <w:spacing w:line="580" w:lineRule="exact"/>
        <w:ind w:firstLine="640"/>
        <w:jc w:val="both"/>
      </w:pPr>
      <w:r>
        <w:rPr>
          <w:rFonts w:ascii="仿宋_GB2312" w:hAnsi="仿宋_GB2312" w:eastAsia="仿宋_GB2312"/>
          <w:b w:val="0"/>
          <w:sz w:val="32"/>
        </w:rPr>
        <w:t>5.其他支出(类)695.84万元,占62.06%。</w:t>
      </w:r>
    </w:p>
    <w:p w14:paraId="60C00B06">
      <w:pPr>
        <w:spacing w:line="640" w:lineRule="exact"/>
        <w:ind w:firstLine="640"/>
        <w:jc w:val="both"/>
        <w:outlineLvl w:val="3"/>
      </w:pPr>
      <w:r>
        <w:rPr>
          <w:rFonts w:ascii="楷体_GB2312" w:hAnsi="楷体_GB2312" w:eastAsia="楷体_GB2312"/>
          <w:b/>
          <w:sz w:val="32"/>
        </w:rPr>
        <w:t>（三）一般公共预算财政拨款支出决算具体情况</w:t>
      </w:r>
    </w:p>
    <w:p w14:paraId="06C86079">
      <w:pPr>
        <w:spacing w:line="580" w:lineRule="exact"/>
        <w:ind w:firstLine="640"/>
        <w:jc w:val="both"/>
      </w:pPr>
      <w:r>
        <w:rPr>
          <w:rFonts w:ascii="仿宋_GB2312" w:hAnsi="仿宋_GB2312" w:eastAsia="仿宋_GB2312"/>
          <w:b w:val="0"/>
          <w:sz w:val="32"/>
        </w:rPr>
        <w:t>1.教育支出(类)进修及培训(款)干部教育(项):支出决算数为324.30万元，比上年决算增加122.41万元，增长60.63%,主要原因是：2024年1月-7月新增8人事业人员，人员工资调增，人员经费增加，干部培训费增加。</w:t>
      </w:r>
    </w:p>
    <w:p w14:paraId="568C9017">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2.社会保障和就业支出(类)行政事业单位养老支出(款)行政单位离退休(项):支出决算数为14.18万元，比上年决算增加3.88万元，增长37.67%,主要原因是：本年增加退休人员，退休人员基础绩效奖，退休费支出增加。</w:t>
      </w:r>
    </w:p>
    <w:p w14:paraId="17A23EEE">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34.19万元，比上年决算增加7.83万元，增长29.70%,主要原因是：本年在职人员增加，人员工资调增，养老保险缴费较上年增加。</w:t>
      </w:r>
    </w:p>
    <w:p w14:paraId="19DBD5F4">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4.社会保障和就业支出(类)行政事业单位养老支出(款)机关事业单位职业年金缴费支出(项):支出决算数为7.45万元，比上年决算增加0.39万元，增长5.52%,主要原因是：本年新增退休人员，职业年金缴费支出增加。</w:t>
      </w:r>
    </w:p>
    <w:p w14:paraId="000EF186">
      <w:pPr>
        <w:spacing w:line="580" w:lineRule="exact"/>
        <w:ind w:firstLine="640"/>
        <w:jc w:val="both"/>
      </w:pPr>
      <w:r>
        <w:rPr>
          <w:rFonts w:ascii="仿宋_GB2312" w:hAnsi="仿宋_GB2312" w:eastAsia="仿宋_GB2312"/>
          <w:b w:val="0"/>
          <w:sz w:val="32"/>
        </w:rPr>
        <w:t>5.卫生健康支出(类)行政事业单位医疗(款)行政单位医疗(项):支出决算数为17.01万元，比上年决算增加5.22万元，增长44.27%,主要原因是：本年在职人员增加，人员工资调增，行政单位医疗支出较上年增加。</w:t>
      </w:r>
    </w:p>
    <w:p w14:paraId="6C6455D1">
      <w:pPr>
        <w:spacing w:line="580" w:lineRule="exact"/>
        <w:ind w:firstLine="640"/>
        <w:jc w:val="both"/>
      </w:pPr>
      <w:r>
        <w:rPr>
          <w:rFonts w:ascii="仿宋_GB2312" w:hAnsi="仿宋_GB2312" w:eastAsia="仿宋_GB2312"/>
          <w:b w:val="0"/>
          <w:sz w:val="32"/>
        </w:rPr>
        <w:t>6.卫生健康支出(类)行政事业单位医疗(款)公务员医疗补助(项):支出决算数为1.34万元，比上年决算减少0.02万元，下降1.47%,主要原因是：本年行政人员调入调出，人员职级不同，缴费基数不同，导致公务员医疗补助较上年减少。</w:t>
      </w:r>
    </w:p>
    <w:p w14:paraId="6CC1DF74">
      <w:pPr>
        <w:spacing w:line="580" w:lineRule="exact"/>
        <w:ind w:firstLine="640"/>
        <w:jc w:val="both"/>
      </w:pPr>
      <w:r>
        <w:rPr>
          <w:rFonts w:ascii="仿宋_GB2312" w:hAnsi="仿宋_GB2312" w:eastAsia="仿宋_GB2312"/>
          <w:b w:val="0"/>
          <w:sz w:val="32"/>
        </w:rPr>
        <w:t>7.住房保障支出(类)住房改革支出(款)住房公积金(项):支出决算数为26.94万元，比上年决算增加6.03万元，增长28.84%,主要原因是：本年在职人员增加，人员工资调增，住房公积金支出较上年增加。</w:t>
      </w:r>
    </w:p>
    <w:p w14:paraId="73F5D355">
      <w:pPr>
        <w:spacing w:line="580" w:lineRule="exact"/>
        <w:ind w:firstLine="640"/>
        <w:jc w:val="both"/>
      </w:pPr>
      <w:r>
        <w:rPr>
          <w:rFonts w:ascii="仿宋_GB2312" w:hAnsi="仿宋_GB2312" w:eastAsia="仿宋_GB2312"/>
          <w:b w:val="0"/>
          <w:sz w:val="32"/>
        </w:rPr>
        <w:t>8.其他支出(类)其他支出(款)其他支出(项):支出决算数为695.84万元，比上年决算减少3,030.78万元，下降81.33%,主要原因是：本年小白杨干部教育培训基地资金和党校基础设施建设项目资金较上年减少。</w:t>
      </w:r>
    </w:p>
    <w:p w14:paraId="0D5D3202">
      <w:pPr>
        <w:spacing w:line="640" w:lineRule="exact"/>
        <w:ind w:firstLine="640"/>
        <w:jc w:val="both"/>
        <w:outlineLvl w:val="2"/>
      </w:pPr>
      <w:r>
        <w:rPr>
          <w:rFonts w:ascii="黑体" w:hAnsi="黑体" w:eastAsia="黑体"/>
          <w:sz w:val="32"/>
        </w:rPr>
        <w:t>六、一般公共预算财政拨款基本支出决算情况说明</w:t>
      </w:r>
    </w:p>
    <w:p w14:paraId="347772D2">
      <w:pPr>
        <w:spacing w:line="580" w:lineRule="exact"/>
        <w:ind w:firstLine="640"/>
        <w:jc w:val="both"/>
      </w:pPr>
      <w:r>
        <w:rPr>
          <w:rFonts w:ascii="仿宋_GB2312" w:hAnsi="仿宋_GB2312" w:eastAsia="仿宋_GB2312"/>
          <w:b w:val="0"/>
          <w:sz w:val="32"/>
        </w:rPr>
        <w:t>2024年度一般公共预算财政拨款基本支出425.40万元，其中：</w:t>
      </w:r>
      <w:r>
        <w:rPr>
          <w:rFonts w:ascii="仿宋_GB2312" w:hAnsi="仿宋_GB2312" w:eastAsia="仿宋_GB2312"/>
          <w:b/>
          <w:sz w:val="32"/>
        </w:rPr>
        <w:t>人员经费347.98万元，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w:t>
      </w:r>
    </w:p>
    <w:p w14:paraId="33CF1287">
      <w:pPr>
        <w:spacing w:line="580" w:lineRule="exact"/>
        <w:ind w:firstLine="640"/>
        <w:jc w:val="both"/>
      </w:pPr>
      <w:r>
        <w:rPr>
          <w:rFonts w:ascii="仿宋_GB2312" w:hAnsi="仿宋_GB2312" w:eastAsia="仿宋_GB2312"/>
          <w:b/>
          <w:sz w:val="32"/>
        </w:rPr>
        <w:t>公用经费77.42万元，</w:t>
      </w:r>
      <w:r>
        <w:rPr>
          <w:rFonts w:ascii="仿宋_GB2312" w:hAnsi="仿宋_GB2312" w:eastAsia="仿宋_GB2312"/>
          <w:b w:val="0"/>
          <w:sz w:val="32"/>
        </w:rPr>
        <w:t>包括：取暖费、工会经费。</w:t>
      </w:r>
    </w:p>
    <w:p w14:paraId="45E6512D">
      <w:pPr>
        <w:spacing w:line="640" w:lineRule="exact"/>
        <w:ind w:firstLine="640"/>
        <w:jc w:val="both"/>
        <w:outlineLvl w:val="2"/>
      </w:pPr>
      <w:r>
        <w:rPr>
          <w:rFonts w:ascii="黑体" w:hAnsi="黑体" w:eastAsia="黑体"/>
          <w:sz w:val="32"/>
        </w:rPr>
        <w:t>七、政府性基金预算财政拨款收入支出决算情况说明</w:t>
      </w:r>
    </w:p>
    <w:p w14:paraId="64D0D7D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D2240F8">
      <w:pPr>
        <w:spacing w:line="640" w:lineRule="exact"/>
        <w:ind w:firstLine="640"/>
        <w:jc w:val="both"/>
        <w:outlineLvl w:val="2"/>
      </w:pPr>
      <w:r>
        <w:rPr>
          <w:rFonts w:ascii="黑体" w:hAnsi="黑体" w:eastAsia="黑体"/>
          <w:sz w:val="32"/>
        </w:rPr>
        <w:t>八、国有资本经营预算财政拨款收入支出决算情况说明</w:t>
      </w:r>
    </w:p>
    <w:p w14:paraId="2A3638F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A678803">
      <w:pPr>
        <w:spacing w:line="640" w:lineRule="exact"/>
        <w:ind w:firstLine="640"/>
        <w:jc w:val="both"/>
        <w:outlineLvl w:val="2"/>
      </w:pPr>
      <w:r>
        <w:rPr>
          <w:rFonts w:ascii="黑体" w:hAnsi="黑体" w:eastAsia="黑体"/>
          <w:sz w:val="32"/>
        </w:rPr>
        <w:t>九、财政拨款“三公”经费支出决算情况说明</w:t>
      </w:r>
    </w:p>
    <w:p w14:paraId="10DFD29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7B9CFE1">
      <w:pPr>
        <w:spacing w:line="580" w:lineRule="exact"/>
        <w:ind w:firstLine="640"/>
        <w:jc w:val="both"/>
      </w:pPr>
      <w:r>
        <w:rPr>
          <w:rFonts w:ascii="仿宋_GB2312" w:hAnsi="仿宋_GB2312" w:eastAsia="仿宋_GB2312"/>
          <w:b/>
          <w:sz w:val="32"/>
        </w:rPr>
        <w:t>具体情况如下：</w:t>
      </w:r>
    </w:p>
    <w:p w14:paraId="7279D24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B46560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w:t>
      </w:r>
      <w:r>
        <w:rPr>
          <w:rFonts w:hint="eastAsia" w:ascii="仿宋_GB2312" w:hAnsi="仿宋_GB2312" w:eastAsia="仿宋_GB2312"/>
          <w:b w:val="0"/>
          <w:sz w:val="32"/>
        </w:rPr>
        <w:t>单位业务用车，车辆费用未使用财政拨款公务用车运行维护费支付，由</w:t>
      </w:r>
      <w:r>
        <w:rPr>
          <w:rFonts w:hint="eastAsia" w:ascii="仿宋_GB2312" w:hAnsi="仿宋_GB2312" w:eastAsia="仿宋_GB2312"/>
          <w:b w:val="0"/>
          <w:sz w:val="32"/>
          <w:lang w:val="en-US" w:eastAsia="zh-CN"/>
        </w:rPr>
        <w:t>事业收入</w:t>
      </w:r>
      <w:r>
        <w:rPr>
          <w:rFonts w:hint="eastAsia" w:ascii="仿宋_GB2312" w:hAnsi="仿宋_GB2312" w:eastAsia="仿宋_GB2312"/>
          <w:b w:val="0"/>
          <w:sz w:val="32"/>
        </w:rPr>
        <w:t>保障</w:t>
      </w:r>
      <w:r>
        <w:rPr>
          <w:rFonts w:ascii="仿宋_GB2312" w:hAnsi="仿宋_GB2312" w:eastAsia="仿宋_GB2312"/>
          <w:b w:val="0"/>
          <w:sz w:val="32"/>
        </w:rPr>
        <w:t>。</w:t>
      </w:r>
    </w:p>
    <w:p w14:paraId="05C4BE4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A6DEA9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EA303F9">
      <w:pPr>
        <w:spacing w:line="640" w:lineRule="exact"/>
        <w:ind w:firstLine="640"/>
        <w:jc w:val="both"/>
        <w:outlineLvl w:val="2"/>
      </w:pPr>
      <w:r>
        <w:rPr>
          <w:rFonts w:ascii="黑体" w:hAnsi="黑体" w:eastAsia="黑体"/>
          <w:sz w:val="32"/>
        </w:rPr>
        <w:t>十、其他重要事项的情况说明</w:t>
      </w:r>
    </w:p>
    <w:p w14:paraId="1214CBB8">
      <w:pPr>
        <w:spacing w:line="640" w:lineRule="exact"/>
        <w:ind w:firstLine="640"/>
        <w:jc w:val="both"/>
        <w:outlineLvl w:val="3"/>
      </w:pPr>
      <w:r>
        <w:rPr>
          <w:rFonts w:ascii="楷体_GB2312" w:hAnsi="楷体_GB2312" w:eastAsia="楷体_GB2312"/>
          <w:b/>
          <w:sz w:val="32"/>
        </w:rPr>
        <w:t>（一）机关运行经费及公用经费支出情况</w:t>
      </w:r>
    </w:p>
    <w:p w14:paraId="4A8CB1BB">
      <w:pPr>
        <w:spacing w:line="580" w:lineRule="exact"/>
        <w:ind w:firstLine="640"/>
        <w:jc w:val="both"/>
      </w:pPr>
      <w:r>
        <w:rPr>
          <w:rFonts w:ascii="仿宋_GB2312" w:hAnsi="仿宋_GB2312" w:eastAsia="仿宋_GB2312"/>
          <w:b w:val="0"/>
          <w:sz w:val="32"/>
        </w:rPr>
        <w:t>2024年度中共裕民县委党校（行政单位和参照公务员法管理事业单位）机关运行经费支出77.42万元，比上年增加75.12万元，增长3,266.09%，主要原因是：</w:t>
      </w:r>
      <w:r>
        <w:rPr>
          <w:rFonts w:hint="eastAsia" w:ascii="仿宋_GB2312" w:hAnsi="仿宋_GB2312" w:eastAsia="仿宋_GB2312"/>
          <w:b w:val="0"/>
          <w:sz w:val="32"/>
          <w:lang w:val="en-US" w:eastAsia="zh-CN"/>
        </w:rPr>
        <w:t>本年增加取暖费，相应机关运行经费增加</w:t>
      </w:r>
      <w:r>
        <w:rPr>
          <w:rFonts w:ascii="仿宋_GB2312" w:hAnsi="仿宋_GB2312" w:eastAsia="仿宋_GB2312"/>
          <w:b w:val="0"/>
          <w:sz w:val="32"/>
        </w:rPr>
        <w:t>。</w:t>
      </w:r>
    </w:p>
    <w:p w14:paraId="0502E4FD">
      <w:pPr>
        <w:spacing w:line="640" w:lineRule="exact"/>
        <w:ind w:firstLine="640"/>
        <w:jc w:val="both"/>
        <w:outlineLvl w:val="3"/>
      </w:pPr>
      <w:r>
        <w:rPr>
          <w:rFonts w:ascii="楷体_GB2312" w:hAnsi="楷体_GB2312" w:eastAsia="楷体_GB2312"/>
          <w:b/>
          <w:sz w:val="32"/>
        </w:rPr>
        <w:t>（二）政府采购情况</w:t>
      </w:r>
    </w:p>
    <w:p w14:paraId="6D4DCA1B">
      <w:pPr>
        <w:spacing w:line="580" w:lineRule="exact"/>
        <w:ind w:firstLine="640"/>
        <w:jc w:val="both"/>
      </w:pPr>
      <w:r>
        <w:rPr>
          <w:rFonts w:ascii="仿宋_GB2312" w:hAnsi="仿宋_GB2312" w:eastAsia="仿宋_GB2312"/>
          <w:b w:val="0"/>
          <w:sz w:val="32"/>
        </w:rPr>
        <w:t>2024年度政府采购支出总额7.59万元，其中：政府采购货物支出0.30万元、政府采购工程支出0.00万元、政府采购服务支出7.29万元。</w:t>
      </w:r>
    </w:p>
    <w:p w14:paraId="55D48BF1">
      <w:pPr>
        <w:spacing w:line="580" w:lineRule="exact"/>
        <w:ind w:firstLine="640"/>
        <w:jc w:val="both"/>
      </w:pPr>
      <w:r>
        <w:rPr>
          <w:rFonts w:ascii="仿宋_GB2312" w:hAnsi="仿宋_GB2312" w:eastAsia="仿宋_GB2312"/>
          <w:b w:val="0"/>
          <w:sz w:val="32"/>
        </w:rPr>
        <w:t>授予中小企业合同金额7.59万元，占政府采购支出总额的100.00%，其中：授予小微企业合同金额7.59万元，占政府采购支出总额的100.00%。</w:t>
      </w:r>
    </w:p>
    <w:p w14:paraId="3A8A9E57">
      <w:pPr>
        <w:spacing w:line="640" w:lineRule="exact"/>
        <w:ind w:firstLine="640"/>
        <w:jc w:val="both"/>
        <w:outlineLvl w:val="3"/>
      </w:pPr>
      <w:r>
        <w:rPr>
          <w:rFonts w:ascii="楷体_GB2312" w:hAnsi="楷体_GB2312" w:eastAsia="楷体_GB2312"/>
          <w:b/>
          <w:sz w:val="32"/>
        </w:rPr>
        <w:t>（三）国有资产占用情况说明</w:t>
      </w:r>
    </w:p>
    <w:p w14:paraId="083C9E8F">
      <w:pPr>
        <w:spacing w:line="580" w:lineRule="exact"/>
        <w:ind w:firstLine="640"/>
        <w:jc w:val="both"/>
      </w:pPr>
      <w:r>
        <w:rPr>
          <w:rFonts w:ascii="仿宋_GB2312" w:hAnsi="仿宋_GB2312" w:eastAsia="仿宋_GB2312"/>
          <w:b w:val="0"/>
          <w:sz w:val="32"/>
        </w:rPr>
        <w:t>截至2024年12月31日，房屋6,454.85平方米，价值1,289.65万元。车辆1辆，价值1.18万元，其中：副部（省）级及以上领导用车0辆、主要负责人用车0辆、机要通信用车0辆、应急保障用车0辆、执法执勤用车0辆、特种专业技术用车0辆、离退休干部服务用车0辆、其他用车1辆，其他用车主要是：一般业务用车。单价100万元（含）以上设备（不含车辆）0台（套）。</w:t>
      </w:r>
    </w:p>
    <w:p w14:paraId="666B3A41">
      <w:pPr>
        <w:spacing w:line="640" w:lineRule="exact"/>
        <w:ind w:firstLine="640"/>
        <w:jc w:val="both"/>
        <w:outlineLvl w:val="2"/>
      </w:pPr>
      <w:r>
        <w:rPr>
          <w:rFonts w:ascii="黑体" w:hAnsi="黑体" w:eastAsia="黑体"/>
          <w:sz w:val="32"/>
        </w:rPr>
        <w:t>十一、预算绩效的情况说明</w:t>
      </w:r>
    </w:p>
    <w:p w14:paraId="07B5DFB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1,188.07万元，实际执行总额1,188.07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14:paraId="55B6434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739937B">
        <w:tblPrEx>
          <w:tblCellMar>
            <w:top w:w="0" w:type="dxa"/>
            <w:left w:w="108" w:type="dxa"/>
            <w:bottom w:w="0" w:type="dxa"/>
            <w:right w:w="108" w:type="dxa"/>
          </w:tblCellMar>
        </w:tblPrEx>
        <w:tc>
          <w:tcPr>
            <w:tcW w:w="8840" w:type="dxa"/>
            <w:gridSpan w:val="8"/>
            <w:vAlign w:val="center"/>
          </w:tcPr>
          <w:p w14:paraId="0B972CA3">
            <w:pPr>
              <w:jc w:val="center"/>
            </w:pPr>
            <w:r>
              <w:rPr>
                <w:rFonts w:ascii="宋体" w:hAnsi="宋体" w:eastAsia="宋体"/>
                <w:sz w:val="24"/>
              </w:rPr>
              <w:t>单位整体支出绩效自评表</w:t>
            </w:r>
          </w:p>
        </w:tc>
      </w:tr>
      <w:tr w14:paraId="741A4F35">
        <w:tblPrEx>
          <w:tblCellMar>
            <w:top w:w="0" w:type="dxa"/>
            <w:left w:w="108" w:type="dxa"/>
            <w:bottom w:w="0" w:type="dxa"/>
            <w:right w:w="108" w:type="dxa"/>
          </w:tblCellMar>
        </w:tblPrEx>
        <w:tc>
          <w:tcPr>
            <w:tcW w:w="8840" w:type="dxa"/>
            <w:gridSpan w:val="8"/>
            <w:vAlign w:val="center"/>
          </w:tcPr>
          <w:p w14:paraId="3252D023">
            <w:pPr>
              <w:jc w:val="center"/>
            </w:pPr>
            <w:r>
              <w:rPr>
                <w:rFonts w:ascii="宋体" w:hAnsi="宋体" w:eastAsia="宋体"/>
                <w:sz w:val="24"/>
              </w:rPr>
              <w:t>（2024年度）</w:t>
            </w:r>
          </w:p>
        </w:tc>
      </w:tr>
      <w:tr w14:paraId="3001E1D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170B6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00C6C4">
            <w:pPr>
              <w:jc w:val="center"/>
            </w:pPr>
            <w:r>
              <w:rPr>
                <w:rFonts w:ascii="宋体" w:hAnsi="宋体" w:eastAsia="宋体"/>
                <w:sz w:val="16"/>
              </w:rPr>
              <w:t>中共裕民县委党校</w:t>
            </w:r>
          </w:p>
        </w:tc>
      </w:tr>
      <w:tr w14:paraId="51B9B28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53CD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FED1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89E43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0BE5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3AFB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C933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BE75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EBED4">
            <w:pPr>
              <w:jc w:val="center"/>
            </w:pPr>
            <w:r>
              <w:rPr>
                <w:rFonts w:ascii="宋体" w:hAnsi="宋体" w:eastAsia="宋体"/>
                <w:sz w:val="16"/>
              </w:rPr>
              <w:t>得分</w:t>
            </w:r>
          </w:p>
        </w:tc>
      </w:tr>
      <w:tr w14:paraId="342EBF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3CDA8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6473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E8FF8">
            <w:pPr>
              <w:jc w:val="center"/>
            </w:pPr>
            <w:r>
              <w:rPr>
                <w:rFonts w:ascii="宋体" w:hAnsi="宋体" w:eastAsia="宋体"/>
                <w:sz w:val="16"/>
              </w:rPr>
              <w:t>1,159.25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F726F">
            <w:pPr>
              <w:jc w:val="center"/>
            </w:pPr>
            <w:r>
              <w:rPr>
                <w:rFonts w:ascii="宋体" w:hAnsi="宋体" w:eastAsia="宋体"/>
                <w:sz w:val="16"/>
              </w:rPr>
              <w:t>1,188.07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0FC59">
            <w:pPr>
              <w:jc w:val="center"/>
            </w:pPr>
            <w:r>
              <w:rPr>
                <w:rFonts w:ascii="宋体" w:hAnsi="宋体" w:eastAsia="宋体"/>
                <w:sz w:val="16"/>
              </w:rPr>
              <w:t>1,188.07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E5B1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BCB9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00932">
            <w:pPr>
              <w:jc w:val="center"/>
              <w:rPr>
                <w:rFonts w:hint="default" w:eastAsia="宋体"/>
                <w:lang w:val="en-US" w:eastAsia="zh-CN"/>
              </w:rPr>
            </w:pPr>
            <w:r>
              <w:rPr>
                <w:rFonts w:hint="eastAsia" w:ascii="宋体" w:hAnsi="宋体"/>
                <w:sz w:val="16"/>
                <w:lang w:val="en-US" w:eastAsia="zh-CN"/>
              </w:rPr>
              <w:t>10</w:t>
            </w:r>
          </w:p>
        </w:tc>
      </w:tr>
      <w:tr w14:paraId="67E21D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7DF5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EDB17">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0E8BF">
            <w:pPr>
              <w:jc w:val="center"/>
            </w:pPr>
            <w:r>
              <w:rPr>
                <w:rFonts w:ascii="宋体" w:hAnsi="宋体" w:eastAsia="宋体"/>
                <w:sz w:val="16"/>
              </w:rPr>
              <w:t>753.38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81619">
            <w:pPr>
              <w:jc w:val="center"/>
            </w:pPr>
            <w:r>
              <w:rPr>
                <w:rFonts w:ascii="宋体" w:hAnsi="宋体" w:eastAsia="宋体"/>
                <w:sz w:val="16"/>
              </w:rPr>
              <w:t>695.84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F2390">
            <w:pPr>
              <w:jc w:val="center"/>
            </w:pPr>
            <w:r>
              <w:rPr>
                <w:rFonts w:ascii="宋体" w:hAnsi="宋体" w:eastAsia="宋体"/>
                <w:sz w:val="16"/>
              </w:rPr>
              <w:t>695.84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5D42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6670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558EED">
            <w:pPr>
              <w:jc w:val="center"/>
            </w:pPr>
            <w:r>
              <w:rPr>
                <w:rFonts w:ascii="宋体" w:hAnsi="宋体" w:eastAsia="宋体"/>
                <w:sz w:val="16"/>
              </w:rPr>
              <w:t>-</w:t>
            </w:r>
          </w:p>
        </w:tc>
      </w:tr>
      <w:tr w14:paraId="2A9F6C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1766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D9510">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16D90">
            <w:pPr>
              <w:jc w:val="center"/>
            </w:pPr>
            <w:r>
              <w:rPr>
                <w:rFonts w:ascii="宋体" w:hAnsi="宋体" w:eastAsia="宋体"/>
                <w:sz w:val="16"/>
              </w:rPr>
              <w:t>336.38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F9641">
            <w:pPr>
              <w:jc w:val="center"/>
            </w:pPr>
            <w:r>
              <w:rPr>
                <w:rFonts w:ascii="宋体" w:hAnsi="宋体" w:eastAsia="宋体"/>
                <w:sz w:val="16"/>
              </w:rPr>
              <w:t>425.41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147A4">
            <w:pPr>
              <w:jc w:val="center"/>
            </w:pPr>
            <w:r>
              <w:rPr>
                <w:rFonts w:ascii="宋体" w:hAnsi="宋体" w:eastAsia="宋体"/>
                <w:sz w:val="16"/>
              </w:rPr>
              <w:t>425.41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DB53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188E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27D56">
            <w:pPr>
              <w:jc w:val="center"/>
            </w:pPr>
            <w:r>
              <w:rPr>
                <w:rFonts w:ascii="宋体" w:hAnsi="宋体" w:eastAsia="宋体"/>
                <w:sz w:val="16"/>
              </w:rPr>
              <w:t>-</w:t>
            </w:r>
          </w:p>
        </w:tc>
      </w:tr>
      <w:tr w14:paraId="1E7709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F47F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B5F3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1B9E6">
            <w:pPr>
              <w:jc w:val="center"/>
            </w:pPr>
            <w:r>
              <w:rPr>
                <w:rFonts w:ascii="宋体" w:hAnsi="宋体" w:eastAsia="宋体"/>
                <w:sz w:val="16"/>
              </w:rPr>
              <w:t>69.49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D2150">
            <w:pPr>
              <w:jc w:val="center"/>
            </w:pPr>
            <w:r>
              <w:rPr>
                <w:rFonts w:ascii="宋体" w:hAnsi="宋体" w:eastAsia="宋体"/>
                <w:sz w:val="16"/>
              </w:rPr>
              <w:t>66.82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074AE">
            <w:pPr>
              <w:jc w:val="center"/>
            </w:pPr>
            <w:r>
              <w:rPr>
                <w:rFonts w:ascii="宋体" w:hAnsi="宋体" w:eastAsia="宋体"/>
                <w:sz w:val="16"/>
              </w:rPr>
              <w:t>66.82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F69B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8675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47368">
            <w:pPr>
              <w:jc w:val="center"/>
            </w:pPr>
            <w:r>
              <w:rPr>
                <w:rFonts w:ascii="宋体" w:hAnsi="宋体" w:eastAsia="宋体"/>
                <w:sz w:val="16"/>
              </w:rPr>
              <w:t>-</w:t>
            </w:r>
          </w:p>
        </w:tc>
      </w:tr>
      <w:tr w14:paraId="50BAFA9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C9F4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C79C1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E29F97">
            <w:pPr>
              <w:jc w:val="center"/>
            </w:pPr>
            <w:r>
              <w:rPr>
                <w:rFonts w:ascii="宋体" w:hAnsi="宋体" w:eastAsia="宋体"/>
                <w:sz w:val="16"/>
              </w:rPr>
              <w:t>实际完成情况</w:t>
            </w:r>
          </w:p>
        </w:tc>
      </w:tr>
      <w:tr w14:paraId="537868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B2462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548470">
            <w:pPr>
              <w:jc w:val="both"/>
            </w:pPr>
            <w:r>
              <w:rPr>
                <w:rFonts w:ascii="宋体" w:hAnsi="宋体" w:eastAsia="宋体"/>
                <w:sz w:val="16"/>
              </w:rPr>
              <w:t>1、根据裕民县委、县政府对党政干部队伍建设的要求，有计划地培训和轮训全县一般干部、大中型企业、高等院校中相应级别的党员干部，后备干部，理论骨干、高级知识分子及公务员初任培训、任职培训的教学组织、教学科研和教学管理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2、学习贯彻习近平新时代中国特色社会主义思想，深入学习贯彻党的二十大精神，完整准确贯彻新时代党的治疆方略。</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1C27E7">
            <w:pPr>
              <w:jc w:val="both"/>
            </w:pPr>
            <w:r>
              <w:rPr>
                <w:rFonts w:ascii="宋体" w:hAnsi="宋体" w:eastAsia="宋体"/>
                <w:sz w:val="16"/>
              </w:rPr>
              <w:t>（一）教学工作。一是强化师德师风与教学建设。结合学科与教学科研实际，落实领导讲课制度，构建“专职＋外聘＋兼职”师资体系，充实骨干教师，计划聘客座教授10人次，邀领导干部上讲台不少于40人次。计划开展集体备课10场次、说课试讲10场次，打造精品课程2节，举办精品课、微党课比赛1场次。二是现场教学再打造。不断实现一人多能，保证每个现场教学点有AB岗。今冬对现场教学课开展大练兵。对现有课程进行再打磨再提升。建立学员评课反馈机制，对所有教学点及教师进行评估。三是发挥职能拓展教育平台。开展“菜单式”精准培训，计划严格按照基本培训的要</w:t>
            </w:r>
            <w:r>
              <w:rPr>
                <w:rFonts w:hint="eastAsia" w:ascii="宋体" w:hAnsi="宋体"/>
                <w:sz w:val="16"/>
                <w:lang w:eastAsia="zh-CN"/>
              </w:rPr>
              <w:t>求举</w:t>
            </w:r>
            <w:r>
              <w:rPr>
                <w:rFonts w:ascii="宋体" w:hAnsi="宋体" w:eastAsia="宋体"/>
                <w:sz w:val="16"/>
              </w:rPr>
              <w:t>办中青年干部培训班等主体班次，培训党员干部不少于1500人次。抓好理论宣讲，持续“送学上门、送教下乡”，全年宣讲不少于30场次，受训人数达到4000人次。四是完善课程体系构建和专题建设。对当前“十大课程体系，十种教学模式，二十四个现场教学点”进行完善优化提升。结合实际调整专题，如增加走进塔城（裕民）、法律、哲学、生态文明等新专题。五是强化学员管理提升质效。强化学员管理，提升主体班培训质效。做好入学教育，填《学员登记表》、发资料、签《安全承诺书》，报到当晚开展入学教育明确要求，引导学员适应党校生活。</w:t>
            </w:r>
            <w:r>
              <w:rPr>
                <w:rFonts w:ascii="宋体" w:hAnsi="宋体" w:eastAsia="宋体"/>
                <w:sz w:val="16"/>
              </w:rPr>
              <w:br w:type="textWrapping"/>
            </w:r>
            <w:r>
              <w:rPr>
                <w:rFonts w:ascii="宋体" w:hAnsi="宋体" w:eastAsia="宋体"/>
                <w:sz w:val="16"/>
              </w:rPr>
              <w:t>（二）科研工作。一是发挥党校学科组优势，利用党校学科组集聚优势组建专题研究小组。计划调研不少于6次，推出研究论文不少于6篇、资政报告不少于4篇，确保成果高质量且贴合裕民县实际。二是加强内外合作交流。采取“资源共享、优势互补、成果共用”机制，构建跨部门、跨系统、校内外协同发展的学术研究新格局。三是持续优化激励机制。加大经费投入，完善科研管理办法，鼓励教师多发高质量科研成果。四是提高科研课题教学转化量。不定期组织教研与科研交流会议，每季度1次，全年不少于4次。鼓励教师结合教学实践选科研选题，将互动、案例等教学方法融入科研成果，提升学员兴趣和参与度。</w:t>
            </w:r>
            <w:r>
              <w:rPr>
                <w:rFonts w:ascii="宋体" w:hAnsi="宋体" w:eastAsia="宋体"/>
                <w:sz w:val="16"/>
              </w:rPr>
              <w:br w:type="textWrapping"/>
            </w:r>
            <w:r>
              <w:rPr>
                <w:rFonts w:ascii="宋体" w:hAnsi="宋体" w:eastAsia="宋体"/>
                <w:sz w:val="16"/>
              </w:rPr>
              <w:t>（三）师资队伍建设。一是强化培训学习。制定教师培训计划，把所有教师选派至中央党校、自治区党校、锦州市委党校学习培训，拓宽教师视野，更新知识结构。二是发挥学科组长作用，继续教学专题更新、开发，每名教师每年至少准备1个新专题，并能通过集体备课评审后</w:t>
            </w:r>
            <w:r>
              <w:rPr>
                <w:rFonts w:hint="eastAsia" w:ascii="宋体" w:hAnsi="宋体"/>
                <w:sz w:val="16"/>
                <w:lang w:eastAsia="zh-CN"/>
              </w:rPr>
              <w:t>进入</w:t>
            </w:r>
            <w:r>
              <w:rPr>
                <w:rFonts w:ascii="宋体" w:hAnsi="宋体" w:eastAsia="宋体"/>
                <w:sz w:val="16"/>
              </w:rPr>
              <w:t>课堂。三是不断提升教学水平。建立基地大师资库，充分利用各级党校、高校、援疆、合作院校资源，建立各类优秀教师资源库。成立精品课打造小组和创新实践小组，在实践中提升老师课程构建能力和授课水平。结合“小白杨精神”课程体系，建立备课机制，精心打造每一个专题，对老师量身定制课程，结合每位老师的专业储备和授课的特点，择优专题。树立教研咨一体理念，利用课题和咨政研究，鼓励教师全员参与完善教师授课思维和授课水平。对优秀年轻教师开展基层挂职锻炼。四是充分调动和发挥教师的积极性和主动性，探索各种教学方法，推进研究式教学、案例式教学。定期举办多种形式的教研活动,力争多出精品课程，提高党校教学质量。</w:t>
            </w:r>
            <w:r>
              <w:rPr>
                <w:rFonts w:ascii="宋体" w:hAnsi="宋体" w:eastAsia="宋体"/>
                <w:sz w:val="16"/>
              </w:rPr>
              <w:br w:type="textWrapping"/>
            </w:r>
            <w:r>
              <w:rPr>
                <w:rFonts w:ascii="宋体" w:hAnsi="宋体" w:eastAsia="宋体"/>
                <w:sz w:val="16"/>
              </w:rPr>
              <w:t>（四）管理服务工作。一是加强办公室综合协调服务。每周组织召开周例会、校委会，一月召开两到三次</w:t>
            </w:r>
            <w:r>
              <w:rPr>
                <w:rFonts w:hint="eastAsia" w:ascii="宋体" w:hAnsi="宋体"/>
                <w:sz w:val="16"/>
                <w:lang w:eastAsia="zh-CN"/>
              </w:rPr>
              <w:t>“三重一大”</w:t>
            </w:r>
            <w:r>
              <w:rPr>
                <w:rFonts w:ascii="宋体" w:hAnsi="宋体" w:eastAsia="宋体"/>
                <w:sz w:val="16"/>
              </w:rPr>
              <w:t>会议，确保各项工作顺利推进。二是不断优化设施功能和环境建设。不断完善基地的硬件功能，如图书馆，戍边人物馆、连廊等；创新美化基地的精神文化功能和人文建设。积极争取购买一辆传祺M6(1.5T),七座，指导价11.98万元。三是着力推进品牌打造。完善规范食宿管理运营机制，建立学员合理诉求及时回复机制，规范保安、保洁、食宿、维修等第三方外包服务机制，不断提升运营成效，切实提升后勤管理服务水平。四是提升公文与信息管理水平。严格规范公文处理流程，提高公文处理效率和质量。加强信息收集与报送。五是优化会务与活动组织。开展全校公务礼仪培训，精心筹备各类会议和活动，提高组织水平和服务质量。六是推进档案与资产管理规范化完善档案管理制度，加强档案收集、整理和保管工作，提高档案利用效率，同时加强资产管理，定期清查盘点，确保资产安全完整。</w:t>
            </w:r>
            <w:r>
              <w:rPr>
                <w:rFonts w:ascii="宋体" w:hAnsi="宋体" w:eastAsia="宋体"/>
                <w:sz w:val="16"/>
              </w:rPr>
              <w:br w:type="textWrapping"/>
            </w:r>
            <w:r>
              <w:rPr>
                <w:rFonts w:ascii="宋体" w:hAnsi="宋体" w:eastAsia="宋体"/>
                <w:sz w:val="16"/>
              </w:rPr>
              <w:t>（五）开放大学工作。一是高度重视招生工作。计划2025年招生100人。二是扩展招生宣传途径。深入机关、乡镇、社区宣传，通过“裕民零距离”抖音号、“小白杨干部教育培训”微信视频号等发布招生信息。</w:t>
            </w:r>
            <w:r>
              <w:rPr>
                <w:rFonts w:ascii="宋体" w:hAnsi="宋体" w:eastAsia="宋体"/>
                <w:sz w:val="16"/>
              </w:rPr>
              <w:br w:type="textWrapping"/>
            </w:r>
            <w:r>
              <w:rPr>
                <w:rFonts w:ascii="宋体" w:hAnsi="宋体" w:eastAsia="宋体"/>
                <w:sz w:val="16"/>
              </w:rPr>
              <w:t>（六）创新开展“党校姓党、先锋领航”系列活动。一是强化理论武装。深入</w:t>
            </w:r>
            <w:r>
              <w:rPr>
                <w:rFonts w:hint="eastAsia" w:ascii="宋体" w:hAnsi="宋体"/>
                <w:sz w:val="16"/>
                <w:lang w:eastAsia="zh-CN"/>
              </w:rPr>
              <w:t>学习领会党的二十大精神</w:t>
            </w:r>
            <w:r>
              <w:rPr>
                <w:rFonts w:ascii="宋体" w:hAnsi="宋体" w:eastAsia="宋体"/>
                <w:sz w:val="16"/>
              </w:rPr>
              <w:t>“</w:t>
            </w:r>
            <w:r>
              <w:rPr>
                <w:rFonts w:hint="eastAsia" w:ascii="宋体" w:hAnsi="宋体"/>
                <w:sz w:val="16"/>
                <w:lang w:eastAsia="zh-CN"/>
              </w:rPr>
              <w:t>党的</w:t>
            </w:r>
            <w:r>
              <w:rPr>
                <w:rFonts w:ascii="宋体" w:hAnsi="宋体" w:eastAsia="宋体"/>
                <w:sz w:val="16"/>
              </w:rPr>
              <w:t>二十届三中全会精神</w:t>
            </w:r>
            <w:r>
              <w:rPr>
                <w:rFonts w:hint="eastAsia" w:ascii="宋体" w:hAnsi="宋体"/>
                <w:sz w:val="16"/>
                <w:lang w:eastAsia="zh-CN"/>
              </w:rPr>
              <w:t>”《</w:t>
            </w:r>
            <w:r>
              <w:rPr>
                <w:rFonts w:ascii="宋体" w:hAnsi="宋体" w:eastAsia="宋体"/>
                <w:sz w:val="16"/>
              </w:rPr>
              <w:t>习近平谈治国理政》，跟进学习</w:t>
            </w:r>
            <w:r>
              <w:rPr>
                <w:rFonts w:hint="eastAsia" w:ascii="宋体" w:hAnsi="宋体"/>
                <w:sz w:val="16"/>
                <w:lang w:eastAsia="zh-CN"/>
              </w:rPr>
              <w:t>习近平总书记最新重要讲话精神</w:t>
            </w:r>
            <w:r>
              <w:rPr>
                <w:rFonts w:ascii="宋体" w:hAnsi="宋体" w:eastAsia="宋体"/>
                <w:sz w:val="16"/>
              </w:rPr>
              <w:t>及新时代党的治疆方略，运用“三学三亮三比”行动载体，落实“6项活动”。二是巩固</w:t>
            </w:r>
            <w:r>
              <w:rPr>
                <w:rFonts w:hint="eastAsia" w:ascii="宋体" w:hAnsi="宋体"/>
                <w:sz w:val="16"/>
                <w:lang w:eastAsia="zh-CN"/>
              </w:rPr>
              <w:t>深化党纪学习教育</w:t>
            </w:r>
            <w:r>
              <w:rPr>
                <w:rFonts w:ascii="宋体" w:hAnsi="宋体" w:eastAsia="宋体"/>
                <w:sz w:val="16"/>
              </w:rPr>
              <w:t>成果，深入学习贯彻习近平新时代中国特色社会主义思想，做到党员干部全覆盖。三是利用裕民县红色资源强化党性教育。四是推行“党旗映天山”主题党日活动。开展“三联三同三送”党日、“三学三亮三比”争当先锋行动、“四微”活动，深化“党建+”系列活动，依托绩效积分制管理办法评选“党校之星”。</w:t>
            </w:r>
            <w:r>
              <w:rPr>
                <w:rFonts w:ascii="宋体" w:hAnsi="宋体" w:eastAsia="宋体"/>
                <w:sz w:val="16"/>
              </w:rPr>
              <w:br w:type="textWrapping"/>
            </w:r>
            <w:r>
              <w:rPr>
                <w:rFonts w:ascii="宋体" w:hAnsi="宋体" w:eastAsia="宋体"/>
                <w:sz w:val="16"/>
              </w:rPr>
              <w:t>（七）对外培训工作。一是强化思想认识。增强责任感、紧迫感和使命感，发扬斗争精神，在提升培训质量和服务标准上发力，推动内涵式发展。二是探索发展思路。成立外培联络协调专班，加大与其他疆内外干部教育培训院校（基地）、高校、各级组织部门（党校）、援疆党校进行沟通联系，专人负责，建立小白杨基地培训联系网络；开展带班班主任、外联部、教务科、办公室人员沟通业务素质训练，为外培工作注入新动力，不断增强营销力。三是加大宣介力度。不断优化宣传册、宣传片、折页等媒介，充分利用微信公众号、视频号等新媒体宣传方式，着力开发文创产品，借助党校学员超市进行运营推广。</w:t>
            </w:r>
          </w:p>
        </w:tc>
      </w:tr>
      <w:tr w14:paraId="77D2CBB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A879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DBA8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C724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84336">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63B4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C21F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35C14">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8D583">
            <w:pPr>
              <w:jc w:val="center"/>
            </w:pPr>
            <w:r>
              <w:rPr>
                <w:rFonts w:ascii="宋体" w:hAnsi="宋体" w:eastAsia="宋体"/>
                <w:sz w:val="16"/>
              </w:rPr>
              <w:t>得分</w:t>
            </w:r>
          </w:p>
        </w:tc>
      </w:tr>
      <w:tr w14:paraId="6B9F4B7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EB31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89AA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37679">
            <w:pPr>
              <w:jc w:val="center"/>
            </w:pPr>
            <w:r>
              <w:rPr>
                <w:rFonts w:ascii="宋体" w:hAnsi="宋体" w:eastAsia="宋体"/>
                <w:sz w:val="16"/>
              </w:rPr>
              <w:t>中青年骨干培训班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41219">
            <w:pPr>
              <w:jc w:val="center"/>
            </w:pPr>
            <w:r>
              <w:rPr>
                <w:rFonts w:ascii="宋体" w:hAnsi="宋体" w:eastAsia="宋体"/>
                <w:sz w:val="16"/>
              </w:rPr>
              <w:t>&gt;=1个班次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9DA6B">
            <w:pPr>
              <w:jc w:val="center"/>
            </w:pPr>
            <w:r>
              <w:rPr>
                <w:rFonts w:ascii="宋体" w:hAnsi="宋体" w:eastAsia="宋体"/>
                <w:sz w:val="16"/>
              </w:rPr>
              <w:t>2024年重点</w:t>
            </w:r>
            <w:r>
              <w:rPr>
                <w:rFonts w:hint="eastAsia" w:ascii="宋体" w:hAnsi="宋体"/>
                <w:sz w:val="16"/>
                <w:lang w:eastAsia="zh-CN"/>
              </w:rPr>
              <w:t>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767F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F48291">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0D378">
            <w:pPr>
              <w:jc w:val="center"/>
            </w:pPr>
            <w:r>
              <w:rPr>
                <w:rFonts w:ascii="宋体" w:hAnsi="宋体" w:eastAsia="宋体"/>
                <w:sz w:val="16"/>
              </w:rPr>
              <w:t>15</w:t>
            </w:r>
          </w:p>
        </w:tc>
      </w:tr>
      <w:tr w14:paraId="383899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C5D56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A1E9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84D5F">
            <w:pPr>
              <w:jc w:val="center"/>
            </w:pPr>
            <w:r>
              <w:rPr>
                <w:rFonts w:ascii="宋体" w:hAnsi="宋体" w:eastAsia="宋体"/>
                <w:sz w:val="16"/>
              </w:rPr>
              <w:t>岗前培训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43E8F7">
            <w:pPr>
              <w:jc w:val="center"/>
            </w:pPr>
            <w:r>
              <w:rPr>
                <w:rFonts w:ascii="宋体" w:hAnsi="宋体" w:eastAsia="宋体"/>
                <w:sz w:val="16"/>
              </w:rPr>
              <w:t>=2个班次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D84EF">
            <w:pPr>
              <w:jc w:val="center"/>
            </w:pPr>
            <w:r>
              <w:rPr>
                <w:rFonts w:ascii="宋体" w:hAnsi="宋体" w:eastAsia="宋体"/>
                <w:sz w:val="16"/>
              </w:rPr>
              <w:t>2024年重点</w:t>
            </w:r>
            <w:r>
              <w:rPr>
                <w:rFonts w:hint="eastAsia" w:ascii="宋体" w:hAnsi="宋体"/>
                <w:sz w:val="16"/>
                <w:lang w:eastAsia="zh-CN"/>
              </w:rPr>
              <w:t>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F738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C651A6">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5D87F">
            <w:pPr>
              <w:jc w:val="center"/>
            </w:pPr>
            <w:r>
              <w:rPr>
                <w:rFonts w:ascii="宋体" w:hAnsi="宋体" w:eastAsia="宋体"/>
                <w:sz w:val="16"/>
              </w:rPr>
              <w:t>15</w:t>
            </w:r>
          </w:p>
        </w:tc>
      </w:tr>
      <w:tr w14:paraId="6B2B2D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F9C15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E8B8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D929B">
            <w:pPr>
              <w:jc w:val="center"/>
            </w:pPr>
            <w:r>
              <w:rPr>
                <w:rFonts w:ascii="宋体" w:hAnsi="宋体" w:eastAsia="宋体"/>
                <w:sz w:val="16"/>
              </w:rPr>
              <w:t>入党积极分子培训班及其他培训班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13A59">
            <w:pPr>
              <w:jc w:val="center"/>
            </w:pPr>
            <w:r>
              <w:rPr>
                <w:rFonts w:ascii="宋体" w:hAnsi="宋体" w:eastAsia="宋体"/>
                <w:sz w:val="16"/>
              </w:rPr>
              <w:t>&gt;=9个班次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3701D">
            <w:pPr>
              <w:jc w:val="center"/>
            </w:pPr>
            <w:r>
              <w:rPr>
                <w:rFonts w:ascii="宋体" w:hAnsi="宋体" w:eastAsia="宋体"/>
                <w:sz w:val="16"/>
              </w:rPr>
              <w:t>2024年重点</w:t>
            </w:r>
            <w:r>
              <w:rPr>
                <w:rFonts w:hint="eastAsia" w:ascii="宋体" w:hAnsi="宋体"/>
                <w:sz w:val="16"/>
                <w:lang w:eastAsia="zh-CN"/>
              </w:rPr>
              <w:t>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BD0B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6F2E6">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736CC1">
            <w:pPr>
              <w:jc w:val="center"/>
            </w:pPr>
            <w:r>
              <w:rPr>
                <w:rFonts w:ascii="宋体" w:hAnsi="宋体" w:eastAsia="宋体"/>
                <w:sz w:val="16"/>
              </w:rPr>
              <w:t>15</w:t>
            </w:r>
          </w:p>
        </w:tc>
      </w:tr>
      <w:tr w14:paraId="5498CC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D0473A">
            <w:bookmarkStart w:id="0" w:name="_GoBack" w:colFirst="4" w:colLast="4"/>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1ACCA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2DD45">
            <w:pPr>
              <w:jc w:val="center"/>
            </w:pPr>
            <w:r>
              <w:rPr>
                <w:rFonts w:ascii="宋体" w:hAnsi="宋体" w:eastAsia="宋体"/>
                <w:sz w:val="16"/>
              </w:rPr>
              <w:t>培训人次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C6818">
            <w:pPr>
              <w:jc w:val="center"/>
            </w:pPr>
            <w:r>
              <w:rPr>
                <w:rFonts w:ascii="宋体" w:hAnsi="宋体" w:eastAsia="宋体"/>
                <w:sz w:val="16"/>
              </w:rPr>
              <w:t>&gt;=1200个班次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1F6D4">
            <w:pPr>
              <w:jc w:val="center"/>
            </w:pPr>
            <w:r>
              <w:rPr>
                <w:rFonts w:ascii="宋体" w:hAnsi="宋体" w:eastAsia="宋体"/>
                <w:sz w:val="16"/>
              </w:rPr>
              <w:t>2024年重点</w:t>
            </w:r>
            <w:r>
              <w:rPr>
                <w:rFonts w:hint="eastAsia" w:ascii="宋体" w:hAnsi="宋体"/>
                <w:sz w:val="16"/>
                <w:lang w:eastAsia="zh-CN"/>
              </w:rPr>
              <w:t>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F8E3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B534C">
            <w:pPr>
              <w:jc w:val="center"/>
            </w:pPr>
            <w:r>
              <w:rPr>
                <w:rFonts w:ascii="宋体" w:hAnsi="宋体" w:eastAsia="宋体"/>
                <w:sz w:val="16"/>
              </w:rPr>
              <w:t>1200人次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0721B">
            <w:pPr>
              <w:jc w:val="center"/>
            </w:pPr>
            <w:r>
              <w:rPr>
                <w:rFonts w:ascii="宋体" w:hAnsi="宋体" w:eastAsia="宋体"/>
                <w:sz w:val="16"/>
              </w:rPr>
              <w:t>15</w:t>
            </w:r>
          </w:p>
        </w:tc>
      </w:tr>
      <w:tr w14:paraId="3B4D4E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310BA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95E5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349F3">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34BF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B3B7E">
            <w:pPr>
              <w:jc w:val="center"/>
            </w:pPr>
            <w:r>
              <w:rPr>
                <w:rFonts w:ascii="宋体" w:hAnsi="宋体" w:eastAsia="宋体"/>
                <w:sz w:val="16"/>
              </w:rPr>
              <w:t>2024年重点</w:t>
            </w:r>
            <w:r>
              <w:rPr>
                <w:rFonts w:hint="eastAsia" w:ascii="宋体" w:hAnsi="宋体"/>
                <w:sz w:val="16"/>
                <w:lang w:eastAsia="zh-CN"/>
              </w:rPr>
              <w:t>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B1DF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1975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A0339">
            <w:pPr>
              <w:jc w:val="center"/>
            </w:pPr>
            <w:r>
              <w:rPr>
                <w:rFonts w:ascii="宋体" w:hAnsi="宋体" w:eastAsia="宋体"/>
                <w:sz w:val="16"/>
              </w:rPr>
              <w:t>15</w:t>
            </w:r>
          </w:p>
        </w:tc>
      </w:tr>
      <w:tr w14:paraId="260260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ABFD6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5A4E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4B2DD">
            <w:pPr>
              <w:jc w:val="center"/>
            </w:pPr>
            <w:r>
              <w:rPr>
                <w:rFonts w:ascii="宋体" w:hAnsi="宋体" w:eastAsia="宋体"/>
                <w:sz w:val="16"/>
              </w:rPr>
              <w:t>培训覆盖率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57BBC">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9FAB2">
            <w:pPr>
              <w:jc w:val="center"/>
            </w:pPr>
            <w:r>
              <w:rPr>
                <w:rFonts w:ascii="宋体" w:hAnsi="宋体" w:eastAsia="宋体"/>
                <w:sz w:val="16"/>
              </w:rPr>
              <w:t>2024年重点</w:t>
            </w:r>
            <w:r>
              <w:rPr>
                <w:rFonts w:hint="eastAsia" w:ascii="宋体" w:hAnsi="宋体"/>
                <w:sz w:val="16"/>
                <w:lang w:eastAsia="zh-CN"/>
              </w:rPr>
              <w:t>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1516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F3688C">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B5CF1">
            <w:pPr>
              <w:jc w:val="center"/>
            </w:pPr>
            <w:r>
              <w:rPr>
                <w:rFonts w:ascii="宋体" w:hAnsi="宋体" w:eastAsia="宋体"/>
                <w:sz w:val="16"/>
              </w:rPr>
              <w:t>15</w:t>
            </w:r>
          </w:p>
        </w:tc>
      </w:tr>
      <w:bookmarkEnd w:id="0"/>
    </w:tbl>
    <w:p w14:paraId="2882C101">
      <w:r>
        <w:br w:type="page"/>
      </w:r>
    </w:p>
    <w:p w14:paraId="562C1820">
      <w:pPr>
        <w:spacing w:line="640" w:lineRule="exact"/>
        <w:ind w:firstLine="640"/>
        <w:jc w:val="both"/>
        <w:outlineLvl w:val="2"/>
      </w:pPr>
      <w:r>
        <w:rPr>
          <w:rFonts w:ascii="黑体" w:hAnsi="黑体" w:eastAsia="黑体"/>
          <w:sz w:val="32"/>
        </w:rPr>
        <w:t>十二、其他需说明的事项</w:t>
      </w:r>
    </w:p>
    <w:p w14:paraId="6511F25F">
      <w:pPr>
        <w:spacing w:line="580" w:lineRule="exact"/>
        <w:ind w:firstLine="640"/>
        <w:jc w:val="both"/>
      </w:pPr>
      <w:r>
        <w:rPr>
          <w:rFonts w:ascii="仿宋_GB2312" w:hAnsi="仿宋_GB2312" w:eastAsia="仿宋_GB2312"/>
          <w:b w:val="0"/>
          <w:sz w:val="32"/>
        </w:rPr>
        <w:t>本单位无其他需说明的事项。</w:t>
      </w:r>
    </w:p>
    <w:p w14:paraId="657BB9A2">
      <w:r>
        <w:br w:type="page"/>
      </w:r>
    </w:p>
    <w:p w14:paraId="336D90D2">
      <w:pPr>
        <w:spacing w:line="240" w:lineRule="auto"/>
        <w:jc w:val="center"/>
        <w:outlineLvl w:val="1"/>
      </w:pPr>
      <w:r>
        <w:rPr>
          <w:rFonts w:ascii="黑体" w:hAnsi="黑体" w:eastAsia="黑体"/>
          <w:sz w:val="32"/>
        </w:rPr>
        <w:t>第三部分 专业名词解释</w:t>
      </w:r>
    </w:p>
    <w:p w14:paraId="136CB9A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7063A7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5AEB44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7C6F98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6046E6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06CEEC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2A7CBE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9FC70C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81717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52943F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1D9CD1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668025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C08227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BC73F3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9F45CC4">
      <w:r>
        <w:br w:type="page"/>
      </w:r>
    </w:p>
    <w:p w14:paraId="2D664528">
      <w:pPr>
        <w:spacing w:line="240" w:lineRule="auto"/>
        <w:jc w:val="center"/>
        <w:outlineLvl w:val="1"/>
      </w:pPr>
      <w:r>
        <w:rPr>
          <w:rFonts w:ascii="黑体" w:hAnsi="黑体" w:eastAsia="黑体"/>
          <w:sz w:val="32"/>
        </w:rPr>
        <w:t>第四部分 部门决算报表（见附表）</w:t>
      </w:r>
    </w:p>
    <w:p w14:paraId="618C21D3">
      <w:pPr>
        <w:spacing w:line="240" w:lineRule="auto"/>
        <w:ind w:firstLine="640"/>
        <w:jc w:val="both"/>
      </w:pPr>
      <w:r>
        <w:rPr>
          <w:rFonts w:ascii="仿宋_GB2312" w:hAnsi="仿宋_GB2312" w:eastAsia="仿宋_GB2312"/>
          <w:b w:val="0"/>
          <w:sz w:val="32"/>
        </w:rPr>
        <w:t>一、《收入支出决算总表》</w:t>
      </w:r>
    </w:p>
    <w:p w14:paraId="3B23F5A1">
      <w:pPr>
        <w:spacing w:line="240" w:lineRule="auto"/>
        <w:ind w:firstLine="640"/>
        <w:jc w:val="both"/>
      </w:pPr>
      <w:r>
        <w:rPr>
          <w:rFonts w:ascii="仿宋_GB2312" w:hAnsi="仿宋_GB2312" w:eastAsia="仿宋_GB2312"/>
          <w:b w:val="0"/>
          <w:sz w:val="32"/>
        </w:rPr>
        <w:t>二、《收入决算表》</w:t>
      </w:r>
    </w:p>
    <w:p w14:paraId="4F4DC1EA">
      <w:pPr>
        <w:spacing w:line="240" w:lineRule="auto"/>
        <w:ind w:firstLine="640"/>
        <w:jc w:val="both"/>
      </w:pPr>
      <w:r>
        <w:rPr>
          <w:rFonts w:ascii="仿宋_GB2312" w:hAnsi="仿宋_GB2312" w:eastAsia="仿宋_GB2312"/>
          <w:b w:val="0"/>
          <w:sz w:val="32"/>
        </w:rPr>
        <w:t>三、《支出决算表》</w:t>
      </w:r>
    </w:p>
    <w:p w14:paraId="334A7B90">
      <w:pPr>
        <w:spacing w:line="240" w:lineRule="auto"/>
        <w:ind w:firstLine="640"/>
        <w:jc w:val="both"/>
      </w:pPr>
      <w:r>
        <w:rPr>
          <w:rFonts w:ascii="仿宋_GB2312" w:hAnsi="仿宋_GB2312" w:eastAsia="仿宋_GB2312"/>
          <w:b w:val="0"/>
          <w:sz w:val="32"/>
        </w:rPr>
        <w:t>四、《财政拨款收入支出决算总表》</w:t>
      </w:r>
    </w:p>
    <w:p w14:paraId="40A318B4">
      <w:pPr>
        <w:spacing w:line="240" w:lineRule="auto"/>
        <w:ind w:firstLine="640"/>
        <w:jc w:val="both"/>
      </w:pPr>
      <w:r>
        <w:rPr>
          <w:rFonts w:ascii="仿宋_GB2312" w:hAnsi="仿宋_GB2312" w:eastAsia="仿宋_GB2312"/>
          <w:b w:val="0"/>
          <w:sz w:val="32"/>
        </w:rPr>
        <w:t>五、《一般公共预算财政拨款支出决算表》</w:t>
      </w:r>
    </w:p>
    <w:p w14:paraId="49914082">
      <w:pPr>
        <w:spacing w:line="240" w:lineRule="auto"/>
        <w:ind w:firstLine="640"/>
        <w:jc w:val="both"/>
      </w:pPr>
      <w:r>
        <w:rPr>
          <w:rFonts w:ascii="仿宋_GB2312" w:hAnsi="仿宋_GB2312" w:eastAsia="仿宋_GB2312"/>
          <w:b w:val="0"/>
          <w:sz w:val="32"/>
        </w:rPr>
        <w:t>六、《一般公共预算财政拨款基本支出决算表》</w:t>
      </w:r>
    </w:p>
    <w:p w14:paraId="523FDC30">
      <w:pPr>
        <w:spacing w:line="240" w:lineRule="auto"/>
        <w:ind w:firstLine="640"/>
        <w:jc w:val="both"/>
      </w:pPr>
      <w:r>
        <w:rPr>
          <w:rFonts w:ascii="仿宋_GB2312" w:hAnsi="仿宋_GB2312" w:eastAsia="仿宋_GB2312"/>
          <w:b w:val="0"/>
          <w:sz w:val="32"/>
        </w:rPr>
        <w:t>七、《政府性基金预算财政拨款收入支出决算表》</w:t>
      </w:r>
    </w:p>
    <w:p w14:paraId="6820F792">
      <w:pPr>
        <w:spacing w:line="240" w:lineRule="auto"/>
        <w:ind w:firstLine="640"/>
        <w:jc w:val="both"/>
      </w:pPr>
      <w:r>
        <w:rPr>
          <w:rFonts w:ascii="仿宋_GB2312" w:hAnsi="仿宋_GB2312" w:eastAsia="仿宋_GB2312"/>
          <w:b w:val="0"/>
          <w:sz w:val="32"/>
        </w:rPr>
        <w:t>八、《国有资本经营预算财政拨款收入支出决算表》</w:t>
      </w:r>
    </w:p>
    <w:p w14:paraId="78419837">
      <w:pPr>
        <w:spacing w:line="240" w:lineRule="auto"/>
        <w:ind w:firstLine="640"/>
        <w:jc w:val="both"/>
      </w:pPr>
      <w:r>
        <w:rPr>
          <w:rFonts w:ascii="仿宋_GB2312" w:hAnsi="仿宋_GB2312" w:eastAsia="仿宋_GB2312"/>
          <w:b w:val="0"/>
          <w:sz w:val="32"/>
        </w:rPr>
        <w:t>九、《财政拨款“三公”经费支出决算表》</w:t>
      </w:r>
    </w:p>
    <w:p w14:paraId="6DAC6FB8">
      <w:pPr>
        <w:spacing w:line="240" w:lineRule="auto"/>
        <w:ind w:firstLine="640"/>
        <w:jc w:val="both"/>
      </w:pPr>
    </w:p>
    <w:p w14:paraId="052316B0">
      <w:pPr>
        <w:spacing w:line="240" w:lineRule="auto"/>
        <w:ind w:firstLine="640"/>
        <w:jc w:val="both"/>
      </w:pPr>
    </w:p>
    <w:p w14:paraId="1DC386C2">
      <w:pPr>
        <w:spacing w:line="240" w:lineRule="auto"/>
        <w:ind w:firstLine="640"/>
        <w:jc w:val="both"/>
      </w:pPr>
    </w:p>
    <w:p w14:paraId="0FC70729">
      <w:pPr>
        <w:spacing w:line="240" w:lineRule="auto"/>
        <w:ind w:firstLine="640"/>
        <w:jc w:val="both"/>
      </w:pPr>
    </w:p>
    <w:p w14:paraId="584C303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PSEMBED7">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95B6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22A1D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C22A1D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9E2BAD"/>
    <w:rsid w:val="021B7195"/>
    <w:rsid w:val="02F73D26"/>
    <w:rsid w:val="034D4FEF"/>
    <w:rsid w:val="043E5B56"/>
    <w:rsid w:val="05753A2F"/>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0E4A39"/>
    <w:rsid w:val="21F317F2"/>
    <w:rsid w:val="2241392C"/>
    <w:rsid w:val="23BC04D2"/>
    <w:rsid w:val="25275618"/>
    <w:rsid w:val="260503A4"/>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B328AE"/>
    <w:rsid w:val="67D111AB"/>
    <w:rsid w:val="68DB0208"/>
    <w:rsid w:val="68DF36D5"/>
    <w:rsid w:val="69846A0E"/>
    <w:rsid w:val="69AD798C"/>
    <w:rsid w:val="6B68175F"/>
    <w:rsid w:val="6B8B5C99"/>
    <w:rsid w:val="6CA7198F"/>
    <w:rsid w:val="6D8919A8"/>
    <w:rsid w:val="6E0F7A08"/>
    <w:rsid w:val="6E801ABC"/>
    <w:rsid w:val="6F333865"/>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4318</Words>
  <Characters>5053</Characters>
  <Lines>0</Lines>
  <Paragraphs>0</Paragraphs>
  <TotalTime>4</TotalTime>
  <ScaleCrop>false</ScaleCrop>
  <LinksUpToDate>false</LinksUpToDate>
  <CharactersWithSpaces>5061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2025-11-07T09:39:11Z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