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71200">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19C81DF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1FEB78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87356C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C7EAF3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24B6A1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裕民县园林服务中心2024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586096E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5E8D82C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2A7E48B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60B3B0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65840AF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26507F4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2E1C80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61B0C77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1B74272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477625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BAE2F7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28B0F47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15D0F06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2055A02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69C235E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A5E198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C47599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63C4EF6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1DB4C1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8B4947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35F2536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743F394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AD6FC9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1C22322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3817D69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76DDF1E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7C11944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4208422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66BDFEA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250994F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0DD62C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7235F5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303B57A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1809C1F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06EB0D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39F56CC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D255200">
      <w:r>
        <w:br w:type="page"/>
      </w:r>
    </w:p>
    <w:p w14:paraId="05323972">
      <w:pPr>
        <w:spacing w:line="640" w:lineRule="exact"/>
        <w:jc w:val="center"/>
        <w:outlineLvl w:val="1"/>
      </w:pPr>
      <w:r>
        <w:rPr>
          <w:rFonts w:ascii="黑体" w:hAnsi="黑体" w:eastAsia="黑体"/>
          <w:sz w:val="32"/>
        </w:rPr>
        <w:t>第一部分 单位概况</w:t>
      </w:r>
    </w:p>
    <w:p w14:paraId="5982099F">
      <w:pPr>
        <w:spacing w:line="640" w:lineRule="exact"/>
        <w:ind w:firstLine="640"/>
        <w:jc w:val="both"/>
        <w:outlineLvl w:val="2"/>
      </w:pPr>
      <w:r>
        <w:rPr>
          <w:rFonts w:ascii="黑体" w:hAnsi="黑体" w:eastAsia="黑体"/>
          <w:sz w:val="32"/>
        </w:rPr>
        <w:t>一、主要职能</w:t>
      </w:r>
    </w:p>
    <w:p w14:paraId="1DF7DE2A">
      <w:pPr>
        <w:spacing w:line="580" w:lineRule="exact"/>
        <w:ind w:firstLine="640"/>
        <w:jc w:val="both"/>
      </w:pPr>
      <w:r>
        <w:rPr>
          <w:rFonts w:ascii="仿宋_GB2312" w:hAnsi="仿宋_GB2312" w:eastAsia="仿宋_GB2312"/>
          <w:sz w:val="32"/>
        </w:rPr>
        <w:t>（1）对全县公共绿地、城区道路、绿化苗木花卉生产用地进行管理。</w:t>
      </w:r>
    </w:p>
    <w:p w14:paraId="1E1F516E">
      <w:pPr>
        <w:spacing w:line="580" w:lineRule="exact"/>
        <w:ind w:firstLine="640"/>
        <w:jc w:val="both"/>
      </w:pPr>
      <w:r>
        <w:rPr>
          <w:rFonts w:ascii="仿宋_GB2312" w:hAnsi="仿宋_GB2312" w:eastAsia="仿宋_GB2312"/>
          <w:sz w:val="32"/>
        </w:rPr>
        <w:t>（2）指导城市园林绿化监察工作，对绿化重点工程进行建设、维护。</w:t>
      </w:r>
    </w:p>
    <w:p w14:paraId="753F2869">
      <w:pPr>
        <w:spacing w:line="580" w:lineRule="exact"/>
        <w:ind w:firstLine="640"/>
        <w:jc w:val="both"/>
      </w:pPr>
      <w:r>
        <w:rPr>
          <w:rFonts w:ascii="仿宋_GB2312" w:hAnsi="仿宋_GB2312" w:eastAsia="仿宋_GB2312"/>
          <w:sz w:val="32"/>
        </w:rPr>
        <w:t>（3）对建成区绿地病虫害防治、植物进行检疫和防治。</w:t>
      </w:r>
    </w:p>
    <w:p w14:paraId="77151C00">
      <w:pPr>
        <w:spacing w:line="640" w:lineRule="exact"/>
        <w:ind w:firstLine="640"/>
        <w:jc w:val="both"/>
        <w:outlineLvl w:val="2"/>
      </w:pPr>
      <w:r>
        <w:rPr>
          <w:rFonts w:ascii="黑体" w:hAnsi="黑体" w:eastAsia="黑体"/>
          <w:sz w:val="32"/>
        </w:rPr>
        <w:t>二、机构设置及人员情况</w:t>
      </w:r>
    </w:p>
    <w:p w14:paraId="6F8D35B6">
      <w:pPr>
        <w:spacing w:line="580" w:lineRule="exact"/>
        <w:ind w:firstLine="640"/>
        <w:jc w:val="both"/>
      </w:pPr>
      <w:r>
        <w:rPr>
          <w:rFonts w:ascii="仿宋_GB2312" w:hAnsi="仿宋_GB2312" w:eastAsia="仿宋_GB2312"/>
          <w:sz w:val="32"/>
        </w:rPr>
        <w:t>裕民县园林服务中心2024年度，实有人数107人，其中：在职人员64人，减少4人；离休人员0人，增加0人；退休人员43人,增加4人。</w:t>
      </w:r>
    </w:p>
    <w:p w14:paraId="7E53DEFC">
      <w:pPr>
        <w:spacing w:line="580" w:lineRule="exact"/>
        <w:ind w:firstLine="640"/>
        <w:jc w:val="both"/>
      </w:pPr>
      <w:r>
        <w:rPr>
          <w:rFonts w:ascii="仿宋_GB2312" w:hAnsi="仿宋_GB2312" w:eastAsia="仿宋_GB2312"/>
          <w:sz w:val="32"/>
        </w:rPr>
        <w:t>裕民县园林服务中心无下属预算单位，下设</w:t>
      </w:r>
      <w:r>
        <w:rPr>
          <w:rFonts w:hint="eastAsia" w:ascii="仿宋_GB2312" w:hAnsi="仿宋_GB2312" w:eastAsia="仿宋_GB2312"/>
          <w:sz w:val="32"/>
          <w:lang w:val="en-US" w:eastAsia="zh-CN"/>
        </w:rPr>
        <w:t>3</w:t>
      </w:r>
      <w:r>
        <w:rPr>
          <w:rFonts w:ascii="仿宋_GB2312" w:hAnsi="仿宋_GB2312" w:eastAsia="仿宋_GB2312"/>
          <w:sz w:val="32"/>
        </w:rPr>
        <w:t>个科室，分别是：</w:t>
      </w:r>
      <w:r>
        <w:rPr>
          <w:rFonts w:hint="eastAsia" w:ascii="仿宋_GB2312" w:hAnsi="仿宋_GB2312" w:eastAsia="仿宋_GB2312"/>
          <w:sz w:val="32"/>
          <w:lang w:val="en-US" w:eastAsia="zh-CN"/>
        </w:rPr>
        <w:t>书记主任办公室、办公室、财务室</w:t>
      </w:r>
      <w:r>
        <w:rPr>
          <w:rFonts w:ascii="仿宋_GB2312" w:hAnsi="仿宋_GB2312" w:eastAsia="仿宋_GB2312"/>
          <w:sz w:val="32"/>
        </w:rPr>
        <w:t>。</w:t>
      </w:r>
    </w:p>
    <w:p w14:paraId="16FD8906">
      <w:r>
        <w:br w:type="page"/>
      </w:r>
    </w:p>
    <w:p w14:paraId="2F74D0CB">
      <w:pPr>
        <w:spacing w:line="240" w:lineRule="auto"/>
        <w:jc w:val="center"/>
        <w:outlineLvl w:val="1"/>
      </w:pPr>
      <w:r>
        <w:rPr>
          <w:rFonts w:ascii="黑体" w:hAnsi="黑体" w:eastAsia="黑体"/>
          <w:sz w:val="32"/>
        </w:rPr>
        <w:t>第二部分 部门决算情况说明</w:t>
      </w:r>
    </w:p>
    <w:p w14:paraId="4F2133D9">
      <w:pPr>
        <w:spacing w:line="640" w:lineRule="exact"/>
        <w:ind w:firstLine="640"/>
        <w:jc w:val="both"/>
        <w:outlineLvl w:val="2"/>
      </w:pPr>
      <w:r>
        <w:rPr>
          <w:rFonts w:ascii="黑体" w:hAnsi="黑体" w:eastAsia="黑体"/>
          <w:sz w:val="32"/>
        </w:rPr>
        <w:t>一、收入支出决算总体情况说明</w:t>
      </w:r>
    </w:p>
    <w:p w14:paraId="1A75079F">
      <w:pPr>
        <w:spacing w:line="580" w:lineRule="exact"/>
        <w:ind w:firstLine="640"/>
        <w:jc w:val="both"/>
      </w:pPr>
      <w:r>
        <w:rPr>
          <w:rFonts w:ascii="仿宋_GB2312" w:hAnsi="仿宋_GB2312" w:eastAsia="仿宋_GB2312"/>
          <w:b/>
          <w:sz w:val="32"/>
        </w:rPr>
        <w:t>2024年度收入总计1,701.74万元，</w:t>
      </w:r>
      <w:r>
        <w:rPr>
          <w:rFonts w:ascii="仿宋_GB2312" w:hAnsi="仿宋_GB2312" w:eastAsia="仿宋_GB2312"/>
          <w:b w:val="0"/>
          <w:sz w:val="32"/>
        </w:rPr>
        <w:t>其中：本年收入合计1,701.74万元，使用非财政拨款结余（含专用结余）0.00万元，年初结转和结余0.01万元。</w:t>
      </w:r>
    </w:p>
    <w:p w14:paraId="489C2752">
      <w:pPr>
        <w:spacing w:line="580" w:lineRule="exact"/>
        <w:ind w:firstLine="640"/>
        <w:jc w:val="both"/>
      </w:pPr>
      <w:r>
        <w:rPr>
          <w:rFonts w:ascii="仿宋_GB2312" w:hAnsi="仿宋_GB2312" w:eastAsia="仿宋_GB2312"/>
          <w:b/>
          <w:sz w:val="32"/>
        </w:rPr>
        <w:t>2024年度支出总计1,701.74万元，</w:t>
      </w:r>
      <w:r>
        <w:rPr>
          <w:rFonts w:ascii="仿宋_GB2312" w:hAnsi="仿宋_GB2312" w:eastAsia="仿宋_GB2312"/>
          <w:b w:val="0"/>
          <w:sz w:val="32"/>
        </w:rPr>
        <w:t>其中：本年支出合计1,701.73万元，结余分配0.00万元，年末结转和结余0.02万元。</w:t>
      </w:r>
    </w:p>
    <w:p w14:paraId="73726098">
      <w:pPr>
        <w:spacing w:line="580" w:lineRule="exact"/>
        <w:ind w:firstLine="640"/>
        <w:jc w:val="both"/>
      </w:pPr>
      <w:r>
        <w:rPr>
          <w:rFonts w:ascii="仿宋_GB2312" w:hAnsi="仿宋_GB2312" w:eastAsia="仿宋_GB2312"/>
          <w:b w:val="0"/>
          <w:sz w:val="32"/>
        </w:rPr>
        <w:t>收入支出总体与上年相比，增加345.77万元，增长25.50%，主要原因是：本年度绿化业务经费增加，本年在职人员工资调增，社保、公积金基数调增，人员经费增加。</w:t>
      </w:r>
    </w:p>
    <w:p w14:paraId="5FBFE693">
      <w:pPr>
        <w:spacing w:line="640" w:lineRule="exact"/>
        <w:ind w:firstLine="640"/>
        <w:jc w:val="both"/>
        <w:outlineLvl w:val="2"/>
      </w:pPr>
      <w:r>
        <w:rPr>
          <w:rFonts w:ascii="黑体" w:hAnsi="黑体" w:eastAsia="黑体"/>
          <w:sz w:val="32"/>
        </w:rPr>
        <w:t>二、收入决算情况说明</w:t>
      </w:r>
    </w:p>
    <w:p w14:paraId="2B36B4D5">
      <w:pPr>
        <w:spacing w:line="580" w:lineRule="exact"/>
        <w:ind w:firstLine="640"/>
        <w:jc w:val="both"/>
        <w:rPr>
          <w:w w:val="95"/>
          <w:sz w:val="32"/>
        </w:rPr>
      </w:pPr>
      <w:r>
        <w:rPr>
          <w:rFonts w:ascii="仿宋_GB2312" w:hAnsi="仿宋_GB2312" w:eastAsia="仿宋_GB2312"/>
          <w:b/>
          <w:w w:val="95"/>
          <w:sz w:val="32"/>
        </w:rPr>
        <w:t>本年收入1,701.74万元，</w:t>
      </w:r>
      <w:r>
        <w:rPr>
          <w:rFonts w:ascii="仿宋_GB2312" w:hAnsi="仿宋_GB2312" w:eastAsia="仿宋_GB2312"/>
          <w:b w:val="0"/>
          <w:w w:val="95"/>
          <w:sz w:val="32"/>
        </w:rPr>
        <w:t>其中：财政拨款收入1,701.67万元，占100.00%；上级补助收入0.00万元，占0.00%；事业收入0.00万元，占0.00%；经营收入0.00万元，占0.00%；附属单位上缴收入0.00万元，占0.00%；其他收入0.06万元，占0.004%。</w:t>
      </w:r>
    </w:p>
    <w:p w14:paraId="5FBA45D2">
      <w:pPr>
        <w:spacing w:line="640" w:lineRule="exact"/>
        <w:ind w:firstLine="640"/>
        <w:jc w:val="both"/>
        <w:outlineLvl w:val="2"/>
      </w:pPr>
      <w:r>
        <w:rPr>
          <w:rFonts w:ascii="黑体" w:hAnsi="黑体" w:eastAsia="黑体"/>
          <w:sz w:val="32"/>
        </w:rPr>
        <w:t>三、支出决算情况说明</w:t>
      </w:r>
    </w:p>
    <w:p w14:paraId="3F032F7A">
      <w:pPr>
        <w:spacing w:line="580" w:lineRule="exact"/>
        <w:ind w:firstLine="640"/>
        <w:jc w:val="both"/>
      </w:pPr>
      <w:r>
        <w:rPr>
          <w:rFonts w:ascii="仿宋_GB2312" w:hAnsi="仿宋_GB2312" w:eastAsia="仿宋_GB2312"/>
          <w:b/>
          <w:sz w:val="32"/>
        </w:rPr>
        <w:t>本年支出1,701.73万元，</w:t>
      </w:r>
      <w:r>
        <w:rPr>
          <w:rFonts w:ascii="仿宋_GB2312" w:hAnsi="仿宋_GB2312" w:eastAsia="仿宋_GB2312"/>
          <w:b w:val="0"/>
          <w:sz w:val="32"/>
        </w:rPr>
        <w:t>其中：基本支出1,701.73万元，占100.00%；项目支出0.00万元，占0.00%；上缴上级支出0.00万元，占0.00%；经营支出0.00万元，占0.00%；对附属单位补助支出0.00万元，占0.00%。</w:t>
      </w:r>
    </w:p>
    <w:p w14:paraId="636963C2">
      <w:pPr>
        <w:spacing w:line="640" w:lineRule="exact"/>
        <w:ind w:firstLine="640"/>
        <w:jc w:val="both"/>
        <w:outlineLvl w:val="2"/>
      </w:pPr>
      <w:r>
        <w:rPr>
          <w:rFonts w:ascii="黑体" w:hAnsi="黑体" w:eastAsia="黑体"/>
          <w:sz w:val="32"/>
        </w:rPr>
        <w:t>四、财政拨款收入支出决算总体情况说明</w:t>
      </w:r>
    </w:p>
    <w:p w14:paraId="5ED8E577">
      <w:pPr>
        <w:spacing w:line="580" w:lineRule="exact"/>
        <w:ind w:firstLine="640"/>
        <w:jc w:val="both"/>
      </w:pPr>
      <w:r>
        <w:rPr>
          <w:rFonts w:ascii="仿宋_GB2312" w:hAnsi="仿宋_GB2312" w:eastAsia="仿宋_GB2312"/>
          <w:b/>
          <w:sz w:val="32"/>
        </w:rPr>
        <w:t>2024年度财政拨款收入总计1,701.67万元，</w:t>
      </w:r>
      <w:r>
        <w:rPr>
          <w:rFonts w:ascii="仿宋_GB2312" w:hAnsi="仿宋_GB2312" w:eastAsia="仿宋_GB2312"/>
          <w:b w:val="0"/>
          <w:sz w:val="32"/>
        </w:rPr>
        <w:t>其中：年初财政拨款结转和结余0.00万元，本年财政拨款收入1,701.67万元。</w:t>
      </w:r>
      <w:r>
        <w:rPr>
          <w:rFonts w:ascii="仿宋_GB2312" w:hAnsi="仿宋_GB2312" w:eastAsia="仿宋_GB2312"/>
          <w:b/>
          <w:sz w:val="32"/>
        </w:rPr>
        <w:t>财政拨款支出总计1,701.67万元，</w:t>
      </w:r>
      <w:r>
        <w:rPr>
          <w:rFonts w:ascii="仿宋_GB2312" w:hAnsi="仿宋_GB2312" w:eastAsia="仿宋_GB2312"/>
          <w:b w:val="0"/>
          <w:sz w:val="32"/>
        </w:rPr>
        <w:t>其中：年末财政拨款结转和结余0.00万元，本年财政拨款支出1,701.67万元。</w:t>
      </w:r>
    </w:p>
    <w:p w14:paraId="4E810C2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增加345.70万元，增长25.49%，主要原因是：本年度绿化业务经费增加，本年在职人员工资调增，社保、公积金基数调增，人员经费增加。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年初预算数1,730.69万元，决算数1,701.67万元，预决算差异率-1.68%，主要原因是：本年在职人员减少，年中调减人员经费，导致预决算存在差异。</w:t>
      </w:r>
    </w:p>
    <w:p w14:paraId="491C95F3">
      <w:pPr>
        <w:spacing w:line="640" w:lineRule="exact"/>
        <w:ind w:firstLine="640"/>
        <w:jc w:val="both"/>
        <w:outlineLvl w:val="2"/>
      </w:pPr>
      <w:r>
        <w:rPr>
          <w:rFonts w:ascii="黑体" w:hAnsi="黑体" w:eastAsia="黑体"/>
          <w:sz w:val="32"/>
        </w:rPr>
        <w:t>五、一般公共预算财政拨款支出决算情况说明</w:t>
      </w:r>
    </w:p>
    <w:p w14:paraId="08C68BA8">
      <w:pPr>
        <w:spacing w:line="640" w:lineRule="exact"/>
        <w:ind w:firstLine="640"/>
        <w:jc w:val="both"/>
        <w:outlineLvl w:val="3"/>
      </w:pPr>
      <w:r>
        <w:rPr>
          <w:rFonts w:ascii="楷体_GB2312" w:hAnsi="楷体_GB2312" w:eastAsia="楷体_GB2312"/>
          <w:b/>
          <w:sz w:val="32"/>
        </w:rPr>
        <w:t>（一）一般公共预算财政拨款支出决算总体情况</w:t>
      </w:r>
    </w:p>
    <w:p w14:paraId="435FCC4C">
      <w:pPr>
        <w:spacing w:line="580" w:lineRule="exact"/>
        <w:ind w:firstLine="640"/>
        <w:jc w:val="both"/>
      </w:pPr>
      <w:r>
        <w:rPr>
          <w:rFonts w:ascii="仿宋_GB2312" w:hAnsi="仿宋_GB2312" w:eastAsia="仿宋_GB2312"/>
          <w:b/>
          <w:sz w:val="32"/>
        </w:rPr>
        <w:t>2024年度一般公共预算财政拨款支出1,701.67万元，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增加345.70万元，增长25.49%，主要原因是：本年度绿化业务经费增加，本年在职人员工资调增，社保、公积金基数调增，人员经费增加。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年初预算数1,730.69万元，决算数1,701.67万元，预决算差异率-1.68%，主要原因是：本年在职人员减少，年中调减人员经费，导致预决算存在差异。</w:t>
      </w:r>
    </w:p>
    <w:p w14:paraId="6A6AD729">
      <w:pPr>
        <w:spacing w:line="640" w:lineRule="exact"/>
        <w:ind w:firstLine="640"/>
        <w:jc w:val="both"/>
        <w:outlineLvl w:val="3"/>
      </w:pPr>
      <w:r>
        <w:rPr>
          <w:rFonts w:ascii="楷体_GB2312" w:hAnsi="楷体_GB2312" w:eastAsia="楷体_GB2312"/>
          <w:b/>
          <w:sz w:val="32"/>
        </w:rPr>
        <w:t>（二）一般公共预算财政拨款支出决算结构情况</w:t>
      </w:r>
    </w:p>
    <w:p w14:paraId="369546A2">
      <w:pPr>
        <w:spacing w:line="580" w:lineRule="exact"/>
        <w:ind w:firstLine="640"/>
        <w:jc w:val="both"/>
      </w:pPr>
      <w:r>
        <w:rPr>
          <w:rFonts w:ascii="仿宋_GB2312" w:hAnsi="仿宋_GB2312" w:eastAsia="仿宋_GB2312"/>
          <w:b w:val="0"/>
          <w:sz w:val="32"/>
        </w:rPr>
        <w:t>1.社会保障和就业支出(类)162.20万元,占9.53%。</w:t>
      </w:r>
    </w:p>
    <w:p w14:paraId="19072897">
      <w:pPr>
        <w:spacing w:line="580" w:lineRule="exact"/>
        <w:ind w:firstLine="640"/>
        <w:jc w:val="both"/>
      </w:pPr>
      <w:r>
        <w:rPr>
          <w:rFonts w:ascii="仿宋_GB2312" w:hAnsi="仿宋_GB2312" w:eastAsia="仿宋_GB2312"/>
          <w:b w:val="0"/>
          <w:sz w:val="32"/>
        </w:rPr>
        <w:t>2.卫生健康支出(类)44.08万元,占2.59%。</w:t>
      </w:r>
    </w:p>
    <w:p w14:paraId="7B145584">
      <w:pPr>
        <w:spacing w:line="580" w:lineRule="exact"/>
        <w:ind w:firstLine="640"/>
        <w:jc w:val="both"/>
      </w:pPr>
      <w:r>
        <w:rPr>
          <w:rFonts w:ascii="仿宋_GB2312" w:hAnsi="仿宋_GB2312" w:eastAsia="仿宋_GB2312"/>
          <w:b w:val="0"/>
          <w:sz w:val="32"/>
        </w:rPr>
        <w:t>3.城乡社区支出(类)1,412.18万元,占82.99%。</w:t>
      </w:r>
    </w:p>
    <w:p w14:paraId="3F9835F0">
      <w:pPr>
        <w:spacing w:line="580" w:lineRule="exact"/>
        <w:ind w:firstLine="640"/>
        <w:jc w:val="both"/>
      </w:pPr>
      <w:r>
        <w:rPr>
          <w:rFonts w:ascii="仿宋_GB2312" w:hAnsi="仿宋_GB2312" w:eastAsia="仿宋_GB2312"/>
          <w:b w:val="0"/>
          <w:sz w:val="32"/>
        </w:rPr>
        <w:t>4.住房保障支出(类)83.22万元,占4.89%。</w:t>
      </w:r>
    </w:p>
    <w:p w14:paraId="54795B29">
      <w:pPr>
        <w:spacing w:line="640" w:lineRule="exact"/>
        <w:ind w:firstLine="640"/>
        <w:jc w:val="both"/>
        <w:outlineLvl w:val="3"/>
      </w:pPr>
      <w:r>
        <w:rPr>
          <w:rFonts w:ascii="楷体_GB2312" w:hAnsi="楷体_GB2312" w:eastAsia="楷体_GB2312"/>
          <w:b/>
          <w:sz w:val="32"/>
        </w:rPr>
        <w:t>（三）一般公共预算财政拨款支出决算具体情况</w:t>
      </w:r>
    </w:p>
    <w:p w14:paraId="2BBC139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1.社会保障和就业支出(类)行政事业单位养老支出(款)事业单位离退休(项):支出决算数为28.61万元，比上年决算增加8.20万元，增长40.18%,主要原因是：本年退休人员增加，退休费支出增加。</w:t>
      </w:r>
    </w:p>
    <w:p w14:paraId="5022F25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103.27万元，比上年决算增加9.85万元，增长10.54%,主要原因是：本年在职人员工资基数调增，养老缴费基数上涨，相应支出增加。</w:t>
      </w:r>
    </w:p>
    <w:p w14:paraId="63CDE98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3.社会保障和就业支出(类)行政事业单位养老支出(款)机关事业单位职业年金缴费支出(项):支出决算数为30.32万元，比上年决算增加30.32万元，增长100.00%,主要原因是：本年新增退休人员，职业年金缴费支出增加。</w:t>
      </w:r>
    </w:p>
    <w:p w14:paraId="20CCE7B0">
      <w:pPr>
        <w:spacing w:line="580" w:lineRule="exact"/>
        <w:ind w:firstLine="640"/>
        <w:jc w:val="both"/>
      </w:pPr>
      <w:r>
        <w:rPr>
          <w:rFonts w:ascii="仿宋_GB2312" w:hAnsi="仿宋_GB2312" w:eastAsia="仿宋_GB2312"/>
          <w:b w:val="0"/>
          <w:sz w:val="32"/>
        </w:rPr>
        <w:t>4.卫生健康支出(类)行政事业单位医疗(款)事业单位医疗(项):支出决算数为44.08万元，比上年决算增加2.39万元，增长5.73%,主要原因是：本年在职人员工资基数调增，医疗缴费基数上涨，相应支出增加。</w:t>
      </w:r>
    </w:p>
    <w:p w14:paraId="4124AB6B">
      <w:pPr>
        <w:spacing w:line="580" w:lineRule="exact"/>
        <w:ind w:firstLine="640"/>
        <w:jc w:val="both"/>
      </w:pPr>
      <w:r>
        <w:rPr>
          <w:rFonts w:ascii="仿宋_GB2312" w:hAnsi="仿宋_GB2312" w:eastAsia="仿宋_GB2312"/>
          <w:b w:val="0"/>
          <w:sz w:val="32"/>
        </w:rPr>
        <w:t>5.城乡社区支出(类)城乡社区环境卫生(款)城乡社区环境卫生(项):支出决算数为1,412.18万元，比上年决算增加285.96万元，增长25.39%,主要原因是：本年度绿化业务经费增加，本年在职人员工资调增，人员经费增加。</w:t>
      </w:r>
    </w:p>
    <w:p w14:paraId="30323D7E">
      <w:pPr>
        <w:spacing w:line="580" w:lineRule="exact"/>
        <w:ind w:firstLine="640"/>
        <w:jc w:val="both"/>
      </w:pPr>
      <w:r>
        <w:rPr>
          <w:rFonts w:ascii="仿宋_GB2312" w:hAnsi="仿宋_GB2312" w:eastAsia="仿宋_GB2312"/>
          <w:b w:val="0"/>
          <w:sz w:val="32"/>
        </w:rPr>
        <w:t>6.住房保障支出(类)住房改革支出(款)住房公积金(项):支出决算数为83.22万元，比上年决算增加8.99万元，增长12.11%,主要原因是：本年在职人员工资基数调增，公积金缴费基数上涨，相应支出增加。</w:t>
      </w:r>
    </w:p>
    <w:p w14:paraId="0851C3C3">
      <w:pPr>
        <w:spacing w:line="640" w:lineRule="exact"/>
        <w:ind w:firstLine="640"/>
        <w:jc w:val="both"/>
        <w:outlineLvl w:val="2"/>
      </w:pPr>
      <w:r>
        <w:rPr>
          <w:rFonts w:ascii="黑体" w:hAnsi="黑体" w:eastAsia="黑体"/>
          <w:sz w:val="32"/>
        </w:rPr>
        <w:t>六、一般公共预算财政拨款基本支出决算情况说明</w:t>
      </w:r>
    </w:p>
    <w:p w14:paraId="7FB6AB60">
      <w:pPr>
        <w:spacing w:line="580" w:lineRule="exact"/>
        <w:ind w:firstLine="640"/>
        <w:jc w:val="both"/>
      </w:pPr>
      <w:r>
        <w:rPr>
          <w:rFonts w:ascii="仿宋_GB2312" w:hAnsi="仿宋_GB2312" w:eastAsia="仿宋_GB2312"/>
          <w:b w:val="0"/>
          <w:sz w:val="32"/>
        </w:rPr>
        <w:t>2024年度一般公共预算财政拨款基本支出1,701.67万元，其中：</w:t>
      </w:r>
      <w:r>
        <w:rPr>
          <w:rFonts w:ascii="仿宋_GB2312" w:hAnsi="仿宋_GB2312" w:eastAsia="仿宋_GB2312"/>
          <w:b/>
          <w:sz w:val="32"/>
        </w:rPr>
        <w:t>人员经费1,034.63万元，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47DF9317">
      <w:pPr>
        <w:spacing w:line="580" w:lineRule="exact"/>
        <w:ind w:firstLine="640"/>
        <w:jc w:val="both"/>
      </w:pPr>
      <w:r>
        <w:rPr>
          <w:rFonts w:ascii="仿宋_GB2312" w:hAnsi="仿宋_GB2312" w:eastAsia="仿宋_GB2312"/>
          <w:b/>
          <w:sz w:val="32"/>
        </w:rPr>
        <w:t>公用经费667.04万元，</w:t>
      </w:r>
      <w:r>
        <w:rPr>
          <w:rFonts w:ascii="仿宋_GB2312" w:hAnsi="仿宋_GB2312" w:eastAsia="仿宋_GB2312"/>
          <w:b w:val="0"/>
          <w:sz w:val="32"/>
        </w:rPr>
        <w:t>包括：办公费、水费、电费、邮电费、取暖费、差旅费、劳务费、委托业务费、工会经费、其他商品和服务支出。</w:t>
      </w:r>
    </w:p>
    <w:p w14:paraId="5D76F9D6">
      <w:pPr>
        <w:spacing w:line="640" w:lineRule="exact"/>
        <w:ind w:firstLine="640"/>
        <w:jc w:val="both"/>
        <w:outlineLvl w:val="2"/>
      </w:pPr>
      <w:r>
        <w:rPr>
          <w:rFonts w:ascii="黑体" w:hAnsi="黑体" w:eastAsia="黑体"/>
          <w:sz w:val="32"/>
        </w:rPr>
        <w:t>七、政府性基金预算财政拨款收入支出决算情况说明</w:t>
      </w:r>
    </w:p>
    <w:p w14:paraId="46F2FBF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4AC965C">
      <w:pPr>
        <w:spacing w:line="640" w:lineRule="exact"/>
        <w:ind w:firstLine="640"/>
        <w:jc w:val="both"/>
        <w:outlineLvl w:val="2"/>
      </w:pPr>
      <w:r>
        <w:rPr>
          <w:rFonts w:ascii="黑体" w:hAnsi="黑体" w:eastAsia="黑体"/>
          <w:sz w:val="32"/>
        </w:rPr>
        <w:t>八、国有资本经营预算财政拨款收入支出决算情况说明</w:t>
      </w:r>
    </w:p>
    <w:p w14:paraId="293198A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8EAC66">
      <w:pPr>
        <w:spacing w:line="640" w:lineRule="exact"/>
        <w:ind w:firstLine="640"/>
        <w:jc w:val="both"/>
        <w:outlineLvl w:val="2"/>
      </w:pPr>
      <w:r>
        <w:rPr>
          <w:rFonts w:ascii="黑体" w:hAnsi="黑体" w:eastAsia="黑体"/>
          <w:sz w:val="32"/>
        </w:rPr>
        <w:t>九、财政拨款“三公”经费支出决算情况说明</w:t>
      </w:r>
    </w:p>
    <w:p w14:paraId="314909C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4562DA5">
      <w:pPr>
        <w:spacing w:line="580" w:lineRule="exact"/>
        <w:ind w:firstLine="640"/>
        <w:jc w:val="both"/>
      </w:pPr>
      <w:r>
        <w:rPr>
          <w:rFonts w:ascii="仿宋_GB2312" w:hAnsi="仿宋_GB2312" w:eastAsia="仿宋_GB2312"/>
          <w:b/>
          <w:sz w:val="32"/>
        </w:rPr>
        <w:t>具体情况如下：</w:t>
      </w:r>
    </w:p>
    <w:p w14:paraId="71246AC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E97654B">
      <w:pPr>
        <w:spacing w:line="580" w:lineRule="exact"/>
        <w:ind w:firstLine="640"/>
        <w:jc w:val="both"/>
        <w:rPr>
          <w:w w:val="95"/>
          <w:sz w:val="32"/>
        </w:rPr>
      </w:pPr>
      <w:r>
        <w:rPr>
          <w:rFonts w:ascii="仿宋_GB2312" w:hAnsi="仿宋_GB2312" w:eastAsia="仿宋_GB2312"/>
          <w:b w:val="0"/>
          <w:w w:val="95"/>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92B08D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A3A874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3603A4C">
      <w:pPr>
        <w:spacing w:line="640" w:lineRule="exact"/>
        <w:ind w:firstLine="640"/>
        <w:jc w:val="both"/>
        <w:outlineLvl w:val="2"/>
      </w:pPr>
      <w:r>
        <w:rPr>
          <w:rFonts w:ascii="黑体" w:hAnsi="黑体" w:eastAsia="黑体"/>
          <w:sz w:val="32"/>
        </w:rPr>
        <w:t>十、其他重要事项的情况说明</w:t>
      </w:r>
    </w:p>
    <w:p w14:paraId="416BCA68">
      <w:pPr>
        <w:spacing w:line="640" w:lineRule="exact"/>
        <w:ind w:firstLine="640"/>
        <w:jc w:val="both"/>
        <w:outlineLvl w:val="3"/>
      </w:pPr>
      <w:r>
        <w:rPr>
          <w:rFonts w:ascii="楷体_GB2312" w:hAnsi="楷体_GB2312" w:eastAsia="楷体_GB2312"/>
          <w:b/>
          <w:sz w:val="32"/>
        </w:rPr>
        <w:t>（一）机关运行经费及公用经费支出情况</w:t>
      </w:r>
    </w:p>
    <w:p w14:paraId="7C3F9870">
      <w:pPr>
        <w:spacing w:line="580" w:lineRule="exact"/>
        <w:ind w:firstLine="640"/>
        <w:jc w:val="both"/>
        <w:rPr>
          <w:w w:val="95"/>
          <w:sz w:val="32"/>
        </w:rPr>
      </w:pPr>
      <w:r>
        <w:rPr>
          <w:rFonts w:ascii="仿宋_GB2312" w:hAnsi="仿宋_GB2312" w:eastAsia="仿宋_GB2312"/>
          <w:b w:val="0"/>
          <w:w w:val="95"/>
          <w:sz w:val="32"/>
        </w:rPr>
        <w:t>2024年度裕民县园林服务中心（事业单位）公用经费支出667.04万元，比上年增加274.96万元，增长70.13%，主要原因是：本年绿化业务经费列入其他商品和服务支出，导致公用经费增加。</w:t>
      </w:r>
    </w:p>
    <w:p w14:paraId="3E2663EE">
      <w:pPr>
        <w:spacing w:line="640" w:lineRule="exact"/>
        <w:ind w:firstLine="640"/>
        <w:jc w:val="both"/>
        <w:outlineLvl w:val="3"/>
      </w:pPr>
      <w:r>
        <w:rPr>
          <w:rFonts w:ascii="楷体_GB2312" w:hAnsi="楷体_GB2312" w:eastAsia="楷体_GB2312"/>
          <w:b/>
          <w:sz w:val="32"/>
        </w:rPr>
        <w:t>（二）政府采购情况</w:t>
      </w:r>
    </w:p>
    <w:p w14:paraId="0DE06569">
      <w:pPr>
        <w:spacing w:line="580" w:lineRule="exact"/>
        <w:ind w:firstLine="640"/>
        <w:jc w:val="both"/>
      </w:pPr>
      <w:r>
        <w:rPr>
          <w:rFonts w:ascii="仿宋_GB2312" w:hAnsi="仿宋_GB2312" w:eastAsia="仿宋_GB2312"/>
          <w:b w:val="0"/>
          <w:sz w:val="32"/>
        </w:rPr>
        <w:t>2024年度政府采购支出总额1.37万元，其中：政府采购货物支出0.69万元、政府采购工程支出0.00万元、政府采购服务支出0.69万元。</w:t>
      </w:r>
    </w:p>
    <w:p w14:paraId="4CE2E0C7">
      <w:pPr>
        <w:spacing w:line="580" w:lineRule="exact"/>
        <w:ind w:firstLine="640"/>
        <w:jc w:val="both"/>
      </w:pPr>
      <w:r>
        <w:rPr>
          <w:rFonts w:ascii="仿宋_GB2312" w:hAnsi="仿宋_GB2312" w:eastAsia="仿宋_GB2312"/>
          <w:b w:val="0"/>
          <w:sz w:val="32"/>
        </w:rPr>
        <w:t>授予中小企业合同金额0.69万元，占政府采购支出总额的50.36%，其中：授予小微企业合同金额0.69万元，占政府采购支出总额的50.36%。</w:t>
      </w:r>
    </w:p>
    <w:p w14:paraId="6C12B05B">
      <w:pPr>
        <w:spacing w:line="640" w:lineRule="exact"/>
        <w:ind w:firstLine="640"/>
        <w:jc w:val="both"/>
        <w:outlineLvl w:val="3"/>
      </w:pPr>
      <w:r>
        <w:rPr>
          <w:rFonts w:ascii="楷体_GB2312" w:hAnsi="楷体_GB2312" w:eastAsia="楷体_GB2312"/>
          <w:b/>
          <w:sz w:val="32"/>
        </w:rPr>
        <w:t>（三）国有资产占用情况说明</w:t>
      </w:r>
    </w:p>
    <w:p w14:paraId="02184A1F">
      <w:pPr>
        <w:spacing w:line="580" w:lineRule="exact"/>
        <w:ind w:firstLine="640"/>
        <w:jc w:val="both"/>
      </w:pPr>
      <w:r>
        <w:rPr>
          <w:rFonts w:ascii="仿宋_GB2312" w:hAnsi="仿宋_GB2312" w:eastAsia="仿宋_GB2312"/>
          <w:b w:val="0"/>
          <w:sz w:val="32"/>
        </w:rPr>
        <w:t>截至2024年1</w:t>
      </w:r>
      <w:bookmarkStart w:id="0" w:name="_GoBack"/>
      <w:r>
        <w:rPr>
          <w:rFonts w:ascii="仿宋_GB2312" w:hAnsi="仿宋_GB2312" w:eastAsia="仿宋_GB2312"/>
          <w:b w:val="0"/>
          <w:sz w:val="32"/>
        </w:rPr>
        <w:t>2月31日</w:t>
      </w:r>
      <w:bookmarkEnd w:id="0"/>
      <w:r>
        <w:rPr>
          <w:rFonts w:ascii="仿宋_GB2312" w:hAnsi="仿宋_GB2312" w:eastAsia="仿宋_GB2312"/>
          <w:b w:val="0"/>
          <w:sz w:val="32"/>
        </w:rPr>
        <w:t>，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B538C08">
      <w:pPr>
        <w:spacing w:line="640" w:lineRule="exact"/>
        <w:ind w:firstLine="640"/>
        <w:jc w:val="both"/>
        <w:outlineLvl w:val="2"/>
      </w:pPr>
      <w:r>
        <w:rPr>
          <w:rFonts w:ascii="黑体" w:hAnsi="黑体" w:eastAsia="黑体"/>
          <w:sz w:val="32"/>
        </w:rPr>
        <w:t>十一、预算绩效的情况说明</w:t>
      </w:r>
    </w:p>
    <w:p w14:paraId="076E211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1,701.67万元，实际执行总额1,701.67万元；预算绩效评价项目0个，全年预算数0.00万元，全年执行数0.00万元。预算绩效管理取得的成效：2024年本单位无预算绩效项目。发现的问题及原因：2024年本单位无预算绩效项目。下一步改进措施：2024年本单位无预算绩效项目。具体附整体支出绩效自评表。</w:t>
      </w:r>
    </w:p>
    <w:p w14:paraId="1AD4ACD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1238FBA">
        <w:tblPrEx>
          <w:tblCellMar>
            <w:top w:w="0" w:type="dxa"/>
            <w:left w:w="108" w:type="dxa"/>
            <w:bottom w:w="0" w:type="dxa"/>
            <w:right w:w="108" w:type="dxa"/>
          </w:tblCellMar>
        </w:tblPrEx>
        <w:tc>
          <w:tcPr>
            <w:tcW w:w="8840" w:type="dxa"/>
            <w:gridSpan w:val="8"/>
            <w:vAlign w:val="center"/>
          </w:tcPr>
          <w:p w14:paraId="14E0471B">
            <w:pPr>
              <w:jc w:val="center"/>
            </w:pPr>
            <w:r>
              <w:rPr>
                <w:rFonts w:ascii="宋体" w:hAnsi="宋体" w:eastAsia="宋体"/>
                <w:sz w:val="24"/>
              </w:rPr>
              <w:t>单位整体支出绩效自评表</w:t>
            </w:r>
          </w:p>
        </w:tc>
      </w:tr>
      <w:tr w14:paraId="0A5E05C5">
        <w:tblPrEx>
          <w:tblCellMar>
            <w:top w:w="0" w:type="dxa"/>
            <w:left w:w="108" w:type="dxa"/>
            <w:bottom w:w="0" w:type="dxa"/>
            <w:right w:w="108" w:type="dxa"/>
          </w:tblCellMar>
        </w:tblPrEx>
        <w:tc>
          <w:tcPr>
            <w:tcW w:w="8840" w:type="dxa"/>
            <w:gridSpan w:val="8"/>
            <w:vAlign w:val="center"/>
          </w:tcPr>
          <w:p w14:paraId="55FFC961">
            <w:pPr>
              <w:jc w:val="center"/>
            </w:pPr>
            <w:r>
              <w:rPr>
                <w:rFonts w:ascii="宋体" w:hAnsi="宋体" w:eastAsia="宋体"/>
                <w:sz w:val="24"/>
              </w:rPr>
              <w:t>（2024年度）</w:t>
            </w:r>
          </w:p>
        </w:tc>
      </w:tr>
      <w:tr w14:paraId="2F02F31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97CF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0AD6B9">
            <w:pPr>
              <w:jc w:val="center"/>
            </w:pPr>
            <w:r>
              <w:rPr>
                <w:rFonts w:ascii="宋体" w:hAnsi="宋体" w:eastAsia="宋体"/>
                <w:sz w:val="16"/>
              </w:rPr>
              <w:t>裕民县园林服务中心</w:t>
            </w:r>
          </w:p>
        </w:tc>
      </w:tr>
      <w:tr w14:paraId="442144F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F2A6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35A7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8C4A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4CB9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0C77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6B7B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5792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DD9A6">
            <w:pPr>
              <w:jc w:val="center"/>
            </w:pPr>
            <w:r>
              <w:rPr>
                <w:rFonts w:ascii="宋体" w:hAnsi="宋体" w:eastAsia="宋体"/>
                <w:sz w:val="16"/>
              </w:rPr>
              <w:t>得分</w:t>
            </w:r>
          </w:p>
        </w:tc>
      </w:tr>
      <w:tr w14:paraId="07AC23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4C3E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930C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1E359">
            <w:pPr>
              <w:jc w:val="center"/>
            </w:pPr>
            <w:r>
              <w:rPr>
                <w:rFonts w:ascii="宋体" w:hAnsi="宋体" w:eastAsia="宋体"/>
                <w:sz w:val="16"/>
              </w:rPr>
              <w:t>1,730.69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EFC92">
            <w:pPr>
              <w:jc w:val="center"/>
            </w:pPr>
            <w:r>
              <w:rPr>
                <w:rFonts w:ascii="宋体" w:hAnsi="宋体" w:eastAsia="宋体"/>
                <w:sz w:val="16"/>
              </w:rPr>
              <w:t>1,701.67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DAB3C">
            <w:pPr>
              <w:jc w:val="center"/>
            </w:pPr>
            <w:r>
              <w:rPr>
                <w:rFonts w:ascii="宋体" w:hAnsi="宋体" w:eastAsia="宋体"/>
                <w:sz w:val="16"/>
              </w:rPr>
              <w:t>1,701.67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0337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F5985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0FA1A">
            <w:pPr>
              <w:jc w:val="center"/>
            </w:pPr>
            <w:r>
              <w:rPr>
                <w:rFonts w:ascii="宋体" w:hAnsi="宋体" w:eastAsia="宋体"/>
                <w:sz w:val="16"/>
              </w:rPr>
              <w:t>10</w:t>
            </w:r>
          </w:p>
        </w:tc>
      </w:tr>
      <w:tr w14:paraId="1C4AD8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C4D8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9EC83">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F959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D5AC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1ABC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FC9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1010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18F12">
            <w:pPr>
              <w:jc w:val="center"/>
            </w:pPr>
            <w:r>
              <w:rPr>
                <w:rFonts w:ascii="宋体" w:hAnsi="宋体" w:eastAsia="宋体"/>
                <w:sz w:val="16"/>
              </w:rPr>
              <w:t>-</w:t>
            </w:r>
          </w:p>
        </w:tc>
      </w:tr>
      <w:tr w14:paraId="6D58B089">
        <w:tblPrEx>
          <w:tblCellMar>
            <w:top w:w="0" w:type="dxa"/>
            <w:left w:w="108" w:type="dxa"/>
            <w:bottom w:w="0" w:type="dxa"/>
            <w:right w:w="108" w:type="dxa"/>
          </w:tblCellMar>
        </w:tblPrEx>
        <w:trPr>
          <w:trHeight w:val="523"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8E87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D622A">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706E1">
            <w:pPr>
              <w:jc w:val="center"/>
            </w:pPr>
            <w:r>
              <w:rPr>
                <w:rFonts w:ascii="宋体" w:hAnsi="宋体" w:eastAsia="宋体"/>
                <w:sz w:val="16"/>
              </w:rPr>
              <w:t>1,730.69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EEB7B">
            <w:pPr>
              <w:jc w:val="center"/>
            </w:pPr>
            <w:r>
              <w:rPr>
                <w:rFonts w:ascii="宋体" w:hAnsi="宋体" w:eastAsia="宋体"/>
                <w:sz w:val="16"/>
              </w:rPr>
              <w:t>1,701.67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B2B8F">
            <w:pPr>
              <w:jc w:val="center"/>
            </w:pPr>
            <w:r>
              <w:rPr>
                <w:rFonts w:ascii="宋体" w:hAnsi="宋体" w:eastAsia="宋体"/>
                <w:sz w:val="16"/>
              </w:rPr>
              <w:t>1,701.67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14D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77A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0FCEF">
            <w:pPr>
              <w:jc w:val="center"/>
            </w:pPr>
            <w:r>
              <w:rPr>
                <w:rFonts w:ascii="宋体" w:hAnsi="宋体" w:eastAsia="宋体"/>
                <w:sz w:val="16"/>
              </w:rPr>
              <w:t>-</w:t>
            </w:r>
          </w:p>
        </w:tc>
      </w:tr>
      <w:tr w14:paraId="69DD41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4C9F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28D8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D233F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6F5B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83C3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366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B41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24377">
            <w:pPr>
              <w:jc w:val="center"/>
            </w:pPr>
            <w:r>
              <w:rPr>
                <w:rFonts w:ascii="宋体" w:hAnsi="宋体" w:eastAsia="宋体"/>
                <w:sz w:val="16"/>
              </w:rPr>
              <w:t>-</w:t>
            </w:r>
          </w:p>
        </w:tc>
      </w:tr>
      <w:tr w14:paraId="4A6033F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8F2B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14FB3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DBB6F2">
            <w:pPr>
              <w:jc w:val="center"/>
            </w:pPr>
            <w:r>
              <w:rPr>
                <w:rFonts w:ascii="宋体" w:hAnsi="宋体" w:eastAsia="宋体"/>
                <w:sz w:val="16"/>
              </w:rPr>
              <w:t>实际完成情况</w:t>
            </w:r>
          </w:p>
        </w:tc>
      </w:tr>
      <w:tr w14:paraId="5CB287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8F998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E2423B">
            <w:pPr>
              <w:jc w:val="both"/>
            </w:pPr>
            <w:r>
              <w:rPr>
                <w:rFonts w:ascii="宋体" w:hAnsi="宋体" w:eastAsia="宋体"/>
                <w:sz w:val="16"/>
              </w:rPr>
              <w:t xml:space="preserve">目标1：做好人员工资、社保、公积金正常发放及缴纳、工资补贴发放工作。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目标2：全面做好养护工作，保证植物生长旺盛、健壮、无枯死、无病虫害、地无杂草。力争做好各城区绿化管养工作，让居民生活在一个景色宜人、郁郁葱葱、鲜花簇拥的环境里。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D68262">
            <w:pPr>
              <w:jc w:val="both"/>
            </w:pPr>
            <w:r>
              <w:rPr>
                <w:rFonts w:ascii="宋体" w:hAnsi="宋体" w:eastAsia="宋体"/>
                <w:sz w:val="16"/>
              </w:rPr>
              <w:t>保障人员工资、社保、公积金正常发放及缴纳、工资补贴发放工作。提高裕民县城市园林绿化，更好地将裕民县的园林水平提高到一个新的台阶，全面做好养护工作，保证植物生长旺盛、健壮、无枯死、无病虫害、地无杂草，有效改善居民生活环境，项目按照计划正常实行，已经完成了维护养护公共绿地面积79万平方米；高质量</w:t>
            </w:r>
            <w:r>
              <w:rPr>
                <w:rFonts w:hint="eastAsia" w:ascii="宋体" w:hAnsi="宋体"/>
                <w:sz w:val="16"/>
                <w:lang w:eastAsia="zh-CN"/>
              </w:rPr>
              <w:t>地</w:t>
            </w:r>
            <w:r>
              <w:rPr>
                <w:rFonts w:ascii="宋体" w:hAnsi="宋体" w:eastAsia="宋体"/>
                <w:sz w:val="16"/>
              </w:rPr>
              <w:t>完成绿化业务工作。</w:t>
            </w:r>
          </w:p>
        </w:tc>
      </w:tr>
      <w:tr w14:paraId="34DDFA5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AB0F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9C6B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0148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8201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6E3B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FC92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9C13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2FBC2">
            <w:pPr>
              <w:jc w:val="center"/>
            </w:pPr>
            <w:r>
              <w:rPr>
                <w:rFonts w:ascii="宋体" w:hAnsi="宋体" w:eastAsia="宋体"/>
                <w:sz w:val="16"/>
              </w:rPr>
              <w:t>得分</w:t>
            </w:r>
          </w:p>
        </w:tc>
      </w:tr>
      <w:tr w14:paraId="6BD0AA9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2CF0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23D3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4FFED">
            <w:pPr>
              <w:jc w:val="center"/>
            </w:pPr>
            <w:r>
              <w:rPr>
                <w:rFonts w:ascii="宋体" w:hAnsi="宋体" w:eastAsia="宋体"/>
                <w:sz w:val="16"/>
              </w:rPr>
              <w:t>砍伐死树、枯树、做好施肥、除虫、抗旱工作及时率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9D99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24752">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E1BD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32B2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0FE84">
            <w:pPr>
              <w:jc w:val="center"/>
            </w:pPr>
            <w:r>
              <w:rPr>
                <w:rFonts w:ascii="宋体" w:hAnsi="宋体" w:eastAsia="宋体"/>
                <w:sz w:val="16"/>
              </w:rPr>
              <w:t>10</w:t>
            </w:r>
          </w:p>
        </w:tc>
      </w:tr>
      <w:tr w14:paraId="5744D0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8D57B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C10D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18CD2">
            <w:pPr>
              <w:jc w:val="center"/>
            </w:pPr>
            <w:r>
              <w:rPr>
                <w:rFonts w:ascii="宋体" w:hAnsi="宋体" w:eastAsia="宋体"/>
                <w:sz w:val="16"/>
              </w:rPr>
              <w:t>确保绿植的存活率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F8B9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C85D1">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FB6D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B043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09CBD">
            <w:pPr>
              <w:jc w:val="center"/>
            </w:pPr>
            <w:r>
              <w:rPr>
                <w:rFonts w:ascii="宋体" w:hAnsi="宋体" w:eastAsia="宋体"/>
                <w:sz w:val="16"/>
              </w:rPr>
              <w:t>10</w:t>
            </w:r>
          </w:p>
        </w:tc>
      </w:tr>
      <w:tr w14:paraId="356CE1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CA373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9297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8042E">
            <w:pPr>
              <w:jc w:val="center"/>
            </w:pPr>
            <w:r>
              <w:rPr>
                <w:rFonts w:ascii="宋体" w:hAnsi="宋体" w:eastAsia="宋体"/>
                <w:sz w:val="16"/>
              </w:rPr>
              <w:t>枯苗死株及时补植率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1724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8A8E6">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C413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2AE0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A4725">
            <w:pPr>
              <w:jc w:val="center"/>
            </w:pPr>
            <w:r>
              <w:rPr>
                <w:rFonts w:ascii="宋体" w:hAnsi="宋体" w:eastAsia="宋体"/>
                <w:sz w:val="16"/>
              </w:rPr>
              <w:t>15</w:t>
            </w:r>
          </w:p>
        </w:tc>
      </w:tr>
      <w:tr w14:paraId="42EA2C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D147E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C317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60038">
            <w:pPr>
              <w:jc w:val="center"/>
            </w:pPr>
            <w:r>
              <w:rPr>
                <w:rFonts w:ascii="宋体" w:hAnsi="宋体" w:eastAsia="宋体"/>
                <w:sz w:val="16"/>
              </w:rPr>
              <w:t>绿化景观优良率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1C14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A647F0">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86E0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F458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EFEE9">
            <w:pPr>
              <w:jc w:val="center"/>
            </w:pPr>
            <w:r>
              <w:rPr>
                <w:rFonts w:ascii="宋体" w:hAnsi="宋体" w:eastAsia="宋体"/>
                <w:sz w:val="16"/>
              </w:rPr>
              <w:t>15</w:t>
            </w:r>
          </w:p>
        </w:tc>
      </w:tr>
      <w:tr w14:paraId="68EE90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5D14E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BB31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588A0">
            <w:pPr>
              <w:jc w:val="center"/>
            </w:pPr>
            <w:r>
              <w:rPr>
                <w:rFonts w:ascii="宋体" w:hAnsi="宋体" w:eastAsia="宋体"/>
                <w:sz w:val="16"/>
              </w:rPr>
              <w:t>绿化养护面积（平方米）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A2D5D">
            <w:pPr>
              <w:jc w:val="center"/>
            </w:pPr>
            <w:r>
              <w:rPr>
                <w:rFonts w:ascii="宋体" w:hAnsi="宋体" w:eastAsia="宋体"/>
                <w:sz w:val="16"/>
              </w:rPr>
              <w:t>&gt;=79万平方米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6B104">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73450">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44DE9">
            <w:pPr>
              <w:jc w:val="center"/>
            </w:pPr>
            <w:r>
              <w:rPr>
                <w:rFonts w:ascii="宋体" w:hAnsi="宋体" w:eastAsia="宋体"/>
                <w:sz w:val="16"/>
              </w:rPr>
              <w:t>79万平方米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8F181">
            <w:pPr>
              <w:jc w:val="center"/>
            </w:pPr>
            <w:r>
              <w:rPr>
                <w:rFonts w:ascii="宋体" w:hAnsi="宋体" w:eastAsia="宋体"/>
                <w:sz w:val="16"/>
              </w:rPr>
              <w:t>20</w:t>
            </w:r>
          </w:p>
        </w:tc>
      </w:tr>
      <w:tr w14:paraId="20A316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76EC1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E5F0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D7A81">
            <w:pPr>
              <w:jc w:val="center"/>
            </w:pPr>
            <w:r>
              <w:rPr>
                <w:rFonts w:ascii="宋体" w:hAnsi="宋体" w:eastAsia="宋体"/>
                <w:sz w:val="16"/>
              </w:rPr>
              <w:t>绿化管理服务项目个数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FBC23">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E0E24">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63EFC">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11F36">
            <w:pPr>
              <w:jc w:val="center"/>
            </w:pPr>
            <w:r>
              <w:rPr>
                <w:rFonts w:ascii="宋体" w:hAnsi="宋体" w:eastAsia="宋体"/>
                <w:sz w:val="16"/>
              </w:rPr>
              <w:t>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0236C">
            <w:pPr>
              <w:jc w:val="center"/>
            </w:pPr>
            <w:r>
              <w:rPr>
                <w:rFonts w:ascii="宋体" w:hAnsi="宋体" w:eastAsia="宋体"/>
                <w:sz w:val="16"/>
              </w:rPr>
              <w:t>0</w:t>
            </w:r>
          </w:p>
        </w:tc>
      </w:tr>
    </w:tbl>
    <w:p w14:paraId="6CB70F94">
      <w:r>
        <w:br w:type="page"/>
      </w:r>
    </w:p>
    <w:p w14:paraId="0F8C6B7C">
      <w:pPr>
        <w:spacing w:line="640" w:lineRule="exact"/>
        <w:ind w:firstLine="640"/>
        <w:jc w:val="both"/>
        <w:outlineLvl w:val="2"/>
      </w:pPr>
      <w:r>
        <w:rPr>
          <w:rFonts w:ascii="黑体" w:hAnsi="黑体" w:eastAsia="黑体"/>
          <w:sz w:val="32"/>
        </w:rPr>
        <w:t>十二、其他需说明的事项</w:t>
      </w:r>
    </w:p>
    <w:p w14:paraId="34DFEC28">
      <w:pPr>
        <w:spacing w:line="580" w:lineRule="exact"/>
        <w:ind w:firstLine="640"/>
        <w:jc w:val="both"/>
      </w:pPr>
      <w:r>
        <w:rPr>
          <w:rFonts w:ascii="仿宋_GB2312" w:hAnsi="仿宋_GB2312" w:eastAsia="仿宋_GB2312"/>
          <w:b w:val="0"/>
          <w:sz w:val="32"/>
        </w:rPr>
        <w:t>本单位无其他需说明的事项。</w:t>
      </w:r>
    </w:p>
    <w:p w14:paraId="205B20EB">
      <w:r>
        <w:br w:type="page"/>
      </w:r>
    </w:p>
    <w:p w14:paraId="1EA682E5">
      <w:pPr>
        <w:spacing w:line="240" w:lineRule="auto"/>
        <w:jc w:val="center"/>
        <w:outlineLvl w:val="1"/>
      </w:pPr>
      <w:r>
        <w:rPr>
          <w:rFonts w:ascii="黑体" w:hAnsi="黑体" w:eastAsia="黑体"/>
          <w:sz w:val="32"/>
        </w:rPr>
        <w:t>第三部分 专业名词解释</w:t>
      </w:r>
    </w:p>
    <w:p w14:paraId="0F703B7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18C08B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57BCC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5BABA6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CE085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578653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B6E58E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885330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2D1AA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D0BAD1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A7D237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AD7151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02DCE2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AA318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0F9CC37">
      <w:r>
        <w:br w:type="page"/>
      </w:r>
    </w:p>
    <w:p w14:paraId="1D573CE5">
      <w:pPr>
        <w:spacing w:line="240" w:lineRule="auto"/>
        <w:jc w:val="center"/>
        <w:outlineLvl w:val="1"/>
      </w:pPr>
      <w:r>
        <w:rPr>
          <w:rFonts w:ascii="黑体" w:hAnsi="黑体" w:eastAsia="黑体"/>
          <w:sz w:val="32"/>
        </w:rPr>
        <w:t>第四部分 部门决算报表（见附表）</w:t>
      </w:r>
    </w:p>
    <w:p w14:paraId="50A20541">
      <w:pPr>
        <w:spacing w:line="240" w:lineRule="auto"/>
        <w:ind w:firstLine="640"/>
        <w:jc w:val="both"/>
      </w:pPr>
      <w:r>
        <w:rPr>
          <w:rFonts w:ascii="仿宋_GB2312" w:hAnsi="仿宋_GB2312" w:eastAsia="仿宋_GB2312"/>
          <w:b w:val="0"/>
          <w:sz w:val="32"/>
        </w:rPr>
        <w:t>一、《收入支出决算总表》</w:t>
      </w:r>
    </w:p>
    <w:p w14:paraId="651E8D96">
      <w:pPr>
        <w:spacing w:line="240" w:lineRule="auto"/>
        <w:ind w:firstLine="640"/>
        <w:jc w:val="both"/>
      </w:pPr>
      <w:r>
        <w:rPr>
          <w:rFonts w:ascii="仿宋_GB2312" w:hAnsi="仿宋_GB2312" w:eastAsia="仿宋_GB2312"/>
          <w:b w:val="0"/>
          <w:sz w:val="32"/>
        </w:rPr>
        <w:t>二、《收入决算表》</w:t>
      </w:r>
    </w:p>
    <w:p w14:paraId="45C35E3F">
      <w:pPr>
        <w:spacing w:line="240" w:lineRule="auto"/>
        <w:ind w:firstLine="640"/>
        <w:jc w:val="both"/>
      </w:pPr>
      <w:r>
        <w:rPr>
          <w:rFonts w:ascii="仿宋_GB2312" w:hAnsi="仿宋_GB2312" w:eastAsia="仿宋_GB2312"/>
          <w:b w:val="0"/>
          <w:sz w:val="32"/>
        </w:rPr>
        <w:t>三、《支出决算表》</w:t>
      </w:r>
    </w:p>
    <w:p w14:paraId="20543E59">
      <w:pPr>
        <w:spacing w:line="240" w:lineRule="auto"/>
        <w:ind w:firstLine="640"/>
        <w:jc w:val="both"/>
      </w:pPr>
      <w:r>
        <w:rPr>
          <w:rFonts w:ascii="仿宋_GB2312" w:hAnsi="仿宋_GB2312" w:eastAsia="仿宋_GB2312"/>
          <w:b w:val="0"/>
          <w:sz w:val="32"/>
        </w:rPr>
        <w:t>四、《财政拨款收入支出决算总表》</w:t>
      </w:r>
    </w:p>
    <w:p w14:paraId="57568A5E">
      <w:pPr>
        <w:spacing w:line="240" w:lineRule="auto"/>
        <w:ind w:firstLine="640"/>
        <w:jc w:val="both"/>
      </w:pPr>
      <w:r>
        <w:rPr>
          <w:rFonts w:ascii="仿宋_GB2312" w:hAnsi="仿宋_GB2312" w:eastAsia="仿宋_GB2312"/>
          <w:b w:val="0"/>
          <w:sz w:val="32"/>
        </w:rPr>
        <w:t>五、《一般公共预算财政拨款支出决算表》</w:t>
      </w:r>
    </w:p>
    <w:p w14:paraId="26DAD230">
      <w:pPr>
        <w:spacing w:line="240" w:lineRule="auto"/>
        <w:ind w:firstLine="640"/>
        <w:jc w:val="both"/>
      </w:pPr>
      <w:r>
        <w:rPr>
          <w:rFonts w:ascii="仿宋_GB2312" w:hAnsi="仿宋_GB2312" w:eastAsia="仿宋_GB2312"/>
          <w:b w:val="0"/>
          <w:sz w:val="32"/>
        </w:rPr>
        <w:t>六、《一般公共预算财政拨款基本支出决算表》</w:t>
      </w:r>
    </w:p>
    <w:p w14:paraId="42C7FAD7">
      <w:pPr>
        <w:spacing w:line="240" w:lineRule="auto"/>
        <w:ind w:firstLine="640"/>
        <w:jc w:val="both"/>
      </w:pPr>
      <w:r>
        <w:rPr>
          <w:rFonts w:ascii="仿宋_GB2312" w:hAnsi="仿宋_GB2312" w:eastAsia="仿宋_GB2312"/>
          <w:b w:val="0"/>
          <w:sz w:val="32"/>
        </w:rPr>
        <w:t>七、《政府性基金预算财政拨款收入支出决算表》</w:t>
      </w:r>
    </w:p>
    <w:p w14:paraId="1632247B">
      <w:pPr>
        <w:spacing w:line="240" w:lineRule="auto"/>
        <w:ind w:firstLine="640"/>
        <w:jc w:val="both"/>
      </w:pPr>
      <w:r>
        <w:rPr>
          <w:rFonts w:ascii="仿宋_GB2312" w:hAnsi="仿宋_GB2312" w:eastAsia="仿宋_GB2312"/>
          <w:b w:val="0"/>
          <w:sz w:val="32"/>
        </w:rPr>
        <w:t>八、《国有资本经营预算财政拨款收入支出决算表》</w:t>
      </w:r>
    </w:p>
    <w:p w14:paraId="3CF95AE8">
      <w:pPr>
        <w:spacing w:line="240" w:lineRule="auto"/>
        <w:ind w:firstLine="640"/>
        <w:jc w:val="both"/>
      </w:pPr>
      <w:r>
        <w:rPr>
          <w:rFonts w:ascii="仿宋_GB2312" w:hAnsi="仿宋_GB2312" w:eastAsia="仿宋_GB2312"/>
          <w:b w:val="0"/>
          <w:sz w:val="32"/>
        </w:rPr>
        <w:t>九、《财政拨款“三公”经费支出决算表》</w:t>
      </w:r>
    </w:p>
    <w:p w14:paraId="09A5E910">
      <w:pPr>
        <w:spacing w:line="240" w:lineRule="auto"/>
        <w:ind w:firstLine="640"/>
        <w:jc w:val="both"/>
      </w:pPr>
    </w:p>
    <w:p w14:paraId="4BA8717A">
      <w:pPr>
        <w:spacing w:line="240" w:lineRule="auto"/>
        <w:ind w:firstLine="640"/>
        <w:jc w:val="both"/>
      </w:pPr>
    </w:p>
    <w:p w14:paraId="78AAB813">
      <w:pPr>
        <w:spacing w:line="240" w:lineRule="auto"/>
        <w:ind w:firstLine="640"/>
        <w:jc w:val="both"/>
      </w:pPr>
    </w:p>
    <w:p w14:paraId="7BDA832C">
      <w:pPr>
        <w:spacing w:line="240" w:lineRule="auto"/>
        <w:ind w:firstLine="640"/>
        <w:jc w:val="both"/>
      </w:pPr>
    </w:p>
    <w:p w14:paraId="3C139FD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16F62E-AF7C-461D-A997-60AAB60CA2B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03D721B-75F2-42A0-A090-7B0667FAC9A6}"/>
  </w:font>
  <w:font w:name="仿宋_GB2312">
    <w:panose1 w:val="02010609030101010101"/>
    <w:charset w:val="86"/>
    <w:family w:val="modern"/>
    <w:pitch w:val="default"/>
    <w:sig w:usb0="00000001" w:usb1="080E0000" w:usb2="00000000" w:usb3="00000000" w:csb0="00040000" w:csb1="00000000"/>
    <w:embedRegular r:id="rId3" w:fontKey="{43210732-2216-4DE3-95AF-C850A211CA1B}"/>
  </w:font>
  <w:font w:name="楷体_GB2312">
    <w:panose1 w:val="02010609030101010101"/>
    <w:charset w:val="86"/>
    <w:family w:val="auto"/>
    <w:pitch w:val="default"/>
    <w:sig w:usb0="00000001" w:usb1="080E0000" w:usb2="00000000" w:usb3="00000000" w:csb0="00040000" w:csb1="00000000"/>
    <w:embedRegular r:id="rId4" w:fontKey="{E1129A74-90E0-4389-8C88-6EE4BFD7489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1AF3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57B89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057B89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501A18"/>
    <w:rsid w:val="19071D6C"/>
    <w:rsid w:val="19B5554D"/>
    <w:rsid w:val="1B8F2D19"/>
    <w:rsid w:val="1C2F38A8"/>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12655E"/>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5cdb507c-8220-4ba9-976c-a81e780d5e77</errorID>
      <errorWord>2月31日</errorWord>
      <group>L1_Sensitive</group>
      <groupName>敏感问题</groupName>
      <ability>L2_UserSensitive</ability>
      <abilityName>自定义敏感词</abilityName>
      <candidateList/>
      <explain>来自自定义敏感词库。</explain>
      <paraID> 2184A1F</paraID>
      <start>8</start>
      <end>13</end>
      <status>unmodified</status>
      <modifiedWord/>
      <trackRevisions>false</trackRevisions>
    </reviewItem>
    <reviewItem>
      <errorID>00c735f1-299e-48e1-aab6-4b993a285269</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4D68262</paraID>
      <start>146</start>
      <end>147</end>
      <status>modified</status>
      <modifiedWord>地</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03615-d7a7-4983-8935-04e6ee38cee4}">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5561</Words>
  <Characters>6378</Characters>
  <Lines>0</Lines>
  <Paragraphs>0</Paragraphs>
  <TotalTime>12</TotalTime>
  <ScaleCrop>false</ScaleCrop>
  <LinksUpToDate>false</LinksUpToDate>
  <CharactersWithSpaces>6391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2025-11-07T08:32:09Z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