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spacing w:line="570" w:lineRule="exact"/>
        <w:ind w:firstLine="880" w:firstLineChars="200"/>
        <w:jc w:val="both"/>
        <w:textAlignment w:val="auto"/>
        <w:rPr>
          <w:rFonts w:ascii="方正小标宋_GBK" w:hAnsi="华文中宋" w:eastAsia="方正小标宋_GBK" w:cs="宋体"/>
          <w:kern w:val="0"/>
          <w:sz w:val="44"/>
          <w:szCs w:val="44"/>
          <w:lang w:eastAsia="zh-Hans"/>
        </w:rPr>
      </w:pPr>
    </w:p>
    <w:p>
      <w:pPr>
        <w:pageBreakBefore w:val="0"/>
        <w:kinsoku/>
        <w:wordWrap/>
        <w:overflowPunct/>
        <w:topLinePunct w:val="0"/>
        <w:autoSpaceDE/>
        <w:autoSpaceDN/>
        <w:bidi w:val="0"/>
        <w:spacing w:line="240" w:lineRule="auto"/>
        <w:ind w:left="0" w:leftChars="0" w:firstLine="0" w:firstLineChars="0"/>
        <w:jc w:val="both"/>
        <w:textAlignment w:val="auto"/>
        <w:rPr>
          <w:rFonts w:hint="eastAsia" w:ascii="方正小标宋_GBK" w:hAnsi="华文中宋" w:eastAsia="方正小标宋_GBK" w:cs="宋体"/>
          <w:kern w:val="0"/>
          <w:sz w:val="44"/>
          <w:szCs w:val="44"/>
          <w:lang w:eastAsia="zh-CN"/>
        </w:rPr>
      </w:pPr>
      <w:r>
        <w:rPr>
          <w:rFonts w:hint="eastAsia" w:ascii="方正小标宋_GBK" w:hAnsi="华文中宋" w:eastAsia="方正小标宋_GBK" w:cs="宋体"/>
          <w:kern w:val="0"/>
          <w:sz w:val="44"/>
          <w:szCs w:val="44"/>
          <w:lang w:eastAsia="zh-CN"/>
        </w:rPr>
        <w:drawing>
          <wp:inline distT="0" distB="0" distL="114300" distR="114300">
            <wp:extent cx="5615940" cy="5904865"/>
            <wp:effectExtent l="0" t="0" r="3810" b="635"/>
            <wp:docPr id="1" name="图片 1" descr="绩效封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绩效封面"/>
                    <pic:cNvPicPr>
                      <a:picLocks noChangeAspect="1"/>
                    </pic:cNvPicPr>
                  </pic:nvPicPr>
                  <pic:blipFill>
                    <a:blip r:embed="rId10"/>
                    <a:stretch>
                      <a:fillRect/>
                    </a:stretch>
                  </pic:blipFill>
                  <pic:spPr>
                    <a:xfrm>
                      <a:off x="0" y="0"/>
                      <a:ext cx="5615940" cy="5904865"/>
                    </a:xfrm>
                    <a:prstGeom prst="rect">
                      <a:avLst/>
                    </a:prstGeom>
                  </pic:spPr>
                </pic:pic>
              </a:graphicData>
            </a:graphic>
          </wp:inline>
        </w:drawing>
      </w:r>
    </w:p>
    <w:p>
      <w:pPr>
        <w:pageBreakBefore w:val="0"/>
        <w:kinsoku/>
        <w:wordWrap/>
        <w:overflowPunct/>
        <w:topLinePunct w:val="0"/>
        <w:autoSpaceDE/>
        <w:autoSpaceDN/>
        <w:bidi w:val="0"/>
        <w:spacing w:line="570" w:lineRule="exact"/>
        <w:ind w:firstLine="880" w:firstLineChars="200"/>
        <w:jc w:val="both"/>
        <w:textAlignment w:val="auto"/>
        <w:rPr>
          <w:rFonts w:ascii="方正小标宋_GBK" w:hAnsi="华文中宋" w:eastAsia="方正小标宋_GBK" w:cs="宋体"/>
          <w:kern w:val="0"/>
          <w:sz w:val="44"/>
          <w:szCs w:val="44"/>
          <w:lang w:eastAsia="zh-Hans"/>
        </w:rPr>
      </w:pPr>
    </w:p>
    <w:p>
      <w:pPr>
        <w:pageBreakBefore w:val="0"/>
        <w:kinsoku/>
        <w:wordWrap/>
        <w:overflowPunct/>
        <w:topLinePunct w:val="0"/>
        <w:autoSpaceDE/>
        <w:autoSpaceDN/>
        <w:bidi w:val="0"/>
        <w:spacing w:line="570" w:lineRule="exact"/>
        <w:ind w:firstLine="1044" w:firstLineChars="200"/>
        <w:jc w:val="both"/>
        <w:textAlignment w:val="auto"/>
        <w:rPr>
          <w:rFonts w:ascii="华文中宋" w:hAnsi="华文中宋" w:eastAsia="华文中宋" w:cs="宋体"/>
          <w:b/>
          <w:kern w:val="0"/>
          <w:sz w:val="52"/>
          <w:szCs w:val="52"/>
        </w:rPr>
      </w:pPr>
    </w:p>
    <w:p>
      <w:pPr>
        <w:pageBreakBefore w:val="0"/>
        <w:kinsoku/>
        <w:wordWrap/>
        <w:overflowPunct/>
        <w:topLinePunct w:val="0"/>
        <w:autoSpaceDE/>
        <w:autoSpaceDN/>
        <w:bidi w:val="0"/>
        <w:spacing w:line="570" w:lineRule="exact"/>
        <w:ind w:firstLine="1044" w:firstLineChars="200"/>
        <w:jc w:val="both"/>
        <w:textAlignment w:val="auto"/>
        <w:rPr>
          <w:rFonts w:ascii="华文中宋" w:hAnsi="华文中宋" w:eastAsia="华文中宋" w:cs="宋体"/>
          <w:b/>
          <w:kern w:val="0"/>
          <w:sz w:val="52"/>
          <w:szCs w:val="52"/>
        </w:rPr>
      </w:pPr>
    </w:p>
    <w:p>
      <w:pPr>
        <w:pageBreakBefore w:val="0"/>
        <w:kinsoku/>
        <w:wordWrap/>
        <w:overflowPunct/>
        <w:topLinePunct w:val="0"/>
        <w:autoSpaceDE/>
        <w:autoSpaceDN/>
        <w:bidi w:val="0"/>
        <w:spacing w:line="570" w:lineRule="exact"/>
        <w:ind w:firstLine="1044" w:firstLineChars="200"/>
        <w:jc w:val="both"/>
        <w:textAlignment w:val="auto"/>
        <w:rPr>
          <w:rFonts w:ascii="华文中宋" w:hAnsi="华文中宋" w:eastAsia="华文中宋" w:cs="宋体"/>
          <w:b/>
          <w:kern w:val="0"/>
          <w:sz w:val="52"/>
          <w:szCs w:val="52"/>
        </w:rPr>
      </w:pPr>
    </w:p>
    <w:p>
      <w:pPr>
        <w:pageBreakBefore w:val="0"/>
        <w:kinsoku/>
        <w:wordWrap/>
        <w:overflowPunct/>
        <w:topLinePunct w:val="0"/>
        <w:autoSpaceDE/>
        <w:autoSpaceDN/>
        <w:bidi w:val="0"/>
        <w:adjustRightInd w:val="0"/>
        <w:snapToGrid w:val="0"/>
        <w:spacing w:line="570" w:lineRule="exact"/>
        <w:ind w:left="0" w:leftChars="0" w:firstLine="0" w:firstLineChars="0"/>
        <w:jc w:val="both"/>
        <w:textAlignment w:val="auto"/>
        <w:rPr>
          <w:rFonts w:hint="eastAsia" w:ascii="仿宋_GB2312" w:eastAsia="仿宋_GB2312"/>
          <w:b/>
          <w:bCs/>
          <w:color w:val="FF0000"/>
          <w:sz w:val="32"/>
          <w:szCs w:val="32"/>
        </w:rPr>
      </w:pPr>
    </w:p>
    <w:p>
      <w:pPr>
        <w:pStyle w:val="3"/>
        <w:pageBreakBefore w:val="0"/>
        <w:kinsoku/>
        <w:wordWrap/>
        <w:overflowPunct/>
        <w:topLinePunct w:val="0"/>
        <w:autoSpaceDE/>
        <w:autoSpaceDN/>
        <w:bidi w:val="0"/>
        <w:spacing w:line="570" w:lineRule="exact"/>
        <w:ind w:firstLine="643" w:firstLineChars="200"/>
        <w:jc w:val="both"/>
        <w:textAlignment w:val="auto"/>
        <w:rPr>
          <w:rStyle w:val="14"/>
          <w:rFonts w:ascii="黑体" w:hAnsi="黑体" w:cs="仿宋_GB2312"/>
          <w:b/>
          <w:bCs w:val="0"/>
          <w:color w:val="000000" w:themeColor="text1"/>
          <w:kern w:val="2"/>
          <w:sz w:val="32"/>
          <w:szCs w:val="32"/>
          <w:lang w:eastAsia="zh-Hans" w:bidi="ar"/>
          <w14:textFill>
            <w14:solidFill>
              <w14:schemeClr w14:val="tx1"/>
            </w14:solidFill>
          </w14:textFill>
        </w:rPr>
      </w:pPr>
      <w:r>
        <w:rPr>
          <w:rStyle w:val="14"/>
          <w:rFonts w:hint="eastAsia" w:ascii="黑体" w:hAnsi="黑体" w:cs="仿宋_GB2312"/>
          <w:b/>
          <w:bCs w:val="0"/>
          <w:color w:val="000000" w:themeColor="text1"/>
          <w:kern w:val="2"/>
          <w:sz w:val="32"/>
          <w:szCs w:val="32"/>
          <w:lang w:eastAsia="zh-Hans" w:bidi="ar"/>
          <w14:textFill>
            <w14:solidFill>
              <w14:schemeClr w14:val="tx1"/>
            </w14:solidFill>
          </w14:textFill>
        </w:rPr>
        <w:t>一、基本概况</w:t>
      </w:r>
    </w:p>
    <w:p>
      <w:pPr>
        <w:pStyle w:val="4"/>
        <w:pageBreakBefore w:val="0"/>
        <w:kinsoku/>
        <w:wordWrap/>
        <w:overflowPunct/>
        <w:topLinePunct w:val="0"/>
        <w:autoSpaceDE/>
        <w:autoSpaceDN/>
        <w:bidi w:val="0"/>
        <w:spacing w:line="570" w:lineRule="exact"/>
        <w:ind w:firstLine="643" w:firstLineChars="200"/>
        <w:jc w:val="both"/>
        <w:textAlignment w:val="auto"/>
        <w:rPr>
          <w:rFonts w:ascii="楷体_GB2312" w:eastAsia="楷体_GB2312"/>
          <w:color w:val="000000" w:themeColor="text1"/>
          <w:szCs w:val="32"/>
          <w14:textFill>
            <w14:solidFill>
              <w14:schemeClr w14:val="tx1"/>
            </w14:solidFill>
          </w14:textFill>
        </w:rPr>
      </w:pPr>
      <w:r>
        <w:rPr>
          <w:rFonts w:hint="eastAsia" w:ascii="楷体_GB2312" w:eastAsia="楷体_GB2312"/>
          <w:color w:val="000000" w:themeColor="text1"/>
          <w:szCs w:val="32"/>
          <w14:textFill>
            <w14:solidFill>
              <w14:schemeClr w14:val="tx1"/>
            </w14:solidFill>
          </w14:textFill>
        </w:rPr>
        <w:t>（一）</w:t>
      </w:r>
      <w:r>
        <w:rPr>
          <w:rFonts w:hint="eastAsia" w:ascii="楷体_GB2312" w:eastAsia="楷体_GB2312"/>
          <w:color w:val="000000" w:themeColor="text1"/>
          <w:szCs w:val="32"/>
          <w:lang w:val="en-US" w:eastAsia="zh-CN"/>
          <w14:textFill>
            <w14:solidFill>
              <w14:schemeClr w14:val="tx1"/>
            </w14:solidFill>
          </w14:textFill>
        </w:rPr>
        <w:t>部门</w:t>
      </w:r>
      <w:r>
        <w:rPr>
          <w:rFonts w:hint="eastAsia" w:ascii="楷体_GB2312" w:eastAsia="楷体_GB2312"/>
          <w:color w:val="000000" w:themeColor="text1"/>
          <w:szCs w:val="32"/>
          <w14:textFill>
            <w14:solidFill>
              <w14:schemeClr w14:val="tx1"/>
            </w14:solidFill>
          </w14:textFill>
        </w:rPr>
        <w:t>单位基本情况</w:t>
      </w:r>
    </w:p>
    <w:p>
      <w:pPr>
        <w:pageBreakBefore w:val="0"/>
        <w:kinsoku/>
        <w:wordWrap/>
        <w:overflowPunct/>
        <w:topLinePunct w:val="0"/>
        <w:autoSpaceDE/>
        <w:autoSpaceDN/>
        <w:bidi w:val="0"/>
        <w:spacing w:line="570" w:lineRule="exact"/>
        <w:ind w:firstLine="643" w:firstLineChars="20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1.部门主要职能</w:t>
      </w:r>
    </w:p>
    <w:p>
      <w:pPr>
        <w:pStyle w:val="26"/>
        <w:pageBreakBefore w:val="0"/>
        <w:kinsoku/>
        <w:wordWrap/>
        <w:overflowPunct/>
        <w:topLinePunct w:val="0"/>
        <w:autoSpaceDE/>
        <w:autoSpaceDN/>
        <w:bidi w:val="0"/>
        <w:snapToGrid w:val="0"/>
        <w:spacing w:line="570" w:lineRule="exact"/>
        <w:ind w:firstLine="640" w:firstLineChars="200"/>
        <w:jc w:val="both"/>
        <w:textAlignment w:val="auto"/>
        <w:rPr>
          <w:rStyle w:val="14"/>
          <w:rFonts w:hint="eastAsia" w:ascii="仿宋_GB2312" w:hAnsi="仿宋_GB2312" w:eastAsia="仿宋_GB2312" w:cs="仿宋_GB2312"/>
          <w:b w:val="0"/>
          <w:bCs/>
          <w:color w:val="000000" w:themeColor="text1"/>
          <w:sz w:val="32"/>
          <w:szCs w:val="32"/>
          <w:lang w:eastAsia="zh-CN" w:bidi="ar"/>
          <w14:textFill>
            <w14:solidFill>
              <w14:schemeClr w14:val="tx1"/>
            </w14:solidFill>
          </w14:textFill>
        </w:rPr>
      </w:pPr>
      <w:r>
        <w:rPr>
          <w:rStyle w:val="14"/>
          <w:rFonts w:hint="eastAsia" w:ascii="仿宋_GB2312" w:hAnsi="仿宋_GB2312" w:eastAsia="仿宋_GB2312" w:cs="仿宋_GB2312"/>
          <w:b w:val="0"/>
          <w:bCs/>
          <w:color w:val="000000" w:themeColor="text1"/>
          <w:sz w:val="32"/>
          <w:szCs w:val="32"/>
          <w:lang w:eastAsia="zh-CN" w:bidi="ar"/>
          <w14:textFill>
            <w14:solidFill>
              <w14:schemeClr w14:val="tx1"/>
            </w14:solidFill>
          </w14:textFill>
        </w:rPr>
        <w:t>裕民县吉也克镇人民政府</w:t>
      </w:r>
      <w:r>
        <w:rPr>
          <w:rStyle w:val="14"/>
          <w:rFonts w:hint="eastAsia" w:ascii="仿宋_GB2312" w:hAnsi="仿宋_GB2312" w:eastAsia="仿宋_GB2312" w:cs="仿宋_GB2312"/>
          <w:b w:val="0"/>
          <w:bCs/>
          <w:color w:val="000000" w:themeColor="text1"/>
          <w:sz w:val="32"/>
          <w:szCs w:val="32"/>
          <w:lang w:eastAsia="zh-Hans" w:bidi="ar"/>
          <w14:textFill>
            <w14:solidFill>
              <w14:schemeClr w14:val="tx1"/>
            </w14:solidFill>
          </w14:textFill>
        </w:rPr>
        <w:t>的主要职能是</w:t>
      </w:r>
      <w:r>
        <w:rPr>
          <w:rStyle w:val="14"/>
          <w:rFonts w:hint="eastAsia" w:ascii="仿宋_GB2312" w:hAnsi="仿宋_GB2312" w:eastAsia="仿宋_GB2312" w:cs="仿宋_GB2312"/>
          <w:b w:val="0"/>
          <w:bCs/>
          <w:color w:val="000000" w:themeColor="text1"/>
          <w:sz w:val="32"/>
          <w:szCs w:val="32"/>
          <w:lang w:eastAsia="zh-CN" w:bidi="ar"/>
          <w14:textFill>
            <w14:solidFill>
              <w14:schemeClr w14:val="tx1"/>
            </w14:solidFill>
          </w14:textFill>
        </w:rPr>
        <w:t>：</w:t>
      </w:r>
    </w:p>
    <w:p>
      <w:pPr>
        <w:pStyle w:val="26"/>
        <w:pageBreakBefore w:val="0"/>
        <w:kinsoku/>
        <w:wordWrap/>
        <w:overflowPunct/>
        <w:topLinePunct w:val="0"/>
        <w:autoSpaceDE/>
        <w:autoSpaceDN/>
        <w:bidi w:val="0"/>
        <w:snapToGrid w:val="0"/>
        <w:spacing w:line="570" w:lineRule="exact"/>
        <w:ind w:left="0" w:leftChars="0" w:firstLine="640" w:firstLineChars="200"/>
        <w:jc w:val="both"/>
        <w:textAlignment w:val="auto"/>
        <w:rPr>
          <w:rStyle w:val="14"/>
          <w:rFonts w:ascii="仿宋_GB2312" w:hAnsi="仿宋_GB2312" w:eastAsia="仿宋_GB2312" w:cs="仿宋_GB2312"/>
          <w:b w:val="0"/>
          <w:color w:val="FF0000"/>
          <w:sz w:val="32"/>
          <w:szCs w:val="32"/>
          <w:lang w:bidi="ar"/>
        </w:rPr>
      </w:pPr>
      <w:r>
        <w:rPr>
          <w:rFonts w:hint="eastAsia" w:ascii="仿宋_GB2312" w:hAnsi="宋体" w:eastAsia="仿宋_GB2312"/>
          <w:b w:val="0"/>
          <w:bCs/>
          <w:sz w:val="32"/>
          <w:szCs w:val="32"/>
        </w:rPr>
        <w:t>(一)宣传和贯彻执行党的路线、方针、政策和国家的法律、法规;宣传和贯彻上级党委、政府的政策、法规、决定、决议等;执行本级党代会和人代会的决定、决议。(二)为经济发展提供服务。制定经济发展和产业发展规划、计划并组织实施;营造经济发展环境，提供示范引导和政策服务;指导经济结构调整和推进经济增长方式转变;促进区域特色经济的发展;加强农村基础设施建设和新型农村服务体系建设，落实强农惠农政策措施，着力解决群众生产生活中的突出问题，切实维护农牧民合法权益;加强农村合作经济管理，引导和促进新型农村专业合作经济组织发展。(三)为群众提供公共服务。制定区域内各项社会事业发展规划;完善社会化服务体系，提供政策、科技、信息、就业培训等服务，引导农村富余劳动力有序转移，完善农村社会保障体系，做好最低生活保障、五保老人供养、贫困家庭子女义务教育免费入学、失地农民基本生活保障、新型农村合作医疗和劳动保障等工作;完善卫生服务体系，加强卫生监督、疫病防控、医疗卫生等事业建设;加快教育、科技、卫生、文化体育广播影视事业以及农田水利、乡村道路、生态环境等各项公益事业发展。(四)加强社会事务管理。负责区域内的教育科技、劳动社会保障、民政、文化体育广播影视、卫生、计划生育等社会事务管理工作;负责区域内社团和经济组织的管理，发挥社团、行业组织和社会中介组织的作用;依法履行上级赋予的行政处罚和监督管理权，配合上级行政执法主体做好有关行政执法工作。(五)加强社会管理综合治理，维护社会稳定。强化法</w:t>
      </w:r>
      <w:r>
        <w:rPr>
          <w:rFonts w:hint="eastAsia" w:ascii="仿宋_GB2312" w:hAnsi="宋体" w:eastAsia="仿宋_GB2312"/>
          <w:b w:val="0"/>
          <w:bCs/>
          <w:sz w:val="32"/>
          <w:szCs w:val="32"/>
          <w:lang w:eastAsia="zh-CN"/>
        </w:rPr>
        <w:t>治</w:t>
      </w:r>
      <w:bookmarkStart w:id="0" w:name="_GoBack"/>
      <w:bookmarkEnd w:id="0"/>
      <w:r>
        <w:rPr>
          <w:rFonts w:hint="eastAsia" w:ascii="仿宋_GB2312" w:hAnsi="宋体" w:eastAsia="仿宋_GB2312"/>
          <w:b w:val="0"/>
          <w:bCs/>
          <w:sz w:val="32"/>
          <w:szCs w:val="32"/>
        </w:rPr>
        <w:t>宣传教育，开展民主法治村和平安镇等创建活动;构建公共安全防控体系，做好安全生产、防汛、防火、防疫、食品上药品安全等各项工作;提供法律服务，构建权益保障体系，依法保护各类经济组织和公民的合法权益;构建民间矛盾纠纷调处体系，做好基层信访调解工作，化解农村社会矛盾,确保社会稳定。(六)加强基层组织管理，扩大基层民主。健全村级党组织领导下的充满活力的村民自治机制，推进村务、财务公开;建立健全村级财富积累机制，壮大集体经济实力;扩大农村基层民主，推进农村民主政治建设。</w:t>
      </w:r>
    </w:p>
    <w:p>
      <w:pPr>
        <w:pageBreakBefore w:val="0"/>
        <w:kinsoku/>
        <w:wordWrap/>
        <w:overflowPunct/>
        <w:topLinePunct w:val="0"/>
        <w:autoSpaceDE/>
        <w:autoSpaceDN/>
        <w:bidi w:val="0"/>
        <w:spacing w:line="570" w:lineRule="exact"/>
        <w:ind w:firstLine="643" w:firstLineChars="20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2.部门机构设置及人员构成</w:t>
      </w:r>
    </w:p>
    <w:p>
      <w:pPr>
        <w:pageBreakBefore w:val="0"/>
        <w:kinsoku/>
        <w:wordWrap/>
        <w:overflowPunct/>
        <w:topLinePunct w:val="0"/>
        <w:autoSpaceDE/>
        <w:autoSpaceDN/>
        <w:bidi w:val="0"/>
        <w:spacing w:line="570" w:lineRule="exact"/>
        <w:ind w:firstLine="640" w:firstLineChars="200"/>
        <w:jc w:val="both"/>
        <w:textAlignment w:val="auto"/>
        <w:rPr>
          <w:rFonts w:hint="eastAsia" w:ascii="仿宋_GB2312" w:hAnsi="宋体" w:eastAsia="仿宋_GB2312" w:cs="Arial"/>
          <w:b w:val="0"/>
          <w:bCs/>
          <w:kern w:val="2"/>
          <w:sz w:val="32"/>
          <w:szCs w:val="32"/>
          <w:lang w:val="en-US" w:eastAsia="zh-CN" w:bidi="ar-SA"/>
        </w:rPr>
      </w:pPr>
      <w:r>
        <w:rPr>
          <w:rFonts w:hint="eastAsia" w:ascii="仿宋_GB2312" w:hAnsi="宋体" w:eastAsia="仿宋_GB2312" w:cs="Arial"/>
          <w:b w:val="0"/>
          <w:bCs/>
          <w:kern w:val="2"/>
          <w:sz w:val="32"/>
          <w:szCs w:val="32"/>
          <w:lang w:val="en-US" w:eastAsia="zh-CN" w:bidi="ar-SA"/>
        </w:rPr>
        <w:t>裕民县吉也克镇人民政府</w:t>
      </w:r>
      <w:r>
        <w:rPr>
          <w:rFonts w:hint="eastAsia" w:ascii="仿宋_GB2312" w:hAnsi="宋体" w:eastAsia="仿宋_GB2312" w:cs="Arial"/>
          <w:b w:val="0"/>
          <w:bCs/>
          <w:kern w:val="2"/>
          <w:sz w:val="32"/>
          <w:szCs w:val="32"/>
          <w:lang w:val="en-US" w:eastAsia="zh-Hans" w:bidi="ar-SA"/>
        </w:rPr>
        <w:t>为行政单位，下设</w:t>
      </w:r>
      <w:r>
        <w:rPr>
          <w:rFonts w:hint="eastAsia" w:ascii="仿宋_GB2312" w:hAnsi="宋体" w:eastAsia="仿宋_GB2312" w:cs="Arial"/>
          <w:b w:val="0"/>
          <w:bCs/>
          <w:kern w:val="2"/>
          <w:sz w:val="32"/>
          <w:szCs w:val="32"/>
          <w:lang w:val="en-US" w:eastAsia="zh-CN" w:bidi="ar-SA"/>
        </w:rPr>
        <w:t>五</w:t>
      </w:r>
      <w:r>
        <w:rPr>
          <w:rFonts w:hint="eastAsia" w:ascii="仿宋_GB2312" w:hAnsi="宋体" w:eastAsia="仿宋_GB2312" w:cs="Arial"/>
          <w:b w:val="0"/>
          <w:bCs/>
          <w:kern w:val="2"/>
          <w:sz w:val="32"/>
          <w:szCs w:val="32"/>
          <w:lang w:val="en-US" w:eastAsia="zh-Hans" w:bidi="ar-SA"/>
        </w:rPr>
        <w:t>个办公室</w:t>
      </w:r>
      <w:r>
        <w:rPr>
          <w:rFonts w:hint="eastAsia" w:ascii="仿宋_GB2312" w:hAnsi="宋体" w:eastAsia="仿宋_GB2312" w:cs="Arial"/>
          <w:b w:val="0"/>
          <w:bCs/>
          <w:kern w:val="2"/>
          <w:sz w:val="32"/>
          <w:szCs w:val="32"/>
          <w:lang w:val="en-US" w:eastAsia="zh-CN" w:bidi="ar-SA"/>
        </w:rPr>
        <w:t>及六大中心</w:t>
      </w:r>
      <w:r>
        <w:rPr>
          <w:rFonts w:hint="eastAsia" w:ascii="仿宋_GB2312" w:hAnsi="宋体" w:eastAsia="仿宋_GB2312" w:cs="Arial"/>
          <w:b w:val="0"/>
          <w:bCs/>
          <w:kern w:val="2"/>
          <w:sz w:val="32"/>
          <w:szCs w:val="32"/>
          <w:lang w:val="en-US" w:eastAsia="zh-Hans" w:bidi="ar-SA"/>
        </w:rPr>
        <w:t>，分别为：</w:t>
      </w:r>
      <w:r>
        <w:rPr>
          <w:rFonts w:hint="eastAsia" w:ascii="仿宋_GB2312" w:hAnsi="宋体" w:eastAsia="仿宋_GB2312" w:cs="Arial"/>
          <w:b w:val="0"/>
          <w:bCs/>
          <w:kern w:val="2"/>
          <w:sz w:val="32"/>
          <w:szCs w:val="32"/>
          <w:lang w:val="en-US" w:eastAsia="zh-CN" w:bidi="ar-SA"/>
        </w:rPr>
        <w:t>分别为党政办公室、党建办公室、经济发展办公室、社会事务办公室、综合执法办公室、吉也克镇人民政府社会保障（民政）服务中心（退役军人服务站）、吉也克镇人民政府人口和计划生育信息管理中心、吉也克镇人民政府农业（畜牧业）发展服务中心吉也克镇农村合作经济（统计）发展中心（财政所）、吉也克镇人民政府规划建设发展中心（环境保护工作站）、吉也克镇人民政府党群服务中心（文体广电旅游服务中心）等11个科室</w:t>
      </w:r>
      <w:r>
        <w:rPr>
          <w:rFonts w:hint="eastAsia" w:ascii="仿宋_GB2312" w:hAnsi="宋体" w:eastAsia="仿宋_GB2312" w:cs="Arial"/>
          <w:b w:val="0"/>
          <w:bCs/>
          <w:kern w:val="2"/>
          <w:sz w:val="32"/>
          <w:szCs w:val="32"/>
          <w:lang w:val="en-US" w:eastAsia="zh-Hans" w:bidi="ar-SA"/>
        </w:rPr>
        <w:t>。</w:t>
      </w:r>
    </w:p>
    <w:p>
      <w:pPr>
        <w:pageBreakBefore w:val="0"/>
        <w:kinsoku/>
        <w:wordWrap/>
        <w:overflowPunct/>
        <w:topLinePunct w:val="0"/>
        <w:autoSpaceDE/>
        <w:autoSpaceDN/>
        <w:bidi w:val="0"/>
        <w:spacing w:line="570" w:lineRule="exact"/>
        <w:ind w:firstLine="640" w:firstLineChars="200"/>
        <w:jc w:val="both"/>
        <w:textAlignment w:val="auto"/>
        <w:rPr>
          <w:rFonts w:hint="eastAsia" w:ascii="仿宋_GB2312" w:hAnsi="宋体" w:eastAsia="仿宋_GB2312" w:cs="Arial"/>
          <w:b w:val="0"/>
          <w:bCs/>
          <w:kern w:val="2"/>
          <w:sz w:val="32"/>
          <w:szCs w:val="32"/>
          <w:lang w:val="en-US" w:eastAsia="zh-CN" w:bidi="ar-SA"/>
        </w:rPr>
      </w:pPr>
      <w:r>
        <w:rPr>
          <w:rFonts w:hint="eastAsia" w:ascii="仿宋_GB2312" w:hAnsi="宋体" w:eastAsia="仿宋_GB2312" w:cs="Arial"/>
          <w:b w:val="0"/>
          <w:bCs/>
          <w:kern w:val="2"/>
          <w:sz w:val="32"/>
          <w:szCs w:val="32"/>
          <w:lang w:val="en-US" w:eastAsia="zh-CN" w:bidi="ar-SA"/>
        </w:rPr>
        <w:t>编制人数为80人，其中：行政人员编制24人、工勤人员0人、参公人员0人、事业编制56人。实有在职人数77人，其中：行政在职24人、工勤0人、参公0</w:t>
      </w:r>
      <w:r>
        <w:rPr>
          <w:rFonts w:hint="eastAsia" w:ascii="仿宋_GB2312" w:hAnsi="宋体" w:eastAsia="仿宋_GB2312" w:cs="Arial"/>
          <w:b w:val="0"/>
          <w:bCs/>
          <w:kern w:val="2"/>
          <w:sz w:val="32"/>
          <w:szCs w:val="32"/>
          <w:lang w:val="en-US" w:eastAsia="zh-Hans" w:bidi="ar-SA"/>
        </w:rPr>
        <w:t>人</w:t>
      </w:r>
      <w:r>
        <w:rPr>
          <w:rFonts w:hint="eastAsia" w:ascii="仿宋_GB2312" w:hAnsi="宋体" w:eastAsia="仿宋_GB2312" w:cs="Arial"/>
          <w:b w:val="0"/>
          <w:bCs/>
          <w:kern w:val="2"/>
          <w:sz w:val="32"/>
          <w:szCs w:val="32"/>
          <w:lang w:val="en-US" w:eastAsia="zh-CN" w:bidi="ar-SA"/>
        </w:rPr>
        <w:t>、事业在职53人。离退休人员34人，其中：行政退休人员14人、事业退休20人。</w:t>
      </w:r>
    </w:p>
    <w:p>
      <w:pPr>
        <w:pStyle w:val="4"/>
        <w:pageBreakBefore w:val="0"/>
        <w:numPr>
          <w:ilvl w:val="0"/>
          <w:numId w:val="1"/>
        </w:numPr>
        <w:kinsoku/>
        <w:wordWrap/>
        <w:overflowPunct/>
        <w:topLinePunct w:val="0"/>
        <w:autoSpaceDE/>
        <w:autoSpaceDN/>
        <w:bidi w:val="0"/>
        <w:spacing w:line="570" w:lineRule="exact"/>
        <w:ind w:firstLine="643" w:firstLineChars="200"/>
        <w:jc w:val="both"/>
        <w:textAlignment w:val="auto"/>
        <w:rPr>
          <w:rFonts w:hint="eastAsia" w:ascii="楷体_GB2312" w:eastAsia="楷体_GB2312"/>
          <w:color w:val="000000" w:themeColor="text1"/>
          <w:szCs w:val="32"/>
          <w:lang w:val="en-US" w:eastAsia="zh-CN"/>
          <w14:textFill>
            <w14:solidFill>
              <w14:schemeClr w14:val="tx1"/>
            </w14:solidFill>
          </w14:textFill>
        </w:rPr>
      </w:pPr>
      <w:r>
        <w:rPr>
          <w:rFonts w:hint="eastAsia" w:ascii="楷体_GB2312" w:eastAsia="楷体_GB2312"/>
          <w:color w:val="000000" w:themeColor="text1"/>
          <w:szCs w:val="32"/>
          <w:lang w:val="en-US" w:eastAsia="zh-CN"/>
          <w14:textFill>
            <w14:solidFill>
              <w14:schemeClr w14:val="tx1"/>
            </w14:solidFill>
          </w14:textFill>
        </w:rPr>
        <w:t>部门</w:t>
      </w:r>
      <w:r>
        <w:rPr>
          <w:rFonts w:hint="eastAsia" w:ascii="楷体_GB2312" w:eastAsia="楷体_GB2312"/>
          <w:color w:val="000000" w:themeColor="text1"/>
          <w:szCs w:val="32"/>
          <w14:textFill>
            <w14:solidFill>
              <w14:schemeClr w14:val="tx1"/>
            </w14:solidFill>
          </w14:textFill>
        </w:rPr>
        <w:t>单位</w:t>
      </w:r>
      <w:r>
        <w:rPr>
          <w:rFonts w:hint="eastAsia" w:ascii="楷体_GB2312" w:eastAsia="楷体_GB2312"/>
          <w:color w:val="000000" w:themeColor="text1"/>
          <w:szCs w:val="32"/>
          <w:lang w:val="en-US" w:eastAsia="zh-CN"/>
          <w14:textFill>
            <w14:solidFill>
              <w14:schemeClr w14:val="tx1"/>
            </w14:solidFill>
          </w14:textFill>
        </w:rPr>
        <w:t>年度重点工作</w:t>
      </w:r>
    </w:p>
    <w:p>
      <w:pPr>
        <w:pageBreakBefore w:val="0"/>
        <w:kinsoku/>
        <w:wordWrap/>
        <w:overflowPunct/>
        <w:topLinePunct w:val="0"/>
        <w:autoSpaceDE/>
        <w:autoSpaceDN/>
        <w:bidi w:val="0"/>
        <w:spacing w:line="570" w:lineRule="exact"/>
        <w:ind w:firstLine="643" w:firstLineChars="200"/>
        <w:jc w:val="both"/>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1.年度工作计划</w:t>
      </w:r>
    </w:p>
    <w:p>
      <w:pPr>
        <w:pageBreakBefore w:val="0"/>
        <w:kinsoku/>
        <w:wordWrap/>
        <w:overflowPunct/>
        <w:topLinePunct w:val="0"/>
        <w:autoSpaceDE/>
        <w:autoSpaceDN/>
        <w:bidi w:val="0"/>
        <w:spacing w:line="570" w:lineRule="exact"/>
        <w:ind w:firstLine="640" w:firstLineChars="200"/>
        <w:jc w:val="both"/>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lang w:eastAsia="zh-CN"/>
        </w:rPr>
        <w:t>裕民县吉也克镇人民政府</w:t>
      </w:r>
      <w:r>
        <w:rPr>
          <w:rFonts w:hint="eastAsia" w:ascii="仿宋_GB2312" w:hAnsi="宋体" w:eastAsia="仿宋_GB2312"/>
          <w:b w:val="0"/>
          <w:bCs/>
          <w:sz w:val="32"/>
          <w:szCs w:val="32"/>
        </w:rPr>
        <w:t>202</w:t>
      </w:r>
      <w:r>
        <w:rPr>
          <w:rFonts w:hint="eastAsia" w:ascii="仿宋_GB2312" w:hAnsi="宋体" w:eastAsia="仿宋_GB2312"/>
          <w:b w:val="0"/>
          <w:bCs/>
          <w:sz w:val="32"/>
          <w:szCs w:val="32"/>
          <w:lang w:val="en-US" w:eastAsia="zh-CN"/>
        </w:rPr>
        <w:t>3</w:t>
      </w:r>
      <w:r>
        <w:rPr>
          <w:rFonts w:hint="eastAsia" w:ascii="仿宋_GB2312" w:hAnsi="宋体" w:eastAsia="仿宋_GB2312"/>
          <w:b w:val="0"/>
          <w:bCs/>
          <w:sz w:val="32"/>
          <w:szCs w:val="32"/>
        </w:rPr>
        <w:t>年重点工作计划:贯彻新发展理念，推动镇村振兴。围绕“产业兴旺、生态宜居、镇风文明、治理有效、生活富裕”总要求，积极融入塔城重点开发开放试验区建设，在巩固拓展脱贫</w:t>
      </w:r>
      <w:r>
        <w:rPr>
          <w:rFonts w:hint="eastAsia" w:ascii="仿宋_GB2312" w:hAnsi="宋体" w:eastAsia="仿宋_GB2312"/>
          <w:b w:val="0"/>
          <w:bCs/>
          <w:sz w:val="32"/>
          <w:szCs w:val="32"/>
          <w:lang w:eastAsia="zh-CN"/>
        </w:rPr>
        <w:t>攻坚</w:t>
      </w:r>
      <w:r>
        <w:rPr>
          <w:rFonts w:hint="eastAsia" w:ascii="仿宋_GB2312" w:hAnsi="宋体" w:eastAsia="仿宋_GB2312"/>
          <w:b w:val="0"/>
          <w:bCs/>
          <w:sz w:val="32"/>
          <w:szCs w:val="32"/>
        </w:rPr>
        <w:t>成果</w:t>
      </w:r>
      <w:r>
        <w:rPr>
          <w:rFonts w:hint="eastAsia" w:ascii="仿宋_GB2312" w:hAnsi="宋体" w:eastAsia="仿宋_GB2312"/>
          <w:b w:val="0"/>
          <w:bCs/>
          <w:sz w:val="32"/>
          <w:szCs w:val="32"/>
          <w:lang w:eastAsia="zh-CN"/>
        </w:rPr>
        <w:t>同乡</w:t>
      </w:r>
      <w:r>
        <w:rPr>
          <w:rFonts w:hint="eastAsia" w:ascii="仿宋_GB2312" w:hAnsi="宋体" w:eastAsia="仿宋_GB2312"/>
          <w:b w:val="0"/>
          <w:bCs/>
          <w:sz w:val="32"/>
          <w:szCs w:val="32"/>
        </w:rPr>
        <w:t>村振兴有效衔接上持续用力，对全镇12个村队科学划分为成熟型、成长型、待哺型村队，梯次进行，稳步推进美丽镇村建设，实现农业高质高效、镇村宜居宜业、农民富裕富足。一是调整优化产业结构。按照“稳粮、促畜、强果、兴特色”的要求，加大调结构、转方式力度，稳定粮食生产，发展现代畜牧业，做大做强特色林果业，扩大特色优势产业，提高农业综合生产能力，构建现代农业经营体系，积极发展“一村一品”，发展我镇农牧户庭院经济，推进农畜产品深加工，打造吉也克镇人民政府特色产业。</w:t>
      </w:r>
    </w:p>
    <w:p>
      <w:pPr>
        <w:pageBreakBefore w:val="0"/>
        <w:kinsoku/>
        <w:wordWrap/>
        <w:overflowPunct/>
        <w:topLinePunct w:val="0"/>
        <w:autoSpaceDE/>
        <w:autoSpaceDN/>
        <w:bidi w:val="0"/>
        <w:spacing w:line="570" w:lineRule="exact"/>
        <w:ind w:firstLine="643" w:firstLineChars="20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2.年度总体绩效目标</w:t>
      </w:r>
    </w:p>
    <w:p>
      <w:pPr>
        <w:pStyle w:val="16"/>
        <w:keepNext w:val="0"/>
        <w:keepLines w:val="0"/>
        <w:pageBreakBefore w:val="0"/>
        <w:widowControl w:val="0"/>
        <w:numPr>
          <w:ilvl w:val="0"/>
          <w:numId w:val="0"/>
        </w:numPr>
        <w:kinsoku/>
        <w:wordWrap/>
        <w:overflowPunct/>
        <w:topLinePunct w:val="0"/>
        <w:autoSpaceDE/>
        <w:autoSpaceDN/>
        <w:bidi w:val="0"/>
        <w:adjustRightInd/>
        <w:snapToGrid w:val="0"/>
        <w:spacing w:line="570" w:lineRule="exact"/>
        <w:ind w:firstLine="640" w:firstLineChars="200"/>
        <w:jc w:val="both"/>
        <w:textAlignment w:val="auto"/>
        <w:rPr>
          <w:rStyle w:val="14"/>
          <w:rFonts w:hint="eastAsia" w:ascii="仿宋_GB2312" w:hAnsi="仿宋_GB2312" w:eastAsia="仿宋_GB2312" w:cs="仿宋_GB2312"/>
          <w:b w:val="0"/>
          <w:color w:val="FF0000"/>
          <w:sz w:val="32"/>
          <w:szCs w:val="32"/>
          <w:lang w:val="en-US" w:eastAsia="zh-CN" w:bidi="ar"/>
        </w:rPr>
      </w:pPr>
      <w:r>
        <w:rPr>
          <w:rStyle w:val="14"/>
          <w:rFonts w:hint="eastAsia" w:ascii="仿宋_GB2312" w:hAnsi="仿宋_GB2312" w:eastAsia="仿宋_GB2312" w:cs="仿宋_GB2312"/>
          <w:b w:val="0"/>
          <w:color w:val="000000" w:themeColor="text1"/>
          <w:sz w:val="32"/>
          <w:szCs w:val="32"/>
          <w:lang w:val="en-US" w:eastAsia="zh-CN" w:bidi="ar"/>
          <w14:textFill>
            <w14:solidFill>
              <w14:schemeClr w14:val="tx1"/>
            </w14:solidFill>
          </w14:textFill>
        </w:rPr>
        <w:t>保障镇政府人员工资及时发放，日常办公活动正常开展，人员补助及时发放，本行政区域内的民政、计划生育、文化教育、卫生、体育等社会公益事业的综合性工作，维护一切经济单位和个人的正当经济权益，取缔非法经济活动，调解和处理民事纠纷，打击刑事犯罪维护社会稳定。切实提高乡政府行政运行能力。为提升乡政府基层政权建设，改善村容村貌，提升群众幸福指数，协调好本乡经济交流与合作，项目开发，不断培育市场体系，组织经济运行，促进经济发展，制定并组织实施乡村建设规划，重点工程建设，地方道路建设及公共设施，水利设施的管理，负责土地、林木、水等自然资源和生态环境的保护，做好护林防火工作。切实推进各项目支出正常运行。</w:t>
      </w:r>
      <w:r>
        <w:rPr>
          <w:rStyle w:val="14"/>
          <w:rFonts w:hint="eastAsia" w:ascii="仿宋_GB2312" w:hAnsi="仿宋_GB2312" w:eastAsia="仿宋_GB2312" w:cs="仿宋_GB2312"/>
          <w:b w:val="0"/>
          <w:color w:val="FF0000"/>
          <w:sz w:val="32"/>
          <w:szCs w:val="32"/>
          <w:lang w:val="en-US" w:eastAsia="zh-CN" w:bidi="ar"/>
        </w:rPr>
        <w:t xml:space="preserve"> </w:t>
      </w:r>
    </w:p>
    <w:p>
      <w:pPr>
        <w:pageBreakBefore w:val="0"/>
        <w:kinsoku/>
        <w:wordWrap/>
        <w:overflowPunct/>
        <w:topLinePunct w:val="0"/>
        <w:autoSpaceDE/>
        <w:autoSpaceDN/>
        <w:bidi w:val="0"/>
        <w:spacing w:line="570" w:lineRule="exact"/>
        <w:ind w:firstLine="643" w:firstLineChars="200"/>
        <w:jc w:val="both"/>
        <w:textAlignment w:val="auto"/>
        <w:rPr>
          <w:rFonts w:hint="eastAsia" w:ascii="仿宋_GB2312" w:hAnsi="仿宋_GB2312" w:eastAsia="仿宋_GB2312" w:cs="仿宋_GB2312"/>
          <w:b/>
          <w:bCs/>
          <w:sz w:val="32"/>
          <w:szCs w:val="32"/>
          <w:lang w:val="en-US" w:eastAsia="zh-Hans"/>
        </w:rPr>
      </w:pPr>
      <w:r>
        <w:rPr>
          <w:rFonts w:hint="eastAsia" w:ascii="仿宋_GB2312" w:hAnsi="仿宋_GB2312" w:eastAsia="仿宋_GB2312" w:cs="仿宋_GB2312"/>
          <w:b/>
          <w:bCs/>
          <w:sz w:val="32"/>
          <w:szCs w:val="32"/>
          <w:lang w:val="en-US" w:eastAsia="zh-CN"/>
        </w:rPr>
        <w:t>3.机构人员保障情况</w:t>
      </w:r>
    </w:p>
    <w:p>
      <w:pPr>
        <w:pageBreakBefore w:val="0"/>
        <w:kinsoku/>
        <w:wordWrap/>
        <w:overflowPunct/>
        <w:topLinePunct w:val="0"/>
        <w:autoSpaceDE/>
        <w:autoSpaceDN/>
        <w:bidi w:val="0"/>
        <w:snapToGrid w:val="0"/>
        <w:spacing w:line="570" w:lineRule="exact"/>
        <w:ind w:firstLine="640" w:firstLineChars="200"/>
        <w:jc w:val="both"/>
        <w:textAlignment w:val="auto"/>
        <w:rPr>
          <w:rStyle w:val="14"/>
          <w:rFonts w:hint="eastAsia" w:ascii="仿宋" w:hAnsi="仿宋" w:eastAsia="仿宋" w:cs="仿宋"/>
          <w:b w:val="0"/>
          <w:sz w:val="32"/>
          <w:szCs w:val="32"/>
          <w:highlight w:val="yellow"/>
          <w:lang w:bidi="ar"/>
        </w:rPr>
      </w:pPr>
      <w:r>
        <w:rPr>
          <w:rStyle w:val="14"/>
          <w:rFonts w:hint="eastAsia" w:ascii="仿宋_GB2312" w:hAnsi="仿宋_GB2312" w:eastAsia="仿宋_GB2312" w:cs="仿宋_GB2312"/>
          <w:b w:val="0"/>
          <w:bCs/>
          <w:color w:val="000000" w:themeColor="text1"/>
          <w:sz w:val="32"/>
          <w:szCs w:val="32"/>
          <w:lang w:eastAsia="zh-CN" w:bidi="ar"/>
          <w14:textFill>
            <w14:solidFill>
              <w14:schemeClr w14:val="tx1"/>
            </w14:solidFill>
          </w14:textFill>
        </w:rPr>
        <w:t>裕民县吉也克镇人民政府</w:t>
      </w:r>
      <w:r>
        <w:rPr>
          <w:rStyle w:val="14"/>
          <w:rFonts w:hint="eastAsia" w:ascii="仿宋_GB2312" w:hAnsi="仿宋_GB2312" w:eastAsia="仿宋_GB2312" w:cs="仿宋_GB2312"/>
          <w:b w:val="0"/>
          <w:color w:val="auto"/>
          <w:sz w:val="32"/>
          <w:szCs w:val="32"/>
          <w:lang w:val="en-US" w:eastAsia="zh-CN" w:bidi="ar"/>
        </w:rPr>
        <w:t>2023年通过本部门预算支出，</w:t>
      </w:r>
      <w:r>
        <w:rPr>
          <w:rStyle w:val="14"/>
          <w:rFonts w:hint="eastAsia" w:ascii="仿宋_GB2312" w:hAnsi="仿宋_GB2312" w:eastAsia="仿宋_GB2312" w:cs="仿宋_GB2312"/>
          <w:b w:val="0"/>
          <w:color w:val="auto"/>
          <w:sz w:val="32"/>
          <w:szCs w:val="32"/>
          <w:lang w:eastAsia="zh-Hans" w:bidi="ar"/>
        </w:rPr>
        <w:t>确保</w:t>
      </w:r>
      <w:r>
        <w:rPr>
          <w:rStyle w:val="14"/>
          <w:rFonts w:hint="eastAsia" w:ascii="仿宋_GB2312" w:hAnsi="仿宋_GB2312" w:eastAsia="仿宋_GB2312" w:cs="仿宋_GB2312"/>
          <w:b w:val="0"/>
          <w:color w:val="auto"/>
          <w:sz w:val="32"/>
          <w:szCs w:val="32"/>
          <w:lang w:val="en-US" w:eastAsia="zh-CN" w:bidi="ar"/>
        </w:rPr>
        <w:t>了77名</w:t>
      </w:r>
      <w:r>
        <w:rPr>
          <w:rStyle w:val="14"/>
          <w:rFonts w:hint="eastAsia" w:ascii="仿宋_GB2312" w:hAnsi="仿宋_GB2312" w:eastAsia="仿宋_GB2312" w:cs="仿宋_GB2312"/>
          <w:b w:val="0"/>
          <w:color w:val="auto"/>
          <w:sz w:val="32"/>
          <w:szCs w:val="32"/>
          <w:lang w:eastAsia="zh-Hans" w:bidi="ar"/>
        </w:rPr>
        <w:t>在职人员的工资、津贴、补贴、社保、绩效、公积金等以及</w:t>
      </w:r>
      <w:r>
        <w:rPr>
          <w:rStyle w:val="14"/>
          <w:rFonts w:hint="eastAsia" w:ascii="仿宋_GB2312" w:hAnsi="仿宋_GB2312" w:eastAsia="仿宋_GB2312" w:cs="仿宋_GB2312"/>
          <w:b w:val="0"/>
          <w:color w:val="auto"/>
          <w:sz w:val="32"/>
          <w:szCs w:val="32"/>
          <w:lang w:val="en-US" w:eastAsia="zh-CN" w:bidi="ar"/>
        </w:rPr>
        <w:t>34名</w:t>
      </w:r>
      <w:r>
        <w:rPr>
          <w:rStyle w:val="14"/>
          <w:rFonts w:hint="eastAsia" w:ascii="仿宋_GB2312" w:hAnsi="仿宋_GB2312" w:eastAsia="仿宋_GB2312" w:cs="仿宋_GB2312"/>
          <w:b w:val="0"/>
          <w:color w:val="auto"/>
          <w:sz w:val="32"/>
          <w:szCs w:val="32"/>
          <w:lang w:eastAsia="zh-Hans" w:bidi="ar"/>
        </w:rPr>
        <w:t>离退休人员的工资、医疗费等人员保障性经费能够依规、按时、足额发放或缴纳，</w:t>
      </w:r>
      <w:r>
        <w:rPr>
          <w:rStyle w:val="14"/>
          <w:rFonts w:hint="eastAsia" w:ascii="仿宋_GB2312" w:hAnsi="仿宋_GB2312" w:eastAsia="仿宋_GB2312" w:cs="仿宋_GB2312"/>
          <w:b w:val="0"/>
          <w:color w:val="000000" w:themeColor="text1"/>
          <w:sz w:val="32"/>
          <w:szCs w:val="32"/>
          <w:lang w:eastAsia="zh-Hans" w:bidi="ar"/>
          <w14:textFill>
            <w14:solidFill>
              <w14:schemeClr w14:val="tx1"/>
            </w14:solidFill>
          </w14:textFill>
        </w:rPr>
        <w:t>提升部门人员工作积极性和服务质量。</w:t>
      </w:r>
      <w:r>
        <w:rPr>
          <w:rStyle w:val="14"/>
          <w:rFonts w:hint="eastAsia" w:ascii="仿宋_GB2312" w:hAnsi="仿宋_GB2312" w:eastAsia="仿宋_GB2312" w:cs="仿宋_GB2312"/>
          <w:b w:val="0"/>
          <w:color w:val="000000" w:themeColor="text1"/>
          <w:sz w:val="32"/>
          <w:szCs w:val="32"/>
          <w:lang w:val="en-US" w:eastAsia="zh-CN" w:bidi="ar"/>
          <w14:textFill>
            <w14:solidFill>
              <w14:schemeClr w14:val="tx1"/>
            </w14:solidFill>
          </w14:textFill>
        </w:rPr>
        <w:t>同时，</w:t>
      </w:r>
      <w:r>
        <w:rPr>
          <w:rStyle w:val="14"/>
          <w:rFonts w:hint="eastAsia" w:ascii="仿宋_GB2312" w:hAnsi="仿宋_GB2312" w:eastAsia="仿宋_GB2312" w:cs="仿宋_GB2312"/>
          <w:b w:val="0"/>
          <w:color w:val="000000" w:themeColor="text1"/>
          <w:sz w:val="32"/>
          <w:szCs w:val="32"/>
          <w:lang w:eastAsia="zh-Hans" w:bidi="ar"/>
          <w14:textFill>
            <w14:solidFill>
              <w14:schemeClr w14:val="tx1"/>
            </w14:solidFill>
          </w14:textFill>
        </w:rPr>
        <w:t>保障</w:t>
      </w:r>
      <w:r>
        <w:rPr>
          <w:rStyle w:val="14"/>
          <w:rFonts w:hint="eastAsia" w:ascii="仿宋_GB2312" w:hAnsi="仿宋_GB2312" w:eastAsia="仿宋_GB2312" w:cs="仿宋_GB2312"/>
          <w:b w:val="0"/>
          <w:color w:val="000000" w:themeColor="text1"/>
          <w:sz w:val="32"/>
          <w:szCs w:val="32"/>
          <w:lang w:val="en-US" w:eastAsia="zh-CN" w:bidi="ar"/>
          <w14:textFill>
            <w14:solidFill>
              <w14:schemeClr w14:val="tx1"/>
            </w14:solidFill>
          </w14:textFill>
        </w:rPr>
        <w:t>了</w:t>
      </w:r>
      <w:r>
        <w:rPr>
          <w:rStyle w:val="14"/>
          <w:rFonts w:hint="eastAsia" w:ascii="仿宋_GB2312" w:hAnsi="仿宋_GB2312" w:eastAsia="仿宋_GB2312" w:cs="仿宋_GB2312"/>
          <w:b w:val="0"/>
          <w:color w:val="000000" w:themeColor="text1"/>
          <w:sz w:val="32"/>
          <w:szCs w:val="32"/>
          <w:lang w:eastAsia="zh-Hans" w:bidi="ar"/>
          <w14:textFill>
            <w14:solidFill>
              <w14:schemeClr w14:val="tx1"/>
            </w14:solidFill>
          </w14:textFill>
        </w:rPr>
        <w:t>部门</w:t>
      </w:r>
      <w:r>
        <w:rPr>
          <w:rStyle w:val="14"/>
          <w:rFonts w:hint="eastAsia" w:ascii="仿宋_GB2312" w:hAnsi="仿宋_GB2312" w:eastAsia="仿宋_GB2312" w:cs="仿宋_GB2312"/>
          <w:b w:val="0"/>
          <w:color w:val="000000" w:themeColor="text1"/>
          <w:sz w:val="32"/>
          <w:szCs w:val="32"/>
          <w:lang w:val="en-US" w:eastAsia="zh-CN" w:bidi="ar"/>
          <w14:textFill>
            <w14:solidFill>
              <w14:schemeClr w14:val="tx1"/>
            </w14:solidFill>
          </w14:textFill>
        </w:rPr>
        <w:t>全年正</w:t>
      </w:r>
      <w:r>
        <w:rPr>
          <w:rStyle w:val="14"/>
          <w:rFonts w:hint="eastAsia" w:ascii="仿宋_GB2312" w:hAnsi="仿宋_GB2312" w:eastAsia="仿宋_GB2312" w:cs="仿宋_GB2312"/>
          <w:b w:val="0"/>
          <w:color w:val="000000" w:themeColor="text1"/>
          <w:sz w:val="32"/>
          <w:szCs w:val="32"/>
          <w:lang w:eastAsia="zh-Hans" w:bidi="ar"/>
          <w14:textFill>
            <w14:solidFill>
              <w14:schemeClr w14:val="tx1"/>
            </w14:solidFill>
          </w14:textFill>
        </w:rPr>
        <w:t>常运转，为部门正常履职和开展综合性事务管理提供有效支撑。</w:t>
      </w:r>
    </w:p>
    <w:p>
      <w:pPr>
        <w:pageBreakBefore w:val="0"/>
        <w:kinsoku/>
        <w:wordWrap/>
        <w:overflowPunct/>
        <w:topLinePunct w:val="0"/>
        <w:autoSpaceDE/>
        <w:autoSpaceDN/>
        <w:bidi w:val="0"/>
        <w:snapToGrid w:val="0"/>
        <w:spacing w:line="570" w:lineRule="exact"/>
        <w:ind w:firstLine="640" w:firstLineChars="200"/>
        <w:jc w:val="both"/>
        <w:textAlignment w:val="auto"/>
        <w:rPr>
          <w:rStyle w:val="14"/>
          <w:rFonts w:hint="eastAsia" w:ascii="仿宋_GB2312" w:hAnsi="仿宋_GB2312" w:eastAsia="仿宋_GB2312" w:cs="仿宋_GB2312"/>
          <w:b w:val="0"/>
          <w:color w:val="auto"/>
          <w:sz w:val="32"/>
          <w:szCs w:val="32"/>
          <w:lang w:val="en-US" w:eastAsia="zh-CN" w:bidi="ar"/>
        </w:rPr>
      </w:pPr>
      <w:r>
        <w:rPr>
          <w:rStyle w:val="14"/>
          <w:rFonts w:hint="eastAsia" w:ascii="仿宋_GB2312" w:hAnsi="仿宋_GB2312" w:eastAsia="仿宋_GB2312" w:cs="仿宋_GB2312"/>
          <w:b w:val="0"/>
          <w:color w:val="auto"/>
          <w:sz w:val="32"/>
          <w:szCs w:val="32"/>
          <w:lang w:val="en-US" w:eastAsia="zh-CN" w:bidi="ar"/>
        </w:rPr>
        <w:t>为进一步推进单位年度重点工作落地生效，我单位成立了以书记为组长、各副书记为副组长，各业务股室和财务室为成员的重点工作小组，办公室设在财务室，负责牵头完成年度重点工作。</w:t>
      </w:r>
    </w:p>
    <w:p>
      <w:pPr>
        <w:pageBreakBefore w:val="0"/>
        <w:kinsoku/>
        <w:wordWrap/>
        <w:overflowPunct/>
        <w:topLinePunct w:val="0"/>
        <w:autoSpaceDE/>
        <w:autoSpaceDN/>
        <w:bidi w:val="0"/>
        <w:snapToGrid w:val="0"/>
        <w:spacing w:line="570" w:lineRule="exact"/>
        <w:ind w:firstLine="640" w:firstLineChars="200"/>
        <w:jc w:val="both"/>
        <w:textAlignment w:val="auto"/>
        <w:rPr>
          <w:rStyle w:val="14"/>
          <w:rFonts w:hint="eastAsia" w:ascii="仿宋_GB2312" w:hAnsi="仿宋_GB2312" w:eastAsia="仿宋_GB2312" w:cs="仿宋_GB2312"/>
          <w:b w:val="0"/>
          <w:color w:val="auto"/>
          <w:sz w:val="32"/>
          <w:szCs w:val="32"/>
          <w:lang w:val="en-US" w:eastAsia="zh-CN" w:bidi="ar"/>
        </w:rPr>
      </w:pPr>
      <w:r>
        <w:rPr>
          <w:rStyle w:val="14"/>
          <w:rFonts w:hint="eastAsia" w:ascii="仿宋_GB2312" w:hAnsi="仿宋_GB2312" w:eastAsia="仿宋_GB2312" w:cs="仿宋_GB2312"/>
          <w:b w:val="0"/>
          <w:color w:val="auto"/>
          <w:sz w:val="32"/>
          <w:szCs w:val="32"/>
          <w:lang w:val="en-US" w:eastAsia="zh-CN" w:bidi="ar"/>
        </w:rPr>
        <w:t>吉也克镇人民政府人民政府年度重点工作小组成员如下：</w:t>
      </w:r>
    </w:p>
    <w:p>
      <w:pPr>
        <w:pageBreakBefore w:val="0"/>
        <w:kinsoku/>
        <w:wordWrap/>
        <w:overflowPunct/>
        <w:topLinePunct w:val="0"/>
        <w:autoSpaceDE/>
        <w:autoSpaceDN/>
        <w:bidi w:val="0"/>
        <w:snapToGrid w:val="0"/>
        <w:spacing w:line="570" w:lineRule="exact"/>
        <w:ind w:firstLine="640" w:firstLineChars="200"/>
        <w:jc w:val="both"/>
        <w:textAlignment w:val="auto"/>
        <w:rPr>
          <w:rStyle w:val="14"/>
          <w:rFonts w:hint="eastAsia" w:ascii="仿宋_GB2312" w:hAnsi="仿宋_GB2312" w:eastAsia="仿宋_GB2312" w:cs="仿宋_GB2312"/>
          <w:b w:val="0"/>
          <w:color w:val="auto"/>
          <w:sz w:val="32"/>
          <w:szCs w:val="32"/>
          <w:lang w:val="en-US" w:eastAsia="zh-CN" w:bidi="ar"/>
        </w:rPr>
      </w:pPr>
      <w:r>
        <w:rPr>
          <w:rStyle w:val="14"/>
          <w:rFonts w:hint="eastAsia" w:ascii="仿宋_GB2312" w:hAnsi="仿宋_GB2312" w:eastAsia="仿宋_GB2312" w:cs="仿宋_GB2312"/>
          <w:b w:val="0"/>
          <w:color w:val="auto"/>
          <w:sz w:val="32"/>
          <w:szCs w:val="32"/>
          <w:lang w:val="en-US" w:eastAsia="zh-CN" w:bidi="ar"/>
        </w:rPr>
        <w:t>组  长：潘文超             镇党委书记</w:t>
      </w:r>
    </w:p>
    <w:p>
      <w:pPr>
        <w:pageBreakBefore w:val="0"/>
        <w:kinsoku/>
        <w:wordWrap/>
        <w:overflowPunct/>
        <w:topLinePunct w:val="0"/>
        <w:autoSpaceDE/>
        <w:autoSpaceDN/>
        <w:bidi w:val="0"/>
        <w:snapToGrid w:val="0"/>
        <w:spacing w:line="570" w:lineRule="exact"/>
        <w:ind w:firstLine="1920" w:firstLineChars="600"/>
        <w:jc w:val="both"/>
        <w:textAlignment w:val="auto"/>
        <w:rPr>
          <w:rStyle w:val="14"/>
          <w:rFonts w:hint="eastAsia" w:ascii="仿宋_GB2312" w:hAnsi="仿宋_GB2312" w:eastAsia="仿宋_GB2312" w:cs="仿宋_GB2312"/>
          <w:b w:val="0"/>
          <w:color w:val="auto"/>
          <w:sz w:val="32"/>
          <w:szCs w:val="32"/>
          <w:lang w:val="en-US" w:eastAsia="zh-CN" w:bidi="ar"/>
        </w:rPr>
      </w:pPr>
      <w:r>
        <w:rPr>
          <w:rStyle w:val="14"/>
          <w:rFonts w:hint="eastAsia" w:ascii="仿宋_GB2312" w:hAnsi="仿宋_GB2312" w:eastAsia="仿宋_GB2312" w:cs="仿宋_GB2312"/>
          <w:b w:val="0"/>
          <w:color w:val="auto"/>
          <w:sz w:val="32"/>
          <w:szCs w:val="32"/>
          <w:lang w:val="en-US" w:eastAsia="zh-CN" w:bidi="ar"/>
        </w:rPr>
        <w:t>奥旦别克·哈布得尔 镇党委副书记 政府镇长</w:t>
      </w:r>
      <w:r>
        <w:rPr>
          <w:rStyle w:val="14"/>
          <w:rFonts w:hint="eastAsia" w:ascii="仿宋_GB2312" w:hAnsi="仿宋_GB2312" w:eastAsia="仿宋_GB2312" w:cs="仿宋_GB2312"/>
          <w:b w:val="0"/>
          <w:color w:val="auto"/>
          <w:sz w:val="32"/>
          <w:szCs w:val="32"/>
          <w:lang w:val="en-US" w:eastAsia="zh-CN" w:bidi="ar"/>
        </w:rPr>
        <w:cr/>
      </w:r>
      <w:r>
        <w:rPr>
          <w:rStyle w:val="14"/>
          <w:rFonts w:hint="eastAsia" w:ascii="仿宋_GB2312" w:hAnsi="仿宋_GB2312" w:eastAsia="仿宋_GB2312" w:cs="仿宋_GB2312"/>
          <w:b w:val="0"/>
          <w:color w:val="auto"/>
          <w:sz w:val="32"/>
          <w:szCs w:val="32"/>
          <w:lang w:val="en-US" w:eastAsia="zh-CN" w:bidi="ar"/>
        </w:rPr>
        <w:t>副组长：王海江     镇党委副书记、宣传委员</w:t>
      </w:r>
    </w:p>
    <w:p>
      <w:pPr>
        <w:pageBreakBefore w:val="0"/>
        <w:kinsoku/>
        <w:wordWrap/>
        <w:overflowPunct/>
        <w:topLinePunct w:val="0"/>
        <w:autoSpaceDE/>
        <w:autoSpaceDN/>
        <w:bidi w:val="0"/>
        <w:snapToGrid w:val="0"/>
        <w:spacing w:line="570" w:lineRule="exact"/>
        <w:ind w:firstLine="640" w:firstLineChars="200"/>
        <w:jc w:val="both"/>
        <w:textAlignment w:val="auto"/>
        <w:rPr>
          <w:rStyle w:val="14"/>
          <w:rFonts w:hint="eastAsia" w:ascii="仿宋_GB2312" w:hAnsi="仿宋_GB2312" w:eastAsia="仿宋_GB2312" w:cs="仿宋_GB2312"/>
          <w:b w:val="0"/>
          <w:color w:val="auto"/>
          <w:sz w:val="32"/>
          <w:szCs w:val="32"/>
          <w:lang w:val="en-US" w:eastAsia="zh-CN" w:bidi="ar"/>
        </w:rPr>
      </w:pPr>
      <w:r>
        <w:rPr>
          <w:rStyle w:val="14"/>
          <w:rFonts w:hint="eastAsia" w:ascii="仿宋_GB2312" w:hAnsi="仿宋_GB2312" w:eastAsia="仿宋_GB2312" w:cs="仿宋_GB2312"/>
          <w:b w:val="0"/>
          <w:color w:val="auto"/>
          <w:sz w:val="32"/>
          <w:szCs w:val="32"/>
          <w:lang w:val="en-US" w:eastAsia="zh-CN" w:bidi="ar"/>
        </w:rPr>
        <w:t xml:space="preserve">    景鑫       武装部部长 </w:t>
      </w:r>
    </w:p>
    <w:p>
      <w:pPr>
        <w:pageBreakBefore w:val="0"/>
        <w:kinsoku/>
        <w:wordWrap/>
        <w:overflowPunct/>
        <w:topLinePunct w:val="0"/>
        <w:autoSpaceDE/>
        <w:autoSpaceDN/>
        <w:bidi w:val="0"/>
        <w:snapToGrid w:val="0"/>
        <w:spacing w:line="570" w:lineRule="exact"/>
        <w:ind w:firstLine="640" w:firstLineChars="200"/>
        <w:jc w:val="both"/>
        <w:textAlignment w:val="auto"/>
        <w:rPr>
          <w:rStyle w:val="14"/>
          <w:rFonts w:hint="eastAsia" w:ascii="仿宋_GB2312" w:hAnsi="仿宋_GB2312" w:eastAsia="仿宋_GB2312" w:cs="仿宋_GB2312"/>
          <w:b w:val="0"/>
          <w:color w:val="auto"/>
          <w:sz w:val="32"/>
          <w:szCs w:val="32"/>
          <w:lang w:val="en-US" w:eastAsia="zh-CN" w:bidi="ar"/>
        </w:rPr>
      </w:pPr>
      <w:r>
        <w:rPr>
          <w:rStyle w:val="14"/>
          <w:rFonts w:hint="eastAsia" w:ascii="仿宋_GB2312" w:hAnsi="仿宋_GB2312" w:eastAsia="仿宋_GB2312" w:cs="仿宋_GB2312"/>
          <w:b w:val="0"/>
          <w:color w:val="auto"/>
          <w:sz w:val="32"/>
          <w:szCs w:val="32"/>
          <w:lang w:val="en-US" w:eastAsia="zh-CN" w:bidi="ar"/>
        </w:rPr>
        <w:t xml:space="preserve">    谢旭       政府副镇长</w:t>
      </w:r>
    </w:p>
    <w:p>
      <w:pPr>
        <w:pageBreakBefore w:val="0"/>
        <w:kinsoku/>
        <w:wordWrap/>
        <w:overflowPunct/>
        <w:topLinePunct w:val="0"/>
        <w:autoSpaceDE/>
        <w:autoSpaceDN/>
        <w:bidi w:val="0"/>
        <w:snapToGrid w:val="0"/>
        <w:spacing w:line="570" w:lineRule="exact"/>
        <w:ind w:left="0" w:leftChars="0" w:firstLine="0" w:firstLineChars="0"/>
        <w:jc w:val="both"/>
        <w:textAlignment w:val="auto"/>
        <w:rPr>
          <w:rStyle w:val="14"/>
          <w:rFonts w:hint="eastAsia" w:ascii="仿宋_GB2312" w:hAnsi="仿宋_GB2312" w:eastAsia="仿宋_GB2312" w:cs="仿宋_GB2312"/>
          <w:b w:val="0"/>
          <w:color w:val="000000" w:themeColor="text1"/>
          <w:sz w:val="32"/>
          <w:szCs w:val="32"/>
          <w:highlight w:val="none"/>
          <w:lang w:eastAsia="zh-Hans" w:bidi="ar"/>
          <w14:textFill>
            <w14:solidFill>
              <w14:schemeClr w14:val="tx1"/>
            </w14:solidFill>
          </w14:textFill>
        </w:rPr>
      </w:pPr>
      <w:r>
        <w:rPr>
          <w:rStyle w:val="14"/>
          <w:rFonts w:hint="eastAsia" w:ascii="仿宋_GB2312" w:hAnsi="仿宋_GB2312" w:eastAsia="仿宋_GB2312" w:cs="仿宋_GB2312"/>
          <w:b w:val="0"/>
          <w:color w:val="auto"/>
          <w:sz w:val="32"/>
          <w:szCs w:val="32"/>
          <w:lang w:val="en-US" w:eastAsia="zh-CN" w:bidi="ar"/>
        </w:rPr>
        <w:t xml:space="preserve">成  员：持合斯     项目办主任   </w:t>
      </w:r>
      <w:r>
        <w:rPr>
          <w:rStyle w:val="14"/>
          <w:rFonts w:hint="eastAsia" w:ascii="仿宋_GB2312" w:hAnsi="仿宋_GB2312" w:eastAsia="仿宋_GB2312" w:cs="仿宋_GB2312"/>
          <w:b w:val="0"/>
          <w:color w:val="auto"/>
          <w:sz w:val="32"/>
          <w:szCs w:val="32"/>
          <w:lang w:val="en-US" w:eastAsia="zh-CN" w:bidi="ar"/>
        </w:rPr>
        <w:br w:type="textWrapping"/>
      </w:r>
      <w:r>
        <w:rPr>
          <w:rStyle w:val="14"/>
          <w:rFonts w:hint="eastAsia" w:ascii="仿宋_GB2312" w:hAnsi="仿宋_GB2312" w:eastAsia="仿宋_GB2312" w:cs="仿宋_GB2312"/>
          <w:b w:val="0"/>
          <w:color w:val="auto"/>
          <w:sz w:val="32"/>
          <w:szCs w:val="32"/>
          <w:lang w:val="en-US" w:eastAsia="zh-CN" w:bidi="ar"/>
        </w:rPr>
        <w:t xml:space="preserve">        厚晓霞     财政所所长 </w:t>
      </w:r>
      <w:r>
        <w:rPr>
          <w:rStyle w:val="14"/>
          <w:rFonts w:hint="eastAsia" w:ascii="仿宋_GB2312" w:hAnsi="仿宋_GB2312" w:eastAsia="仿宋_GB2312" w:cs="仿宋_GB2312"/>
          <w:b w:val="0"/>
          <w:color w:val="auto"/>
          <w:sz w:val="32"/>
          <w:szCs w:val="32"/>
          <w:lang w:val="en-US" w:eastAsia="zh-CN" w:bidi="ar"/>
        </w:rPr>
        <w:br w:type="textWrapping"/>
      </w:r>
      <w:r>
        <w:rPr>
          <w:rStyle w:val="14"/>
          <w:rFonts w:hint="eastAsia" w:ascii="仿宋_GB2312" w:hAnsi="仿宋_GB2312" w:eastAsia="仿宋_GB2312" w:cs="仿宋_GB2312"/>
          <w:b w:val="0"/>
          <w:color w:val="auto"/>
          <w:sz w:val="32"/>
          <w:szCs w:val="32"/>
          <w:lang w:val="en-US" w:eastAsia="zh-CN" w:bidi="ar"/>
        </w:rPr>
        <w:t xml:space="preserve">        鲁俊婷     财政所会计   </w:t>
      </w:r>
      <w:r>
        <w:rPr>
          <w:rStyle w:val="14"/>
          <w:rFonts w:hint="eastAsia" w:ascii="仿宋_GB2312" w:hAnsi="仿宋_GB2312" w:eastAsia="仿宋_GB2312" w:cs="仿宋_GB2312"/>
          <w:b w:val="0"/>
          <w:color w:val="auto"/>
          <w:sz w:val="32"/>
          <w:szCs w:val="32"/>
          <w:lang w:val="en-US" w:eastAsia="zh-CN" w:bidi="ar"/>
        </w:rPr>
        <w:br w:type="textWrapping"/>
      </w:r>
      <w:r>
        <w:rPr>
          <w:rStyle w:val="14"/>
          <w:rFonts w:hint="eastAsia" w:ascii="仿宋_GB2312" w:hAnsi="仿宋_GB2312" w:eastAsia="仿宋_GB2312" w:cs="仿宋_GB2312"/>
          <w:b w:val="0"/>
          <w:color w:val="auto"/>
          <w:sz w:val="32"/>
          <w:szCs w:val="32"/>
          <w:lang w:val="en-US" w:eastAsia="zh-CN" w:bidi="ar"/>
        </w:rPr>
        <w:t xml:space="preserve">        高素敏     财政所出纳</w:t>
      </w:r>
    </w:p>
    <w:p>
      <w:pPr>
        <w:pStyle w:val="4"/>
        <w:pageBreakBefore w:val="0"/>
        <w:numPr>
          <w:ilvl w:val="0"/>
          <w:numId w:val="1"/>
        </w:numPr>
        <w:kinsoku/>
        <w:wordWrap/>
        <w:overflowPunct/>
        <w:topLinePunct w:val="0"/>
        <w:autoSpaceDE/>
        <w:autoSpaceDN/>
        <w:bidi w:val="0"/>
        <w:spacing w:line="570" w:lineRule="exact"/>
        <w:ind w:firstLine="643" w:firstLineChars="200"/>
        <w:jc w:val="both"/>
        <w:textAlignment w:val="auto"/>
        <w:rPr>
          <w:rFonts w:hint="eastAsia" w:ascii="楷体_GB2312" w:eastAsia="楷体_GB2312"/>
          <w:color w:val="000000" w:themeColor="text1"/>
          <w:szCs w:val="32"/>
          <w:lang w:val="en-US" w:eastAsia="zh-CN"/>
          <w14:textFill>
            <w14:solidFill>
              <w14:schemeClr w14:val="tx1"/>
            </w14:solidFill>
          </w14:textFill>
        </w:rPr>
      </w:pPr>
      <w:r>
        <w:rPr>
          <w:rFonts w:hint="eastAsia" w:ascii="楷体_GB2312" w:eastAsia="楷体_GB2312"/>
          <w:color w:val="000000" w:themeColor="text1"/>
          <w:szCs w:val="32"/>
          <w:lang w:val="en-US" w:eastAsia="zh-CN"/>
          <w14:textFill>
            <w14:solidFill>
              <w14:schemeClr w14:val="tx1"/>
            </w14:solidFill>
          </w14:textFill>
        </w:rPr>
        <w:t>部门单位整体预算规模及安排情况</w:t>
      </w:r>
    </w:p>
    <w:p>
      <w:pPr>
        <w:pStyle w:val="16"/>
        <w:pageBreakBefore w:val="0"/>
        <w:kinsoku/>
        <w:wordWrap/>
        <w:overflowPunct/>
        <w:topLinePunct w:val="0"/>
        <w:autoSpaceDE/>
        <w:autoSpaceDN/>
        <w:bidi w:val="0"/>
        <w:snapToGrid w:val="0"/>
        <w:spacing w:line="570" w:lineRule="exact"/>
        <w:ind w:firstLine="643" w:firstLineChars="200"/>
        <w:jc w:val="both"/>
        <w:textAlignment w:val="auto"/>
        <w:outlineLvl w:val="2"/>
        <w:rPr>
          <w:rStyle w:val="14"/>
          <w:rFonts w:ascii="仿宋_GB2312" w:hAnsi="仿宋_GB2312" w:eastAsia="仿宋_GB2312" w:cs="仿宋_GB2312"/>
          <w:b/>
          <w:bCs w:val="0"/>
          <w:color w:val="333333"/>
          <w:sz w:val="32"/>
          <w:szCs w:val="32"/>
          <w:highlight w:val="none"/>
          <w:lang w:bidi="ar"/>
        </w:rPr>
      </w:pPr>
      <w:r>
        <w:rPr>
          <w:rStyle w:val="14"/>
          <w:rFonts w:hint="eastAsia" w:ascii="仿宋_GB2312" w:hAnsi="仿宋_GB2312" w:eastAsia="仿宋_GB2312" w:cs="仿宋_GB2312"/>
          <w:b/>
          <w:bCs w:val="0"/>
          <w:color w:val="333333"/>
          <w:sz w:val="32"/>
          <w:szCs w:val="32"/>
          <w:highlight w:val="none"/>
          <w:lang w:bidi="ar"/>
        </w:rPr>
        <w:t>1.部门单位预算编制及分配依据</w:t>
      </w:r>
    </w:p>
    <w:p>
      <w:pPr>
        <w:pStyle w:val="16"/>
        <w:pageBreakBefore w:val="0"/>
        <w:kinsoku/>
        <w:wordWrap/>
        <w:overflowPunct/>
        <w:topLinePunct w:val="0"/>
        <w:autoSpaceDE/>
        <w:autoSpaceDN/>
        <w:bidi w:val="0"/>
        <w:snapToGrid w:val="0"/>
        <w:spacing w:line="570" w:lineRule="exact"/>
        <w:ind w:firstLine="640" w:firstLineChars="200"/>
        <w:jc w:val="both"/>
        <w:textAlignment w:val="auto"/>
        <w:rPr>
          <w:rStyle w:val="14"/>
          <w:rFonts w:ascii="仿宋_GB2312" w:hAnsi="仿宋_GB2312" w:eastAsia="仿宋_GB2312" w:cs="仿宋_GB2312"/>
          <w:b w:val="0"/>
          <w:color w:val="333333"/>
          <w:sz w:val="32"/>
          <w:szCs w:val="32"/>
          <w:highlight w:val="none"/>
          <w:lang w:bidi="ar"/>
        </w:rPr>
      </w:pPr>
      <w:r>
        <w:rPr>
          <w:rStyle w:val="14"/>
          <w:rFonts w:hint="eastAsia" w:ascii="仿宋_GB2312" w:hAnsi="仿宋_GB2312" w:eastAsia="仿宋_GB2312" w:cs="仿宋_GB2312"/>
          <w:b w:val="0"/>
          <w:color w:val="333333"/>
          <w:sz w:val="32"/>
          <w:szCs w:val="32"/>
          <w:highlight w:val="none"/>
          <w:lang w:val="en-US" w:eastAsia="zh-CN" w:bidi="ar"/>
        </w:rPr>
        <w:t>本</w:t>
      </w:r>
      <w:r>
        <w:rPr>
          <w:rStyle w:val="14"/>
          <w:rFonts w:hint="eastAsia" w:ascii="仿宋_GB2312" w:hAnsi="仿宋_GB2312" w:eastAsia="仿宋_GB2312" w:cs="仿宋_GB2312"/>
          <w:b w:val="0"/>
          <w:color w:val="333333"/>
          <w:sz w:val="32"/>
          <w:szCs w:val="32"/>
          <w:highlight w:val="none"/>
          <w:lang w:bidi="ar"/>
        </w:rPr>
        <w:t>单位年初根据单位职能及工作计划按照“量入为出、收支平衡”的原则，编制部门预算。基本支出预算由工资福利支出、商品和服务支出、对个人和家庭的补助支出三部分构成；项目支出预算按期支出性质分为公共管理事务类项目和发展建设类项目。公共管理事务类项目反映用于社会管理、公共事业发展、社会保障等方面的项目资金。发展建设类项目反映用于城乡公共基础设施和社会事业建设与维护等方面的项目资金。合理规范编制部门预算，分配依据充分。</w:t>
      </w:r>
    </w:p>
    <w:p>
      <w:pPr>
        <w:pStyle w:val="16"/>
        <w:pageBreakBefore w:val="0"/>
        <w:kinsoku/>
        <w:wordWrap/>
        <w:overflowPunct/>
        <w:topLinePunct w:val="0"/>
        <w:autoSpaceDE/>
        <w:autoSpaceDN/>
        <w:bidi w:val="0"/>
        <w:snapToGrid w:val="0"/>
        <w:spacing w:line="570" w:lineRule="exact"/>
        <w:ind w:firstLine="643" w:firstLineChars="200"/>
        <w:jc w:val="both"/>
        <w:textAlignment w:val="auto"/>
        <w:outlineLvl w:val="2"/>
        <w:rPr>
          <w:rStyle w:val="14"/>
          <w:rFonts w:ascii="仿宋_GB2312" w:hAnsi="仿宋_GB2312" w:eastAsia="仿宋_GB2312" w:cs="仿宋_GB2312"/>
          <w:bCs w:val="0"/>
          <w:color w:val="333333"/>
          <w:sz w:val="32"/>
          <w:szCs w:val="32"/>
          <w:highlight w:val="none"/>
          <w:lang w:bidi="ar"/>
        </w:rPr>
      </w:pPr>
      <w:r>
        <w:rPr>
          <w:rStyle w:val="14"/>
          <w:rFonts w:hint="eastAsia" w:ascii="仿宋_GB2312" w:hAnsi="仿宋_GB2312" w:eastAsia="仿宋_GB2312" w:cs="仿宋_GB2312"/>
          <w:bCs w:val="0"/>
          <w:color w:val="333333"/>
          <w:sz w:val="32"/>
          <w:szCs w:val="32"/>
          <w:highlight w:val="none"/>
          <w:lang w:bidi="ar"/>
        </w:rPr>
        <w:t>2.分配结果</w:t>
      </w:r>
    </w:p>
    <w:p>
      <w:pPr>
        <w:pageBreakBefore w:val="0"/>
        <w:widowControl/>
        <w:kinsoku/>
        <w:wordWrap/>
        <w:overflowPunct/>
        <w:topLinePunct w:val="0"/>
        <w:autoSpaceDE/>
        <w:autoSpaceDN/>
        <w:bidi w:val="0"/>
        <w:spacing w:line="570" w:lineRule="exact"/>
        <w:ind w:firstLine="640" w:firstLineChars="200"/>
        <w:jc w:val="both"/>
        <w:textAlignment w:val="auto"/>
        <w:rPr>
          <w:rStyle w:val="14"/>
          <w:rFonts w:hint="eastAsia" w:ascii="仿宋_GB2312" w:hAnsi="仿宋_GB2312" w:eastAsia="仿宋_GB2312" w:cs="仿宋_GB2312"/>
          <w:b w:val="0"/>
          <w:color w:val="333333"/>
          <w:kern w:val="2"/>
          <w:sz w:val="32"/>
          <w:szCs w:val="32"/>
          <w:highlight w:val="none"/>
          <w:lang w:val="en-US" w:eastAsia="zh-CN" w:bidi="ar"/>
        </w:rPr>
      </w:pPr>
      <w:r>
        <w:rPr>
          <w:rStyle w:val="14"/>
          <w:rFonts w:hint="eastAsia" w:ascii="仿宋_GB2312" w:hAnsi="仿宋_GB2312" w:eastAsia="仿宋_GB2312" w:cs="仿宋_GB2312"/>
          <w:b w:val="0"/>
          <w:color w:val="333333"/>
          <w:kern w:val="2"/>
          <w:sz w:val="32"/>
          <w:szCs w:val="32"/>
          <w:highlight w:val="none"/>
          <w:lang w:val="en-US" w:eastAsia="zh-CN" w:bidi="ar"/>
        </w:rPr>
        <w:t>本单位基本支出根据单位人员编制、实有人数、资产情况等要素进行预算编制；项目支出根据单位工作职能，年度计划等要素进行预算编制。预算批复后，严格按照财政部门批复的预算和绩效目标执行。</w:t>
      </w:r>
    </w:p>
    <w:p>
      <w:pPr>
        <w:pStyle w:val="16"/>
        <w:pageBreakBefore w:val="0"/>
        <w:kinsoku/>
        <w:wordWrap/>
        <w:overflowPunct/>
        <w:topLinePunct w:val="0"/>
        <w:autoSpaceDE/>
        <w:autoSpaceDN/>
        <w:bidi w:val="0"/>
        <w:snapToGrid w:val="0"/>
        <w:spacing w:line="570" w:lineRule="exact"/>
        <w:ind w:firstLine="640" w:firstLineChars="200"/>
        <w:jc w:val="both"/>
        <w:textAlignment w:val="auto"/>
        <w:rPr>
          <w:rFonts w:hint="eastAsia" w:ascii="仿宋_GB2312" w:eastAsia="仿宋_GB2312"/>
          <w:b/>
          <w:bCs/>
          <w:sz w:val="32"/>
          <w:szCs w:val="32"/>
          <w:highlight w:val="none"/>
          <w:lang w:val="en-US" w:eastAsia="zh-CN"/>
        </w:rPr>
      </w:pPr>
      <w:r>
        <w:rPr>
          <w:rStyle w:val="14"/>
          <w:rFonts w:hint="eastAsia" w:ascii="仿宋_GB2312" w:hAnsi="仿宋_GB2312" w:eastAsia="仿宋_GB2312" w:cs="仿宋_GB2312"/>
          <w:b w:val="0"/>
          <w:color w:val="333333"/>
          <w:sz w:val="32"/>
          <w:szCs w:val="32"/>
          <w:highlight w:val="none"/>
          <w:lang w:bidi="ar"/>
        </w:rPr>
        <w:t>预算编制和分配符合</w:t>
      </w:r>
      <w:r>
        <w:rPr>
          <w:rStyle w:val="14"/>
          <w:rFonts w:hint="eastAsia" w:ascii="仿宋_GB2312" w:hAnsi="仿宋_GB2312" w:eastAsia="仿宋_GB2312" w:cs="仿宋_GB2312"/>
          <w:b w:val="0"/>
          <w:color w:val="333333"/>
          <w:sz w:val="32"/>
          <w:szCs w:val="32"/>
          <w:highlight w:val="none"/>
          <w:lang w:eastAsia="zh-Hans" w:bidi="ar"/>
        </w:rPr>
        <w:t>本</w:t>
      </w:r>
      <w:r>
        <w:rPr>
          <w:rStyle w:val="14"/>
          <w:rFonts w:hint="eastAsia" w:ascii="仿宋_GB2312" w:hAnsi="仿宋_GB2312" w:eastAsia="仿宋_GB2312" w:cs="仿宋_GB2312"/>
          <w:b w:val="0"/>
          <w:color w:val="333333"/>
          <w:sz w:val="32"/>
          <w:szCs w:val="32"/>
          <w:highlight w:val="none"/>
          <w:lang w:bidi="ar"/>
        </w:rPr>
        <w:t>部门职责和任务要求，能根据年度工作重点，在不同项目、不同用途之间进行合理分配。整体绩效目标与预算确定的资金相匹配。</w:t>
      </w:r>
    </w:p>
    <w:p>
      <w:pPr>
        <w:keepLines w:val="0"/>
        <w:pageBreakBefore w:val="0"/>
        <w:kinsoku/>
        <w:wordWrap/>
        <w:overflowPunct/>
        <w:topLinePunct w:val="0"/>
        <w:autoSpaceDE/>
        <w:autoSpaceDN/>
        <w:bidi w:val="0"/>
        <w:adjustRightInd/>
        <w:spacing w:line="570" w:lineRule="exact"/>
        <w:ind w:firstLine="643" w:firstLineChars="200"/>
        <w:jc w:val="both"/>
        <w:textAlignment w:val="auto"/>
        <w:rPr>
          <w:rFonts w:hint="eastAsia" w:ascii="方正仿宋_GBK" w:hAnsi="方正仿宋_GBK" w:eastAsia="方正仿宋_GBK" w:cs="方正仿宋_GBK"/>
          <w:b/>
          <w:bCs/>
          <w:kern w:val="2"/>
          <w:sz w:val="32"/>
          <w:szCs w:val="32"/>
          <w:highlight w:val="none"/>
          <w:lang w:val="en-US" w:eastAsia="zh-CN" w:bidi="ar-SA"/>
        </w:rPr>
      </w:pPr>
      <w:r>
        <w:rPr>
          <w:rFonts w:hint="eastAsia" w:ascii="仿宋_GB2312" w:eastAsia="仿宋_GB2312"/>
          <w:b/>
          <w:bCs/>
          <w:sz w:val="32"/>
          <w:szCs w:val="32"/>
          <w:highlight w:val="none"/>
          <w:lang w:val="en-US" w:eastAsia="zh-CN"/>
        </w:rPr>
        <w:t>3.</w:t>
      </w:r>
      <w:r>
        <w:rPr>
          <w:rFonts w:hint="eastAsia" w:ascii="方正仿宋_GBK" w:hAnsi="方正仿宋_GBK" w:eastAsia="方正仿宋_GBK" w:cs="方正仿宋_GBK"/>
          <w:b/>
          <w:bCs/>
          <w:kern w:val="2"/>
          <w:sz w:val="32"/>
          <w:szCs w:val="32"/>
          <w:highlight w:val="none"/>
          <w:lang w:val="en-US" w:eastAsia="zh-CN" w:bidi="ar-SA"/>
        </w:rPr>
        <w:t>年初预算安排规模</w:t>
      </w:r>
    </w:p>
    <w:p>
      <w:pPr>
        <w:keepLines w:val="0"/>
        <w:pageBreakBefore w:val="0"/>
        <w:kinsoku/>
        <w:wordWrap/>
        <w:overflowPunct/>
        <w:topLinePunct w:val="0"/>
        <w:autoSpaceDE/>
        <w:autoSpaceDN/>
        <w:bidi w:val="0"/>
        <w:adjustRightInd/>
        <w:snapToGrid w:val="0"/>
        <w:spacing w:line="570" w:lineRule="exact"/>
        <w:ind w:firstLine="640" w:firstLineChars="200"/>
        <w:jc w:val="both"/>
        <w:textAlignment w:val="auto"/>
        <w:rPr>
          <w:rStyle w:val="14"/>
          <w:rFonts w:hint="eastAsia" w:ascii="仿宋_GB2312" w:hAnsi="仿宋_GB2312" w:eastAsia="仿宋_GB2312" w:cs="仿宋_GB2312"/>
          <w:b w:val="0"/>
          <w:color w:val="333333"/>
          <w:kern w:val="2"/>
          <w:sz w:val="32"/>
          <w:szCs w:val="32"/>
          <w:highlight w:val="none"/>
          <w:lang w:val="en-US" w:eastAsia="zh-CN" w:bidi="ar"/>
        </w:rPr>
      </w:pPr>
      <w:r>
        <w:rPr>
          <w:rStyle w:val="14"/>
          <w:rFonts w:hint="eastAsia" w:ascii="仿宋_GB2312" w:hAnsi="仿宋_GB2312" w:eastAsia="仿宋_GB2312" w:cs="仿宋_GB2312"/>
          <w:b w:val="0"/>
          <w:color w:val="333333"/>
          <w:kern w:val="2"/>
          <w:sz w:val="32"/>
          <w:szCs w:val="32"/>
          <w:highlight w:val="none"/>
          <w:lang w:val="en-US" w:eastAsia="zh-CN" w:bidi="ar"/>
        </w:rPr>
        <w:t>2023年整体支出年初预算为2437.96万元。</w:t>
      </w:r>
    </w:p>
    <w:p>
      <w:pPr>
        <w:keepLines w:val="0"/>
        <w:pageBreakBefore w:val="0"/>
        <w:kinsoku/>
        <w:wordWrap/>
        <w:overflowPunct/>
        <w:topLinePunct w:val="0"/>
        <w:autoSpaceDE/>
        <w:autoSpaceDN/>
        <w:bidi w:val="0"/>
        <w:adjustRightInd/>
        <w:snapToGrid w:val="0"/>
        <w:spacing w:line="570" w:lineRule="exact"/>
        <w:ind w:firstLine="640" w:firstLineChars="200"/>
        <w:jc w:val="both"/>
        <w:textAlignment w:val="auto"/>
        <w:rPr>
          <w:rStyle w:val="14"/>
          <w:rFonts w:hint="eastAsia" w:ascii="仿宋_GB2312" w:hAnsi="仿宋_GB2312" w:eastAsia="仿宋_GB2312" w:cs="仿宋_GB2312"/>
          <w:b w:val="0"/>
          <w:color w:val="333333"/>
          <w:kern w:val="2"/>
          <w:sz w:val="32"/>
          <w:szCs w:val="32"/>
          <w:highlight w:val="none"/>
          <w:lang w:val="en-US" w:eastAsia="zh-CN" w:bidi="ar"/>
        </w:rPr>
      </w:pPr>
      <w:r>
        <w:rPr>
          <w:rStyle w:val="14"/>
          <w:rFonts w:hint="eastAsia" w:ascii="仿宋_GB2312" w:hAnsi="仿宋_GB2312" w:eastAsia="仿宋_GB2312" w:cs="仿宋_GB2312"/>
          <w:b w:val="0"/>
          <w:color w:val="333333"/>
          <w:kern w:val="2"/>
          <w:sz w:val="32"/>
          <w:szCs w:val="32"/>
          <w:highlight w:val="none"/>
          <w:lang w:val="en-US" w:eastAsia="zh-CN" w:bidi="ar"/>
        </w:rPr>
        <w:t>基本支出年初预算为1110.81万元，主要用于发放人员工资及保障单位基本办公需求。</w:t>
      </w:r>
    </w:p>
    <w:p>
      <w:pPr>
        <w:pageBreakBefore w:val="0"/>
        <w:kinsoku/>
        <w:wordWrap/>
        <w:overflowPunct/>
        <w:topLinePunct w:val="0"/>
        <w:autoSpaceDE/>
        <w:autoSpaceDN/>
        <w:bidi w:val="0"/>
        <w:spacing w:line="570" w:lineRule="exact"/>
        <w:ind w:firstLine="640" w:firstLineChars="200"/>
        <w:jc w:val="both"/>
        <w:textAlignment w:val="auto"/>
        <w:rPr>
          <w:rStyle w:val="14"/>
          <w:rFonts w:hint="eastAsia" w:ascii="仿宋_GB2312" w:hAnsi="仿宋_GB2312" w:eastAsia="仿宋_GB2312" w:cs="仿宋_GB2312"/>
          <w:b w:val="0"/>
          <w:color w:val="333333"/>
          <w:kern w:val="2"/>
          <w:sz w:val="32"/>
          <w:szCs w:val="32"/>
          <w:highlight w:val="none"/>
          <w:lang w:val="en-US" w:eastAsia="zh-CN" w:bidi="ar"/>
        </w:rPr>
      </w:pPr>
      <w:r>
        <w:rPr>
          <w:rStyle w:val="14"/>
          <w:rFonts w:hint="eastAsia" w:ascii="仿宋_GB2312" w:hAnsi="仿宋_GB2312" w:eastAsia="仿宋_GB2312" w:cs="仿宋_GB2312"/>
          <w:b w:val="0"/>
          <w:color w:val="333333"/>
          <w:kern w:val="2"/>
          <w:sz w:val="32"/>
          <w:szCs w:val="32"/>
          <w:highlight w:val="none"/>
          <w:lang w:val="en-US" w:eastAsia="zh-CN" w:bidi="ar"/>
        </w:rPr>
        <w:t>项目支出年初预算为1327.15万元，其中：2023年文化活动经费3万元，主要用于文化活动经费；村干部报酬228.16万元，主要用于发放2023年村干部工资补助；2023年吉镇美术馆、公共图书馆文化馆免费开放补助资金4万元，主要用于完善基本公共文化服务，体育设施；2023年吉镇美术馆、公共图书馆文化馆免费开放补助资金0.3万元，完善基本公共文化服务项目，体育设施；2023年吉镇残疾人两项补贴8.64万元，主要用于2023年吉镇残疾人困难残疾人生活补贴；2023年吉镇残疾人两项补贴12.67万元，主要用于2023年吉镇残疾人重度残疾人护理补贴；2023年计划生育服务补助资金2.73万元，主要用于2023年计划生育服务补助资金；裕民县吉也克镇人民政府工作经费，34.57万元，主要用于裕民县吉也克镇人民政府工作经费；吉也克镇2023年国有土地资源设备维护费15万元，主要用于吉也克镇2023年国有土地资源设备维护费；2022年中央财政衔接推进乡村振兴补助资金吉也克镇库木托别村、加依勒玛供水工程建设项目10.13万元，主要用于乡村振兴补助资金吉也克镇库木托别村、加依勒玛供水工程建设项目；2022年中央财政衔接推进乡村振兴补助资金哈拉赛村村容村貌提升改造工程10.92万元，主要用于哈拉赛村村容村貌提升改造工程；2022年中央财政衔接推进乡村振兴补助资金小麦原粮库建设13.51万元，主要用于建设小麦原粮库；2023年吉镇庭院经济高质量发展项目10万元，吉镇庭院经济高质量发展基础设施建设；2023年吉镇加依勒玛村农副产品加工示范园配套设施建设项目370万元，主要用于加依勒玛村农副产品加工示范园配套设施建设；2023年吉镇吉也克窝尔塔西村面粉厂房建设项目（442万）442万元，主要用于吉镇吉也克窝尔塔西村面粉厂房建设； 2023年自治区农村综合改革转移支付资金吉也克窝尔塔吉也克西村（农村公益建设）30万元，主要用于维修路灯42盏，购置安装路灯100盏；2023年央农村综合改革转移支付资金吉也克镇哈拉赛村（农村公益建设）30万元，主要用于新种植树木758棵及灌溉设施，新建休闲凉亭1座； 2023年自治区农村综合改革转移支付资金吉也克镇库萨克北村（农村公益建设）30万元，主要用于维修路灯45盏，对1.5公里村容村貌进行提升及其他相关配套设施；吉镇2021年中央农村综合改革转移支付预算(农村公益事业)0.2万元，主要用于基础设施建设项目；提前下达2022年自治区农村综合改革转移支付预算[农村公益事业]库萨克南村2.36万元，主要用于基础设施建设项目；关于提前下达2022年农村综合改革转移支付（美丽乡村建设）库萨克南村4.92万元，主要用于新建围墙1988m，新铺设给水管网2000m，路灯70盏，店里外网1500m，新增变压器1处；2023年村级组织运转经费和服务群众经费萨村、西村、加村37.58万元，主要用于2023年萨村、西村、加村村级组织运转经费和服务群众经费；</w:t>
      </w:r>
    </w:p>
    <w:p>
      <w:pPr>
        <w:pageBreakBefore w:val="0"/>
        <w:kinsoku/>
        <w:wordWrap/>
        <w:overflowPunct/>
        <w:topLinePunct w:val="0"/>
        <w:autoSpaceDE/>
        <w:autoSpaceDN/>
        <w:bidi w:val="0"/>
        <w:spacing w:line="570" w:lineRule="exact"/>
        <w:ind w:left="0" w:leftChars="0" w:firstLine="640" w:firstLineChars="200"/>
        <w:jc w:val="both"/>
        <w:textAlignment w:val="auto"/>
        <w:rPr>
          <w:rStyle w:val="14"/>
          <w:rFonts w:hint="default" w:ascii="仿宋_GB2312" w:hAnsi="仿宋_GB2312" w:eastAsia="仿宋_GB2312" w:cs="仿宋_GB2312"/>
          <w:b w:val="0"/>
          <w:color w:val="333333"/>
          <w:kern w:val="2"/>
          <w:sz w:val="32"/>
          <w:szCs w:val="32"/>
          <w:highlight w:val="none"/>
          <w:lang w:val="en-US" w:eastAsia="zh-CN" w:bidi="ar"/>
        </w:rPr>
      </w:pPr>
      <w:r>
        <w:rPr>
          <w:rStyle w:val="14"/>
          <w:rFonts w:hint="eastAsia" w:ascii="仿宋_GB2312" w:hAnsi="仿宋_GB2312" w:eastAsia="仿宋_GB2312" w:cs="仿宋_GB2312"/>
          <w:b w:val="0"/>
          <w:color w:val="333333"/>
          <w:kern w:val="2"/>
          <w:sz w:val="32"/>
          <w:szCs w:val="32"/>
          <w:highlight w:val="none"/>
          <w:lang w:val="en-US" w:eastAsia="zh-CN" w:bidi="ar"/>
        </w:rPr>
        <w:t>2023年1-2月上级补助F人员补助2.28万元，主要用于上级补助F人员补助;吉镇2023年自治区驻村管寺管委会工作及人员经费1万元；裕民县吉也克镇窝尔塔吉也克北村惠民资金10万元；裕民县吉也克镇敬老院（幸福大院）建设项目13.18万元。</w:t>
      </w:r>
    </w:p>
    <w:p>
      <w:pPr>
        <w:pStyle w:val="2"/>
        <w:pageBreakBefore w:val="0"/>
        <w:kinsoku/>
        <w:wordWrap/>
        <w:overflowPunct/>
        <w:topLinePunct w:val="0"/>
        <w:autoSpaceDE/>
        <w:autoSpaceDN/>
        <w:bidi w:val="0"/>
        <w:spacing w:line="570" w:lineRule="exact"/>
        <w:ind w:firstLine="640" w:firstLineChars="200"/>
        <w:jc w:val="both"/>
        <w:textAlignment w:val="auto"/>
        <w:rPr>
          <w:rFonts w:hint="eastAsia" w:ascii="方正仿宋_GBK" w:hAnsi="方正仿宋_GBK" w:eastAsia="方正仿宋_GBK" w:cs="方正仿宋_GBK"/>
          <w:color w:val="FF0000"/>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4.全年预算安排规模</w:t>
      </w:r>
    </w:p>
    <w:p>
      <w:pPr>
        <w:pageBreakBefore w:val="0"/>
        <w:kinsoku/>
        <w:wordWrap/>
        <w:overflowPunct/>
        <w:topLinePunct w:val="0"/>
        <w:autoSpaceDE/>
        <w:autoSpaceDN/>
        <w:bidi w:val="0"/>
        <w:spacing w:line="570" w:lineRule="exact"/>
        <w:ind w:left="0" w:leftChars="0" w:firstLine="640" w:firstLineChars="200"/>
        <w:jc w:val="both"/>
        <w:textAlignment w:val="auto"/>
        <w:rPr>
          <w:rStyle w:val="14"/>
          <w:rFonts w:hint="eastAsia" w:ascii="仿宋_GB2312" w:hAnsi="仿宋_GB2312" w:eastAsia="仿宋_GB2312" w:cs="仿宋_GB2312"/>
          <w:b w:val="0"/>
          <w:color w:val="333333"/>
          <w:kern w:val="2"/>
          <w:sz w:val="32"/>
          <w:szCs w:val="32"/>
          <w:highlight w:val="none"/>
          <w:lang w:val="en-US" w:eastAsia="zh-CN" w:bidi="ar"/>
        </w:rPr>
      </w:pPr>
      <w:r>
        <w:rPr>
          <w:rStyle w:val="14"/>
          <w:rFonts w:hint="eastAsia" w:ascii="仿宋_GB2312" w:hAnsi="仿宋_GB2312" w:eastAsia="仿宋_GB2312" w:cs="仿宋_GB2312"/>
          <w:b w:val="0"/>
          <w:color w:val="333333"/>
          <w:kern w:val="2"/>
          <w:sz w:val="32"/>
          <w:szCs w:val="32"/>
          <w:highlight w:val="none"/>
          <w:lang w:val="en-US" w:eastAsia="zh-CN" w:bidi="ar"/>
        </w:rPr>
        <w:t>2023年整体支出年初预算为2437.96万元，预算调整数为1936.91万元，全年预算数为4374.87万元。</w:t>
      </w:r>
    </w:p>
    <w:p>
      <w:pPr>
        <w:pageBreakBefore w:val="0"/>
        <w:kinsoku/>
        <w:wordWrap/>
        <w:overflowPunct/>
        <w:topLinePunct w:val="0"/>
        <w:autoSpaceDE/>
        <w:autoSpaceDN/>
        <w:bidi w:val="0"/>
        <w:spacing w:line="570" w:lineRule="exact"/>
        <w:ind w:left="0" w:leftChars="0" w:firstLine="640" w:firstLineChars="200"/>
        <w:jc w:val="both"/>
        <w:textAlignment w:val="auto"/>
        <w:rPr>
          <w:rStyle w:val="14"/>
          <w:rFonts w:hint="eastAsia" w:ascii="仿宋_GB2312" w:hAnsi="仿宋_GB2312" w:eastAsia="仿宋_GB2312" w:cs="仿宋_GB2312"/>
          <w:b w:val="0"/>
          <w:color w:val="333333"/>
          <w:kern w:val="2"/>
          <w:sz w:val="32"/>
          <w:szCs w:val="32"/>
          <w:highlight w:val="none"/>
          <w:lang w:val="en-US" w:eastAsia="zh-CN" w:bidi="ar"/>
        </w:rPr>
      </w:pPr>
      <w:r>
        <w:rPr>
          <w:rStyle w:val="14"/>
          <w:rFonts w:hint="eastAsia" w:ascii="仿宋_GB2312" w:hAnsi="仿宋_GB2312" w:eastAsia="仿宋_GB2312" w:cs="仿宋_GB2312"/>
          <w:b w:val="0"/>
          <w:color w:val="333333"/>
          <w:kern w:val="2"/>
          <w:sz w:val="32"/>
          <w:szCs w:val="32"/>
          <w:highlight w:val="none"/>
          <w:lang w:val="en-US" w:eastAsia="zh-CN" w:bidi="ar"/>
        </w:rPr>
        <w:t>基本支出年初预算为1110.81万元，预算调整数为438.23万元，全年预算数为1549.04万元。主要用于发放人员工资及保障单位基本办公需求。</w:t>
      </w:r>
    </w:p>
    <w:p>
      <w:pPr>
        <w:pageBreakBefore w:val="0"/>
        <w:kinsoku/>
        <w:wordWrap/>
        <w:overflowPunct/>
        <w:topLinePunct w:val="0"/>
        <w:autoSpaceDE/>
        <w:autoSpaceDN/>
        <w:bidi w:val="0"/>
        <w:spacing w:line="570" w:lineRule="exact"/>
        <w:ind w:left="0" w:leftChars="0" w:firstLine="640" w:firstLineChars="200"/>
        <w:jc w:val="both"/>
        <w:textAlignment w:val="auto"/>
        <w:rPr>
          <w:rStyle w:val="14"/>
          <w:rFonts w:hint="default" w:ascii="仿宋_GB2312" w:hAnsi="仿宋_GB2312" w:eastAsia="仿宋_GB2312" w:cs="仿宋_GB2312"/>
          <w:b w:val="0"/>
          <w:color w:val="333333"/>
          <w:kern w:val="2"/>
          <w:sz w:val="32"/>
          <w:szCs w:val="32"/>
          <w:highlight w:val="none"/>
          <w:lang w:val="en-US" w:eastAsia="zh-CN" w:bidi="ar"/>
        </w:rPr>
      </w:pPr>
      <w:r>
        <w:rPr>
          <w:rStyle w:val="14"/>
          <w:rFonts w:hint="eastAsia" w:ascii="仿宋_GB2312" w:hAnsi="仿宋_GB2312" w:eastAsia="仿宋_GB2312" w:cs="仿宋_GB2312"/>
          <w:b w:val="0"/>
          <w:color w:val="333333"/>
          <w:kern w:val="2"/>
          <w:sz w:val="32"/>
          <w:szCs w:val="32"/>
          <w:highlight w:val="none"/>
          <w:lang w:val="en-US" w:eastAsia="zh-CN" w:bidi="ar"/>
        </w:rPr>
        <w:t>项目支出年初预算为1327.15万元，预算调整数为1498.68万元，全年预算数为2825.83万元。其中：2023年度自治区基层组织建设资金吉也克镇哈拉赛村项目年初预算为0万元，预算调整数为25万元，全年预算数为25万元，主要用于阵地综合服务设施提升项目设备购置；吉镇2023年自治区驻村管寺管委会工作及人员经费项目年初预算为1万元，预算调整数为-0.42万元，全年预算数为0.58万元，主要用于驻村管寺管委会工作及人员经费;2023年吉镇美术馆、公共图书馆文化馆免费开放补助资金项目年初预算为4.3万元，预算调整数为0万元，全年预算数为4.3万元，主要用于提升吉镇文化馆基本公共文化服务项目;2023年中央支持地方公共文化服务体系建设补助资金（新时代文明实践中心建设项目）项目年初预算为0万元，预算调整数为2.52万元，全年预算数为2.52万元，主要用于文明实践活动服务;自治区2023年计生宣传员津贴补贴项目年初预算为2.73万元，预算调整数为0万元，全年预算数为2.73万元，主要用于计生宣传员津贴补贴;吉镇2021年第二批新疆，西藏，四省涉藏州县建设专项中央基建投资（村级组织活动场所建设项目）项目年初预算为34.57万元，预算调整数为-7.3万元，全年预算数为27.27万元，主要用于村级组织活动场所建设项目;吉也克镇2023年国有土地资源设备维护费项目年初预算为15万元，预算调整数为0万元，全年预算数为15万元，主要用于国有土地资源设备维护费;2022年中央财政衔接推进乡村振兴补助资金吉也克镇库木托别村、加依勒玛供水工程建设项目年初预算为10.13万元，预算调整数为-0.56万元，全年预算数为9.57万元，主要用于吉也克镇库木托别村、加依勒玛供水工程建设;2022年中央财政衔接推进乡村振兴补助资金哈拉赛村村容村貌提升改造工程项目年初预算为10.92万元，预算调整数为-0.22万元，全年预算数为10.70万元，主要用于推进乡村振兴补助资金哈拉赛村村容村貌提升改造；裕民县吉也克镇农村安全饮水提升改造项目年初预算为0万元，预算调整数为500万元，全年预算数为500万元，主要用于推进乡村振兴补助资金哈拉赛村村容村貌提升改造；2023年吉镇庭院经济高质量发展项目年初预算为10万元，预算调整数为-6.76万元，全年预算数为3.24万元，主要用于吉镇庭院经济高质量发展；裕民县吉也克镇哈拉赛村草料棚、青储池建设及设备购置项目年初预算为0万元，预算调整数为276.33万元，全年预算数为276.33万元，主要用于哈拉赛村草料棚、青储池购置；裕民县吉也克镇哈拉赛村农村污水治理项目年初预算为0万元，预算调整数为144.77万元，全年预算数为144.77万元，主要用于哈拉赛村农村污水治理；裕民县吉也克镇哈拉赛村庭院整治及改厕项目年初预算为0万元，预算调整数为114.85万元，全年预算数为114.85万元，主要用于哈拉赛村庭院整治及改厕；裕民县吉也克镇哈拉赛村垃圾处理项目年初预算为0万元，预算调整数为216万元，全年预算数为216万元，主要用于哈拉赛村垃圾处理；2023年吉镇吉也克窝尔塔西村面粉厂房建设项目年初预算为442万元，预算调整数为-28.08万元，全年预算数为413.92万元，主要用于吉也克窝尔塔西村面粉厂房建设；裕民县吉也克镇哈拉赛村道路建设项目年初预算为0万元，预算调整数为181.52万元，全年预算数为181.52万元，主要用于哈拉赛村道路建设；裕民县吉也克镇窝尔塔吉也克北村农村道路建设项目年初预算为0万元，预算调整数为48.12万元，全年预算数为48.12万元，主要用于窝尔塔吉也克北村农村道路建设；裕民县吉也克镇加依勒玛村农村道路建设项目年初预算为0万元，预算调整数为59.03万元，全年预算数为59.03万元，主要用于加依勒玛村农村道路建设；2023年吉镇加依勒玛村农副产品加工示范园配套设施建设项目年初预算为370万元，预算调整数为-12.37万元，全年预算数为357.63万元，主要用于加依勒玛村农副产品加工示范园配套设施建设；2023年自治区农村综合改革转移支付资金吉也克镇库萨克北村（农村公益建设）项目年初预算为30万元，预算调整数为-3万元，全年预算数为27万元，主要用于库萨克北村农村公益建设；2023年自治区农村综合改革转移支付资金吉也克窝尔塔吉也克西村（农村公益建设）项目年初预算为30万元，预算调整数为-0.1万元，全年预算数为29.9万元，主要用于吉也克窝尔塔吉也克西村农村公益建设；2023年央农村综合改革转移支付资金吉也克镇哈拉赛村（农村公益建设）项目年初预算为30万元，预算调整数为-3万元，全年预算数为27万元，主要用于哈拉赛村农村公益建设；提前下达2022年自治区农村综合改革转移支付预算[农村公益事业]库萨克南村项目年初预算为2.36万元，预算调整数为0万元，全年预算数为2.36万元，主要用于库萨克南村农村公益事业建设；吉关于提前下达2022年农村综合改革转移支付（美丽乡村建设）库萨克南村塔项目年初预算为4.92万元，预算调整数为-1.69万元，全年预算数为3.23万元，主要用于库萨克南村美丽乡村建设；中央农村综合改革转移支付资金哈拉塞农村公益事业200万项目年初预算为0万元，预算调整数为192.75万元，全年预算数为192.75万元，主要用于哈拉塞农村公益事业、美丽乡村建设；2023年村级组织运转经费和服务群众经费萨村、西村、加村项目年初预算为37.58万元，预算调整数为-0.05万元，全年预算数为37.53万元，主要用于村级组织运转经费和服务群众经费；2023年库鲁斯台草原生态保护引洪灌溉项目年初预算为0万元，预算调整数为1.2万元，全年预算数为1.2万元，主要用于库鲁斯台草原生态保护引洪灌溉；裕民县吉也克镇幸福大院及附属设施建设项目年初预算为0万元，预算调整数为41.99万元，全年预算数为41.99万元，主要用于吉也克镇幸福大院及附属设施建设；2023年驻村工作队经费项目年初预算为0万元，预算调整数为19.16万元，全年预算数为19.16万元，主要用于驻村工作队经费；2023年上半年访惠聚工作经费项目年初预算为2.28万元，预算调整数为26.85万元，全年预算数为29.13万元，主要用于访惠聚工作经费；2023年中央政法纪检监察转移支付资金项目年初预算为0万元，预算调整数为1.5万元，全年预算数为1.5万元，主要用于政法纪检监察办公经费；2022年中央财政衔接推进乡村振兴补助资金小麦原粮库建设220㎡左右470万项目，年初预算为13.51万元，预算调整数为-13.51万元，全年预算数为0万元；吉镇2021年中央农村综合改革转移支付预算(农村公益事业)项目，年初预算为0.2万元，预算调整数为-0.2万元，全年预算数为0万元；裕民县吉也克镇窝尔塔吉也克北村惠民资金项目，年初预算为10万元，预算调整数为-10万元，全年预算数为0万元；裕民县吉也克镇敬老院（幸福大院）建设项目，年初预算为13.18万元，预算调整数为-13.18万元，全年预算数为0万元；2023年吉镇残疾人两项补贴（重度残疾人护理补贴126720元）项目，年初预算为12.67万元，预算调整数为-12.67万元，全年预算数为0万元（在基本支出中支出）；2023年吉镇残疾人两项补贴（困难残疾人生活补贴86400元）项目，年初预算为8.64万元，预算调整数为-8.64万元，全年预算数为0万元（在基本支出中支出）；村干部报酬项目，年初预算为228.17万元，预算调整数为-228.17万元，全年预算数为0万元（在基本支出中支出）；2023年文化活动经费项目，年初预算为3万元，预算调整数为-3万元，全年预算数为0万元（在基本支出中支出）。</w:t>
      </w:r>
    </w:p>
    <w:p>
      <w:pPr>
        <w:pStyle w:val="3"/>
        <w:pageBreakBefore w:val="0"/>
        <w:kinsoku/>
        <w:wordWrap/>
        <w:overflowPunct/>
        <w:topLinePunct w:val="0"/>
        <w:autoSpaceDE/>
        <w:autoSpaceDN/>
        <w:bidi w:val="0"/>
        <w:spacing w:line="570" w:lineRule="exact"/>
        <w:ind w:firstLine="640" w:firstLineChars="200"/>
        <w:jc w:val="both"/>
        <w:textAlignment w:val="auto"/>
        <w:rPr>
          <w:rFonts w:ascii="黑体" w:hAnsi="黑体"/>
          <w:b w:val="0"/>
          <w:sz w:val="32"/>
          <w:szCs w:val="32"/>
        </w:rPr>
      </w:pPr>
      <w:r>
        <w:rPr>
          <w:rFonts w:hint="eastAsia" w:ascii="黑体" w:hAnsi="黑体"/>
          <w:b w:val="0"/>
          <w:sz w:val="32"/>
          <w:szCs w:val="32"/>
        </w:rPr>
        <w:t>二、部门单位整体支出管理及使用情况</w:t>
      </w:r>
    </w:p>
    <w:p>
      <w:pPr>
        <w:pStyle w:val="4"/>
        <w:pageBreakBefore w:val="0"/>
        <w:numPr>
          <w:ilvl w:val="0"/>
          <w:numId w:val="2"/>
        </w:numPr>
        <w:kinsoku/>
        <w:wordWrap/>
        <w:overflowPunct/>
        <w:topLinePunct w:val="0"/>
        <w:autoSpaceDE/>
        <w:autoSpaceDN/>
        <w:bidi w:val="0"/>
        <w:spacing w:line="570" w:lineRule="exact"/>
        <w:ind w:firstLine="643" w:firstLineChars="200"/>
        <w:jc w:val="both"/>
        <w:textAlignment w:val="auto"/>
        <w:rPr>
          <w:rFonts w:ascii="楷体_GB2312" w:eastAsia="楷体_GB2312"/>
          <w:szCs w:val="32"/>
        </w:rPr>
      </w:pPr>
      <w:r>
        <w:rPr>
          <w:rFonts w:hint="eastAsia" w:ascii="楷体_GB2312" w:eastAsia="楷体_GB2312"/>
          <w:bCs/>
          <w:szCs w:val="32"/>
        </w:rPr>
        <w:t>预算管理情况</w:t>
      </w:r>
    </w:p>
    <w:p>
      <w:pPr>
        <w:pStyle w:val="16"/>
        <w:pageBreakBefore w:val="0"/>
        <w:kinsoku/>
        <w:wordWrap/>
        <w:overflowPunct/>
        <w:topLinePunct w:val="0"/>
        <w:autoSpaceDE/>
        <w:autoSpaceDN/>
        <w:bidi w:val="0"/>
        <w:snapToGrid w:val="0"/>
        <w:spacing w:line="570" w:lineRule="exact"/>
        <w:ind w:firstLine="643" w:firstLineChars="200"/>
        <w:jc w:val="both"/>
        <w:textAlignment w:val="auto"/>
        <w:outlineLvl w:val="2"/>
        <w:rPr>
          <w:rStyle w:val="14"/>
          <w:rFonts w:ascii="仿宋_GB2312" w:hAnsi="仿宋_GB2312" w:eastAsia="仿宋_GB2312" w:cs="仿宋_GB2312"/>
          <w:bCs w:val="0"/>
          <w:color w:val="333333"/>
          <w:sz w:val="32"/>
          <w:szCs w:val="32"/>
          <w:lang w:bidi="ar"/>
        </w:rPr>
      </w:pPr>
      <w:r>
        <w:rPr>
          <w:rStyle w:val="14"/>
          <w:rFonts w:hint="eastAsia" w:ascii="仿宋_GB2312" w:hAnsi="仿宋_GB2312" w:eastAsia="仿宋_GB2312" w:cs="仿宋_GB2312"/>
          <w:bCs w:val="0"/>
          <w:color w:val="333333"/>
          <w:sz w:val="32"/>
          <w:szCs w:val="32"/>
          <w:lang w:bidi="ar"/>
        </w:rPr>
        <w:t>1.管理制度健全性</w:t>
      </w:r>
    </w:p>
    <w:p>
      <w:pPr>
        <w:pageBreakBefore w:val="0"/>
        <w:kinsoku/>
        <w:wordWrap/>
        <w:overflowPunct/>
        <w:topLinePunct w:val="0"/>
        <w:autoSpaceDE/>
        <w:autoSpaceDN/>
        <w:bidi w:val="0"/>
        <w:spacing w:line="570" w:lineRule="exact"/>
        <w:ind w:firstLine="640" w:firstLineChars="200"/>
        <w:jc w:val="both"/>
        <w:textAlignment w:val="auto"/>
        <w:rPr>
          <w:rStyle w:val="14"/>
          <w:rFonts w:ascii="仿宋_GB2312" w:eastAsia="仿宋_GB2312"/>
          <w:b w:val="0"/>
          <w:bCs w:val="0"/>
          <w:color w:val="000000" w:themeColor="text1"/>
          <w:sz w:val="32"/>
          <w:szCs w:val="32"/>
          <w14:textFill>
            <w14:solidFill>
              <w14:schemeClr w14:val="tx1"/>
            </w14:solidFill>
          </w14:textFill>
        </w:rPr>
      </w:pPr>
      <w:r>
        <w:rPr>
          <w:rStyle w:val="14"/>
          <w:rFonts w:hint="eastAsia" w:ascii="仿宋_GB2312" w:hAnsi="仿宋_GB2312" w:eastAsia="仿宋_GB2312" w:cs="仿宋_GB2312"/>
          <w:b w:val="0"/>
          <w:color w:val="000000" w:themeColor="text1"/>
          <w:sz w:val="32"/>
          <w:szCs w:val="32"/>
          <w:lang w:bidi="ar"/>
          <w14:textFill>
            <w14:solidFill>
              <w14:schemeClr w14:val="tx1"/>
            </w14:solidFill>
          </w14:textFill>
        </w:rPr>
        <w:t>本单位为加强预算管理，规范财务行为，已制定了《</w:t>
      </w:r>
      <w:r>
        <w:rPr>
          <w:rStyle w:val="14"/>
          <w:rFonts w:hint="eastAsia" w:ascii="仿宋_GB2312" w:hAnsi="仿宋_GB2312" w:eastAsia="仿宋_GB2312" w:cs="仿宋_GB2312"/>
          <w:b w:val="0"/>
          <w:color w:val="000000" w:themeColor="text1"/>
          <w:sz w:val="32"/>
          <w:szCs w:val="32"/>
          <w:lang w:eastAsia="zh-CN" w:bidi="ar"/>
          <w14:textFill>
            <w14:solidFill>
              <w14:schemeClr w14:val="tx1"/>
            </w14:solidFill>
          </w14:textFill>
        </w:rPr>
        <w:t>裕民县吉也克镇人民政府</w:t>
      </w:r>
      <w:r>
        <w:rPr>
          <w:rStyle w:val="14"/>
          <w:rFonts w:hint="eastAsia" w:ascii="仿宋_GB2312" w:hAnsi="仿宋_GB2312" w:eastAsia="仿宋_GB2312" w:cs="仿宋_GB2312"/>
          <w:b w:val="0"/>
          <w:color w:val="000000" w:themeColor="text1"/>
          <w:sz w:val="32"/>
          <w:szCs w:val="32"/>
          <w:lang w:bidi="ar"/>
          <w14:textFill>
            <w14:solidFill>
              <w14:schemeClr w14:val="tx1"/>
            </w14:solidFill>
          </w14:textFill>
        </w:rPr>
        <w:t>部门单位预算绩效管理工作实施办法</w:t>
      </w:r>
      <w:r>
        <w:rPr>
          <w:rStyle w:val="14"/>
          <w:rFonts w:hint="eastAsia" w:ascii="仿宋_GB2312" w:hAnsi="仿宋_GB2312" w:eastAsia="仿宋_GB2312" w:cs="仿宋_GB2312"/>
          <w:b w:val="0"/>
          <w:color w:val="000000" w:themeColor="text1"/>
          <w:sz w:val="32"/>
          <w:szCs w:val="32"/>
          <w:lang w:eastAsia="zh-CN" w:bidi="ar"/>
          <w14:textFill>
            <w14:solidFill>
              <w14:schemeClr w14:val="tx1"/>
            </w14:solidFill>
          </w14:textFill>
        </w:rPr>
        <w:t>》《裕民县吉也克镇人民政府</w:t>
      </w:r>
      <w:r>
        <w:rPr>
          <w:rStyle w:val="14"/>
          <w:rFonts w:hint="eastAsia" w:ascii="仿宋_GB2312" w:hAnsi="仿宋_GB2312" w:eastAsia="仿宋_GB2312" w:cs="仿宋_GB2312"/>
          <w:b w:val="0"/>
          <w:color w:val="000000" w:themeColor="text1"/>
          <w:sz w:val="32"/>
          <w:szCs w:val="32"/>
          <w:lang w:bidi="ar"/>
          <w14:textFill>
            <w14:solidFill>
              <w14:schemeClr w14:val="tx1"/>
            </w14:solidFill>
          </w14:textFill>
        </w:rPr>
        <w:t>单位财务管理制度》等较为健全的各项管理制度，</w:t>
      </w:r>
      <w:r>
        <w:rPr>
          <w:rFonts w:hint="eastAsia" w:ascii="仿宋_GB2312" w:eastAsia="仿宋_GB2312"/>
          <w:color w:val="000000" w:themeColor="text1"/>
          <w:sz w:val="32"/>
          <w:szCs w:val="32"/>
          <w14:textFill>
            <w14:solidFill>
              <w14:schemeClr w14:val="tx1"/>
            </w14:solidFill>
          </w14:textFill>
        </w:rPr>
        <w:t>并严格按照相关管理制度文件要求范围使用预算资金，严格按照政府信息公开有关规定及财政部门要求公开相关预决算信息，</w:t>
      </w:r>
      <w:r>
        <w:rPr>
          <w:rStyle w:val="14"/>
          <w:rFonts w:hint="eastAsia" w:ascii="仿宋_GB2312" w:hAnsi="仿宋_GB2312" w:eastAsia="仿宋_GB2312" w:cs="仿宋_GB2312"/>
          <w:b w:val="0"/>
          <w:color w:val="000000" w:themeColor="text1"/>
          <w:sz w:val="32"/>
          <w:szCs w:val="32"/>
          <w:lang w:bidi="ar"/>
          <w14:textFill>
            <w14:solidFill>
              <w14:schemeClr w14:val="tx1"/>
            </w14:solidFill>
          </w14:textFill>
        </w:rPr>
        <w:t>有效提高了本单位高效的履行工作职能，较好的促进了相关事业的发展。</w:t>
      </w:r>
    </w:p>
    <w:p>
      <w:pPr>
        <w:pStyle w:val="16"/>
        <w:pageBreakBefore w:val="0"/>
        <w:kinsoku/>
        <w:wordWrap/>
        <w:overflowPunct/>
        <w:topLinePunct w:val="0"/>
        <w:autoSpaceDE/>
        <w:autoSpaceDN/>
        <w:bidi w:val="0"/>
        <w:snapToGrid w:val="0"/>
        <w:spacing w:line="570" w:lineRule="exact"/>
        <w:ind w:firstLine="643" w:firstLineChars="200"/>
        <w:jc w:val="both"/>
        <w:textAlignment w:val="auto"/>
        <w:outlineLvl w:val="2"/>
        <w:rPr>
          <w:rStyle w:val="14"/>
          <w:rFonts w:ascii="仿宋_GB2312" w:hAnsi="仿宋_GB2312" w:eastAsia="仿宋_GB2312" w:cs="仿宋_GB2312"/>
          <w:bCs w:val="0"/>
          <w:color w:val="333333"/>
          <w:sz w:val="32"/>
          <w:szCs w:val="32"/>
          <w:lang w:bidi="ar"/>
        </w:rPr>
      </w:pPr>
      <w:r>
        <w:rPr>
          <w:rStyle w:val="14"/>
          <w:rFonts w:hint="eastAsia" w:ascii="仿宋_GB2312" w:hAnsi="仿宋_GB2312" w:eastAsia="仿宋_GB2312" w:cs="仿宋_GB2312"/>
          <w:bCs w:val="0"/>
          <w:color w:val="333333"/>
          <w:sz w:val="32"/>
          <w:szCs w:val="32"/>
          <w:lang w:bidi="ar"/>
        </w:rPr>
        <w:t>2.资金使用合规性和安全性</w:t>
      </w:r>
    </w:p>
    <w:p>
      <w:pPr>
        <w:pStyle w:val="16"/>
        <w:pageBreakBefore w:val="0"/>
        <w:kinsoku/>
        <w:wordWrap/>
        <w:overflowPunct/>
        <w:topLinePunct w:val="0"/>
        <w:autoSpaceDE/>
        <w:autoSpaceDN/>
        <w:bidi w:val="0"/>
        <w:snapToGrid w:val="0"/>
        <w:spacing w:line="570" w:lineRule="exact"/>
        <w:ind w:firstLine="640" w:firstLineChars="200"/>
        <w:jc w:val="both"/>
        <w:textAlignment w:val="auto"/>
        <w:rPr>
          <w:rStyle w:val="14"/>
          <w:rFonts w:ascii="仿宋_GB2312" w:hAnsi="仿宋_GB2312" w:eastAsia="仿宋_GB2312" w:cs="仿宋_GB2312"/>
          <w:b w:val="0"/>
          <w:color w:val="333333"/>
          <w:sz w:val="32"/>
          <w:szCs w:val="32"/>
          <w:lang w:bidi="ar"/>
        </w:rPr>
      </w:pPr>
      <w:r>
        <w:rPr>
          <w:rStyle w:val="14"/>
          <w:rFonts w:hint="eastAsia" w:ascii="仿宋_GB2312" w:hAnsi="仿宋_GB2312" w:eastAsia="仿宋_GB2312" w:cs="仿宋_GB2312"/>
          <w:b w:val="0"/>
          <w:color w:val="333333"/>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pPr>
        <w:pStyle w:val="16"/>
        <w:pageBreakBefore w:val="0"/>
        <w:kinsoku/>
        <w:wordWrap/>
        <w:overflowPunct/>
        <w:topLinePunct w:val="0"/>
        <w:autoSpaceDE/>
        <w:autoSpaceDN/>
        <w:bidi w:val="0"/>
        <w:snapToGrid w:val="0"/>
        <w:spacing w:line="570" w:lineRule="exact"/>
        <w:ind w:firstLine="643" w:firstLineChars="200"/>
        <w:jc w:val="both"/>
        <w:textAlignment w:val="auto"/>
        <w:outlineLvl w:val="2"/>
        <w:rPr>
          <w:rStyle w:val="14"/>
          <w:rFonts w:ascii="仿宋_GB2312" w:hAnsi="仿宋_GB2312" w:eastAsia="仿宋_GB2312" w:cs="仿宋_GB2312"/>
          <w:bCs w:val="0"/>
          <w:color w:val="333333"/>
          <w:sz w:val="32"/>
          <w:szCs w:val="32"/>
          <w:lang w:bidi="ar"/>
        </w:rPr>
      </w:pPr>
      <w:r>
        <w:rPr>
          <w:rStyle w:val="14"/>
          <w:rFonts w:hint="eastAsia" w:ascii="仿宋_GB2312" w:hAnsi="仿宋_GB2312" w:eastAsia="仿宋_GB2312" w:cs="仿宋_GB2312"/>
          <w:bCs w:val="0"/>
          <w:color w:val="333333"/>
          <w:sz w:val="32"/>
          <w:szCs w:val="32"/>
          <w:lang w:bidi="ar"/>
        </w:rPr>
        <w:t>3.预决算信息公开性</w:t>
      </w:r>
    </w:p>
    <w:p>
      <w:pPr>
        <w:pStyle w:val="16"/>
        <w:pageBreakBefore w:val="0"/>
        <w:kinsoku/>
        <w:wordWrap/>
        <w:overflowPunct/>
        <w:topLinePunct w:val="0"/>
        <w:autoSpaceDE/>
        <w:autoSpaceDN/>
        <w:bidi w:val="0"/>
        <w:snapToGrid w:val="0"/>
        <w:spacing w:line="570" w:lineRule="exact"/>
        <w:ind w:firstLine="640" w:firstLineChars="200"/>
        <w:jc w:val="both"/>
        <w:textAlignment w:val="auto"/>
        <w:rPr>
          <w:rStyle w:val="14"/>
          <w:rFonts w:ascii="仿宋_GB2312" w:hAnsi="仿宋_GB2312" w:eastAsia="仿宋_GB2312" w:cs="仿宋_GB2312"/>
          <w:b w:val="0"/>
          <w:color w:val="333333"/>
          <w:sz w:val="32"/>
          <w:szCs w:val="32"/>
          <w:lang w:bidi="ar"/>
        </w:rPr>
      </w:pPr>
      <w:r>
        <w:rPr>
          <w:rStyle w:val="14"/>
          <w:rFonts w:hint="eastAsia" w:ascii="仿宋_GB2312" w:hAnsi="仿宋_GB2312" w:eastAsia="仿宋_GB2312" w:cs="仿宋_GB2312"/>
          <w:b w:val="0"/>
          <w:color w:val="333333"/>
          <w:sz w:val="32"/>
          <w:szCs w:val="32"/>
          <w:lang w:bidi="ar"/>
        </w:rPr>
        <w:t>按照</w:t>
      </w:r>
      <w:r>
        <w:rPr>
          <w:rStyle w:val="14"/>
          <w:rFonts w:hint="eastAsia" w:ascii="仿宋_GB2312" w:hAnsi="仿宋_GB2312" w:eastAsia="仿宋_GB2312" w:cs="仿宋_GB2312"/>
          <w:b w:val="0"/>
          <w:color w:val="auto"/>
          <w:sz w:val="32"/>
          <w:szCs w:val="32"/>
          <w:lang w:eastAsia="zh-CN" w:bidi="ar"/>
        </w:rPr>
        <w:t>塔城</w:t>
      </w:r>
      <w:r>
        <w:rPr>
          <w:rStyle w:val="14"/>
          <w:rFonts w:hint="eastAsia" w:ascii="仿宋_GB2312" w:hAnsi="仿宋_GB2312" w:eastAsia="仿宋_GB2312" w:cs="仿宋_GB2312"/>
          <w:b w:val="0"/>
          <w:color w:val="auto"/>
          <w:sz w:val="32"/>
          <w:szCs w:val="32"/>
          <w:lang w:bidi="ar"/>
        </w:rPr>
        <w:t>地区财政局</w:t>
      </w:r>
      <w:r>
        <w:rPr>
          <w:rStyle w:val="14"/>
          <w:rFonts w:hint="eastAsia" w:ascii="仿宋_GB2312" w:hAnsi="仿宋_GB2312" w:eastAsia="仿宋_GB2312" w:cs="仿宋_GB2312"/>
          <w:b w:val="0"/>
          <w:color w:val="333333"/>
          <w:sz w:val="32"/>
          <w:szCs w:val="32"/>
          <w:lang w:bidi="ar"/>
        </w:rPr>
        <w:t>预决算信息公开工作要求，我单位在</w:t>
      </w:r>
      <w:r>
        <w:rPr>
          <w:rStyle w:val="14"/>
          <w:rFonts w:hint="eastAsia" w:ascii="仿宋_GB2312" w:hAnsi="仿宋_GB2312" w:eastAsia="仿宋_GB2312" w:cs="仿宋_GB2312"/>
          <w:b w:val="0"/>
          <w:color w:val="333333"/>
          <w:sz w:val="32"/>
          <w:szCs w:val="32"/>
          <w:lang w:eastAsia="zh-CN" w:bidi="ar"/>
        </w:rPr>
        <w:t>人民</w:t>
      </w:r>
      <w:r>
        <w:rPr>
          <w:rStyle w:val="14"/>
          <w:rFonts w:hint="eastAsia" w:ascii="仿宋_GB2312" w:hAnsi="仿宋_GB2312" w:eastAsia="仿宋_GB2312" w:cs="仿宋_GB2312"/>
          <w:b w:val="0"/>
          <w:color w:val="000000" w:themeColor="text1"/>
          <w:sz w:val="32"/>
          <w:szCs w:val="32"/>
          <w:lang w:bidi="ar"/>
          <w14:textFill>
            <w14:solidFill>
              <w14:schemeClr w14:val="tx1"/>
            </w14:solidFill>
          </w14:textFill>
        </w:rPr>
        <w:t>政</w:t>
      </w:r>
      <w:r>
        <w:rPr>
          <w:rStyle w:val="14"/>
          <w:rFonts w:hint="eastAsia" w:ascii="仿宋_GB2312" w:hAnsi="仿宋_GB2312" w:eastAsia="仿宋_GB2312" w:cs="仿宋_GB2312"/>
          <w:b w:val="0"/>
          <w:color w:val="333333"/>
          <w:sz w:val="32"/>
          <w:szCs w:val="32"/>
          <w:lang w:bidi="ar"/>
        </w:rPr>
        <w:t>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pPr>
        <w:pStyle w:val="4"/>
        <w:pageBreakBefore w:val="0"/>
        <w:numPr>
          <w:ilvl w:val="0"/>
          <w:numId w:val="2"/>
        </w:numPr>
        <w:kinsoku/>
        <w:wordWrap/>
        <w:overflowPunct/>
        <w:topLinePunct w:val="0"/>
        <w:autoSpaceDE/>
        <w:autoSpaceDN/>
        <w:bidi w:val="0"/>
        <w:spacing w:line="570" w:lineRule="exact"/>
        <w:ind w:firstLine="643" w:firstLineChars="200"/>
        <w:jc w:val="both"/>
        <w:textAlignment w:val="auto"/>
        <w:rPr>
          <w:rFonts w:ascii="楷体_GB2312" w:eastAsia="楷体_GB2312"/>
          <w:bCs/>
          <w:szCs w:val="32"/>
        </w:rPr>
      </w:pPr>
      <w:r>
        <w:rPr>
          <w:rFonts w:hint="eastAsia" w:ascii="楷体_GB2312" w:eastAsia="楷体_GB2312"/>
          <w:bCs/>
          <w:szCs w:val="32"/>
        </w:rPr>
        <w:t>基本支出预算安排及支出情况</w:t>
      </w:r>
    </w:p>
    <w:p>
      <w:pPr>
        <w:pageBreakBefore w:val="0"/>
        <w:kinsoku/>
        <w:wordWrap/>
        <w:overflowPunct/>
        <w:topLinePunct w:val="0"/>
        <w:autoSpaceDE/>
        <w:autoSpaceDN/>
        <w:bidi w:val="0"/>
        <w:spacing w:line="570" w:lineRule="exact"/>
        <w:ind w:firstLine="643" w:firstLineChars="200"/>
        <w:jc w:val="both"/>
        <w:textAlignment w:val="auto"/>
        <w:rPr>
          <w:rFonts w:ascii="仿宋_GB2312" w:eastAsia="仿宋_GB2312"/>
          <w:b/>
          <w:bCs/>
          <w:sz w:val="32"/>
          <w:szCs w:val="32"/>
        </w:rPr>
      </w:pPr>
      <w:r>
        <w:rPr>
          <w:rFonts w:hint="eastAsia" w:ascii="仿宋_GB2312" w:eastAsia="仿宋_GB2312"/>
          <w:b/>
          <w:bCs/>
          <w:sz w:val="32"/>
          <w:szCs w:val="32"/>
        </w:rPr>
        <w:t>1.基本支出情况</w:t>
      </w:r>
    </w:p>
    <w:p>
      <w:pPr>
        <w:pageBreakBefore w:val="0"/>
        <w:kinsoku/>
        <w:wordWrap/>
        <w:overflowPunct/>
        <w:topLinePunct w:val="0"/>
        <w:autoSpaceDE/>
        <w:autoSpaceDN/>
        <w:bidi w:val="0"/>
        <w:spacing w:line="570" w:lineRule="exact"/>
        <w:ind w:firstLine="640" w:firstLineChars="200"/>
        <w:jc w:val="both"/>
        <w:textAlignment w:val="auto"/>
        <w:rPr>
          <w:rFonts w:hint="eastAsia" w:ascii="仿宋_GB2312" w:eastAsia="仿宋_GB2312"/>
          <w:color w:val="FF0000"/>
          <w:sz w:val="32"/>
          <w:szCs w:val="32"/>
          <w:lang w:eastAsia="zh-CN"/>
        </w:rPr>
      </w:pPr>
      <w:r>
        <w:rPr>
          <w:rFonts w:hint="eastAsia" w:ascii="仿宋_GB2312" w:eastAsia="仿宋_GB2312"/>
          <w:sz w:val="32"/>
          <w:szCs w:val="32"/>
          <w:lang w:eastAsia="zh-CN"/>
        </w:rPr>
        <w:t>2023</w:t>
      </w:r>
      <w:r>
        <w:rPr>
          <w:rFonts w:hint="eastAsia" w:ascii="仿宋_GB2312" w:eastAsia="仿宋_GB2312"/>
          <w:sz w:val="32"/>
          <w:szCs w:val="32"/>
        </w:rPr>
        <w:t>年，</w:t>
      </w:r>
      <w:r>
        <w:rPr>
          <w:rStyle w:val="14"/>
          <w:rFonts w:hint="eastAsia" w:ascii="仿宋_GB2312" w:hAnsi="仿宋_GB2312" w:eastAsia="仿宋_GB2312" w:cs="仿宋_GB2312"/>
          <w:b w:val="0"/>
          <w:color w:val="000000" w:themeColor="text1"/>
          <w:sz w:val="32"/>
          <w:szCs w:val="32"/>
          <w:lang w:eastAsia="zh-CN" w:bidi="ar"/>
          <w14:textFill>
            <w14:solidFill>
              <w14:schemeClr w14:val="tx1"/>
            </w14:solidFill>
          </w14:textFill>
        </w:rPr>
        <w:t>裕民县吉也克镇人民政府</w:t>
      </w:r>
      <w:r>
        <w:rPr>
          <w:rFonts w:hint="eastAsia" w:ascii="仿宋_GB2312" w:eastAsia="仿宋_GB2312"/>
          <w:color w:val="000000" w:themeColor="text1"/>
          <w:sz w:val="32"/>
          <w:szCs w:val="32"/>
          <w14:textFill>
            <w14:solidFill>
              <w14:schemeClr w14:val="tx1"/>
            </w14:solidFill>
          </w14:textFill>
        </w:rPr>
        <w:t>单位</w:t>
      </w:r>
      <w:r>
        <w:rPr>
          <w:rFonts w:hint="eastAsia" w:ascii="仿宋_GB2312" w:eastAsia="仿宋_GB2312"/>
          <w:sz w:val="32"/>
          <w:szCs w:val="32"/>
        </w:rPr>
        <w:t>基本支出年初预算金额为</w:t>
      </w:r>
      <w:r>
        <w:rPr>
          <w:rFonts w:hint="eastAsia" w:ascii="仿宋_GB2312" w:eastAsia="仿宋_GB2312"/>
          <w:sz w:val="32"/>
          <w:szCs w:val="32"/>
          <w:lang w:val="en-US" w:eastAsia="zh-CN"/>
        </w:rPr>
        <w:t>1110.81</w:t>
      </w:r>
      <w:r>
        <w:rPr>
          <w:rFonts w:hint="eastAsia" w:ascii="仿宋_GB2312" w:eastAsia="仿宋_GB2312"/>
          <w:sz w:val="32"/>
          <w:szCs w:val="32"/>
        </w:rPr>
        <w:t>万元，实际支出金额为</w:t>
      </w:r>
      <w:r>
        <w:rPr>
          <w:rFonts w:hint="eastAsia" w:ascii="仿宋_GB2312" w:eastAsia="仿宋_GB2312"/>
          <w:sz w:val="32"/>
          <w:szCs w:val="32"/>
          <w:lang w:val="en-US" w:eastAsia="zh-CN"/>
        </w:rPr>
        <w:t>1110.81</w:t>
      </w:r>
      <w:r>
        <w:rPr>
          <w:rFonts w:hint="eastAsia" w:ascii="仿宋_GB2312" w:eastAsia="仿宋_GB2312"/>
          <w:sz w:val="32"/>
          <w:szCs w:val="32"/>
        </w:rPr>
        <w:t>万元，预算执行率为</w:t>
      </w:r>
      <w:r>
        <w:rPr>
          <w:rFonts w:hint="eastAsia" w:ascii="仿宋_GB2312" w:eastAsia="仿宋_GB2312"/>
          <w:sz w:val="32"/>
          <w:szCs w:val="32"/>
          <w:lang w:val="en-US" w:eastAsia="zh-CN"/>
        </w:rPr>
        <w:t>100</w:t>
      </w:r>
      <w:r>
        <w:rPr>
          <w:rFonts w:hint="eastAsia" w:ascii="仿宋_GB2312" w:eastAsia="仿宋_GB2312"/>
          <w:color w:val="000000" w:themeColor="text1"/>
          <w:sz w:val="32"/>
          <w:szCs w:val="32"/>
          <w14:textFill>
            <w14:solidFill>
              <w14:schemeClr w14:val="tx1"/>
            </w14:solidFill>
          </w14:textFill>
        </w:rPr>
        <w:t>%</w:t>
      </w:r>
      <w:r>
        <w:rPr>
          <w:rFonts w:hint="eastAsia" w:ascii="仿宋_GB2312" w:eastAsia="仿宋_GB2312"/>
          <w:color w:val="000000" w:themeColor="text1"/>
          <w:sz w:val="32"/>
          <w:szCs w:val="32"/>
          <w:lang w:eastAsia="zh-CN"/>
          <w14:textFill>
            <w14:solidFill>
              <w14:schemeClr w14:val="tx1"/>
            </w14:solidFill>
          </w14:textFill>
        </w:rPr>
        <w:t>；</w:t>
      </w:r>
      <w:r>
        <w:rPr>
          <w:rFonts w:hint="eastAsia" w:ascii="仿宋_GB2312" w:eastAsia="仿宋_GB2312"/>
          <w:sz w:val="32"/>
          <w:szCs w:val="32"/>
        </w:rPr>
        <w:t>年中调整预算金额为</w:t>
      </w:r>
      <w:r>
        <w:rPr>
          <w:rFonts w:hint="eastAsia" w:ascii="仿宋_GB2312" w:eastAsia="仿宋_GB2312"/>
          <w:sz w:val="32"/>
          <w:szCs w:val="32"/>
          <w:lang w:val="en-US" w:eastAsia="zh-CN"/>
        </w:rPr>
        <w:t>438.23</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lang w:val="en-US" w:eastAsia="zh-CN"/>
        </w:rPr>
        <w:t>调整后基本支出总预算金额为1549.04</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lang w:val="en-US" w:eastAsia="zh-CN"/>
        </w:rPr>
        <w:t>全年基本支出总预算执行率为100</w:t>
      </w:r>
      <w:r>
        <w:rPr>
          <w:rFonts w:hint="eastAsia" w:ascii="仿宋_GB2312" w:eastAsia="仿宋_GB2312"/>
          <w:color w:val="000000" w:themeColor="text1"/>
          <w:sz w:val="32"/>
          <w:szCs w:val="32"/>
          <w14:textFill>
            <w14:solidFill>
              <w14:schemeClr w14:val="tx1"/>
            </w14:solidFill>
          </w14:textFill>
        </w:rPr>
        <w:t>%</w:t>
      </w:r>
      <w:r>
        <w:rPr>
          <w:rFonts w:hint="eastAsia" w:ascii="仿宋_GB2312" w:eastAsia="仿宋_GB2312"/>
          <w:color w:val="000000" w:themeColor="text1"/>
          <w:sz w:val="32"/>
          <w:szCs w:val="32"/>
          <w:lang w:eastAsia="zh-CN"/>
          <w14:textFill>
            <w14:solidFill>
              <w14:schemeClr w14:val="tx1"/>
            </w14:solidFill>
          </w14:textFill>
        </w:rPr>
        <w:t>。</w:t>
      </w:r>
    </w:p>
    <w:p>
      <w:pPr>
        <w:pageBreakBefore w:val="0"/>
        <w:kinsoku/>
        <w:wordWrap/>
        <w:overflowPunct/>
        <w:topLinePunct w:val="0"/>
        <w:autoSpaceDE/>
        <w:autoSpaceDN/>
        <w:bidi w:val="0"/>
        <w:spacing w:line="570" w:lineRule="exact"/>
        <w:ind w:firstLine="640" w:firstLineChars="200"/>
        <w:jc w:val="both"/>
        <w:textAlignment w:val="auto"/>
        <w:rPr>
          <w:rFonts w:ascii="仿宋_GB2312" w:eastAsia="仿宋_GB2312"/>
          <w:color w:val="FF0000"/>
          <w:sz w:val="32"/>
          <w:szCs w:val="32"/>
        </w:rPr>
      </w:pPr>
      <w:r>
        <w:rPr>
          <w:rFonts w:hint="eastAsia" w:ascii="仿宋_GB2312" w:eastAsia="仿宋_GB2312"/>
          <w:sz w:val="32"/>
          <w:szCs w:val="32"/>
        </w:rPr>
        <w:t>综上所述，我单位基本支出预算总额为</w:t>
      </w:r>
      <w:r>
        <w:rPr>
          <w:rFonts w:hint="eastAsia" w:ascii="仿宋_GB2312" w:eastAsia="仿宋_GB2312"/>
          <w:sz w:val="32"/>
          <w:szCs w:val="32"/>
          <w:lang w:val="en-US" w:eastAsia="zh-CN"/>
        </w:rPr>
        <w:t>1549.04</w:t>
      </w:r>
      <w:r>
        <w:rPr>
          <w:rFonts w:hint="eastAsia" w:ascii="仿宋_GB2312" w:eastAsia="仿宋_GB2312"/>
          <w:sz w:val="32"/>
          <w:szCs w:val="32"/>
        </w:rPr>
        <w:t>万元，实际支出总额为</w:t>
      </w:r>
      <w:r>
        <w:rPr>
          <w:rFonts w:hint="eastAsia" w:ascii="仿宋_GB2312" w:eastAsia="仿宋_GB2312"/>
          <w:sz w:val="32"/>
          <w:szCs w:val="32"/>
          <w:lang w:val="en-US" w:eastAsia="zh-CN"/>
        </w:rPr>
        <w:t>1549.04</w:t>
      </w:r>
      <w:r>
        <w:rPr>
          <w:rFonts w:hint="eastAsia" w:ascii="仿宋_GB2312" w:eastAsia="仿宋_GB2312"/>
          <w:sz w:val="32"/>
          <w:szCs w:val="32"/>
        </w:rPr>
        <w:t>万元，预算总执行率为</w:t>
      </w:r>
      <w:r>
        <w:rPr>
          <w:rFonts w:hint="eastAsia" w:ascii="仿宋_GB2312" w:eastAsia="仿宋_GB2312"/>
          <w:sz w:val="32"/>
          <w:szCs w:val="32"/>
          <w:lang w:val="en-US" w:eastAsia="zh-CN"/>
        </w:rPr>
        <w:t>100</w:t>
      </w:r>
      <w:r>
        <w:rPr>
          <w:rFonts w:hint="eastAsia" w:ascii="仿宋_GB2312" w:eastAsia="仿宋_GB2312"/>
          <w:color w:val="000000" w:themeColor="text1"/>
          <w:sz w:val="32"/>
          <w:szCs w:val="32"/>
          <w14:textFill>
            <w14:solidFill>
              <w14:schemeClr w14:val="tx1"/>
            </w14:solidFill>
          </w14:textFill>
        </w:rPr>
        <w:t>%</w:t>
      </w:r>
      <w:r>
        <w:rPr>
          <w:rFonts w:hint="eastAsia" w:ascii="仿宋_GB2312" w:eastAsia="仿宋_GB2312"/>
          <w:sz w:val="32"/>
          <w:szCs w:val="32"/>
        </w:rPr>
        <w:t>，其中人员经费</w:t>
      </w:r>
      <w:r>
        <w:rPr>
          <w:rFonts w:hint="eastAsia" w:ascii="仿宋_GB2312" w:eastAsia="仿宋_GB2312"/>
          <w:sz w:val="32"/>
          <w:szCs w:val="32"/>
          <w:lang w:val="en-US" w:eastAsia="zh-CN"/>
        </w:rPr>
        <w:t>1473.43</w:t>
      </w:r>
      <w:r>
        <w:rPr>
          <w:rFonts w:hint="eastAsia" w:ascii="仿宋_GB2312" w:eastAsia="仿宋_GB2312"/>
          <w:sz w:val="32"/>
          <w:szCs w:val="32"/>
        </w:rPr>
        <w:t>万元，公用经费</w:t>
      </w:r>
      <w:r>
        <w:rPr>
          <w:rFonts w:hint="eastAsia" w:ascii="仿宋_GB2312" w:eastAsia="仿宋_GB2312"/>
          <w:sz w:val="32"/>
          <w:szCs w:val="32"/>
          <w:lang w:val="en-US" w:eastAsia="zh-CN"/>
        </w:rPr>
        <w:t>75.61</w:t>
      </w:r>
      <w:r>
        <w:rPr>
          <w:rFonts w:hint="eastAsia" w:ascii="仿宋_GB2312" w:eastAsia="仿宋_GB2312"/>
          <w:sz w:val="32"/>
          <w:szCs w:val="32"/>
        </w:rPr>
        <w:t>万元。</w:t>
      </w:r>
    </w:p>
    <w:p>
      <w:pPr>
        <w:pageBreakBefore w:val="0"/>
        <w:kinsoku/>
        <w:wordWrap/>
        <w:overflowPunct/>
        <w:topLinePunct w:val="0"/>
        <w:autoSpaceDE/>
        <w:autoSpaceDN/>
        <w:bidi w:val="0"/>
        <w:spacing w:line="570" w:lineRule="exact"/>
        <w:ind w:firstLine="640" w:firstLineChars="200"/>
        <w:jc w:val="both"/>
        <w:textAlignment w:val="auto"/>
        <w:rPr>
          <w:rFonts w:hint="eastAsia" w:ascii="仿宋_GB2312" w:eastAsia="仿宋_GB2312"/>
          <w:bCs/>
          <w:sz w:val="32"/>
          <w:szCs w:val="32"/>
        </w:rPr>
      </w:pPr>
      <w:r>
        <w:rPr>
          <w:rFonts w:hint="eastAsia" w:ascii="仿宋_GB2312" w:eastAsia="仿宋_GB2312"/>
          <w:bCs/>
          <w:sz w:val="32"/>
          <w:szCs w:val="32"/>
        </w:rPr>
        <w:t>本单位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p>
    <w:p>
      <w:pPr>
        <w:pageBreakBefore w:val="0"/>
        <w:kinsoku/>
        <w:wordWrap/>
        <w:overflowPunct/>
        <w:topLinePunct w:val="0"/>
        <w:autoSpaceDE/>
        <w:autoSpaceDN/>
        <w:bidi w:val="0"/>
        <w:spacing w:line="570" w:lineRule="exact"/>
        <w:ind w:firstLine="643" w:firstLineChars="200"/>
        <w:jc w:val="both"/>
        <w:textAlignment w:val="auto"/>
        <w:rPr>
          <w:rFonts w:ascii="仿宋_GB2312" w:eastAsia="仿宋_GB2312"/>
          <w:b/>
          <w:bCs/>
          <w:sz w:val="32"/>
          <w:szCs w:val="32"/>
        </w:rPr>
      </w:pPr>
      <w:r>
        <w:rPr>
          <w:rFonts w:hint="eastAsia" w:ascii="仿宋_GB2312" w:eastAsia="仿宋_GB2312"/>
          <w:b/>
          <w:bCs/>
          <w:sz w:val="32"/>
          <w:szCs w:val="32"/>
        </w:rPr>
        <w:t>2.“三公”经费情况</w:t>
      </w:r>
    </w:p>
    <w:p>
      <w:pPr>
        <w:pStyle w:val="16"/>
        <w:pageBreakBefore w:val="0"/>
        <w:kinsoku/>
        <w:wordWrap/>
        <w:overflowPunct/>
        <w:topLinePunct w:val="0"/>
        <w:autoSpaceDE/>
        <w:autoSpaceDN/>
        <w:bidi w:val="0"/>
        <w:snapToGrid w:val="0"/>
        <w:spacing w:line="570" w:lineRule="exact"/>
        <w:ind w:firstLine="640" w:firstLineChars="200"/>
        <w:jc w:val="both"/>
        <w:textAlignment w:val="auto"/>
        <w:rPr>
          <w:rFonts w:hint="eastAsia" w:ascii="仿宋_GB2312" w:eastAsia="仿宋_GB2312" w:cs="宋体"/>
          <w:bCs/>
          <w:color w:val="333333"/>
          <w:sz w:val="32"/>
          <w:szCs w:val="32"/>
          <w:lang w:bidi="ar"/>
        </w:rPr>
      </w:pPr>
      <w:r>
        <w:rPr>
          <w:rFonts w:hint="eastAsia" w:ascii="仿宋_GB2312" w:eastAsia="仿宋_GB2312" w:cs="宋体"/>
          <w:bCs/>
          <w:color w:val="333333"/>
          <w:sz w:val="32"/>
          <w:szCs w:val="32"/>
          <w:lang w:bidi="ar"/>
        </w:rPr>
        <w:t>本单位坚决贯彻落实中央、自治区、地委行署厉行勤俭办公的工作要求，</w:t>
      </w:r>
      <w:r>
        <w:rPr>
          <w:rFonts w:hint="eastAsia" w:ascii="仿宋_GB2312" w:eastAsia="仿宋_GB2312" w:cs="宋体"/>
          <w:sz w:val="32"/>
          <w:szCs w:val="32"/>
        </w:rPr>
        <w:t>严格执行《党政机关厉行节约反对浪费条例》</w:t>
      </w:r>
      <w:r>
        <w:rPr>
          <w:rFonts w:hint="eastAsia" w:ascii="仿宋_GB2312" w:eastAsia="仿宋_GB2312" w:cs="宋体"/>
          <w:sz w:val="32"/>
          <w:szCs w:val="32"/>
          <w:lang w:eastAsia="zh-CN"/>
        </w:rPr>
        <w:t>，</w:t>
      </w:r>
      <w:r>
        <w:rPr>
          <w:rFonts w:hint="eastAsia" w:ascii="仿宋_GB2312" w:eastAsia="仿宋_GB2312" w:cs="宋体"/>
          <w:bCs/>
          <w:color w:val="333333"/>
          <w:sz w:val="32"/>
          <w:szCs w:val="32"/>
          <w:lang w:bidi="ar"/>
        </w:rPr>
        <w:t>提倡本单位全体干部职工，勤俭节约，切实降低行政运行成本，确保每年“三公经费”只减不增。</w:t>
      </w:r>
      <w:r>
        <w:rPr>
          <w:rFonts w:hint="eastAsia" w:ascii="仿宋_GB2312" w:eastAsia="仿宋_GB2312" w:cs="宋体"/>
          <w:bCs/>
          <w:color w:val="333333"/>
          <w:sz w:val="32"/>
          <w:szCs w:val="32"/>
          <w:lang w:eastAsia="zh-CN" w:bidi="ar"/>
        </w:rPr>
        <w:t>2023</w:t>
      </w:r>
      <w:r>
        <w:rPr>
          <w:rFonts w:hint="eastAsia" w:ascii="仿宋_GB2312" w:eastAsia="仿宋_GB2312" w:cs="宋体"/>
          <w:bCs/>
          <w:color w:val="333333"/>
          <w:sz w:val="32"/>
          <w:szCs w:val="32"/>
          <w:lang w:bidi="ar"/>
        </w:rPr>
        <w:t>年“三公经费”预算为</w:t>
      </w:r>
      <w:r>
        <w:rPr>
          <w:rFonts w:hint="eastAsia" w:ascii="仿宋_GB2312" w:eastAsia="仿宋_GB2312" w:cs="宋体"/>
          <w:bCs/>
          <w:color w:val="333333"/>
          <w:sz w:val="32"/>
          <w:szCs w:val="32"/>
          <w:lang w:val="en-US" w:eastAsia="zh-CN" w:bidi="ar"/>
        </w:rPr>
        <w:t>6</w:t>
      </w:r>
      <w:r>
        <w:rPr>
          <w:rFonts w:hint="eastAsia" w:ascii="仿宋_GB2312" w:eastAsia="仿宋_GB2312" w:cs="宋体"/>
          <w:bCs/>
          <w:color w:val="333333"/>
          <w:sz w:val="32"/>
          <w:szCs w:val="32"/>
          <w:lang w:bidi="ar"/>
        </w:rPr>
        <w:t>万元，实际支出</w:t>
      </w:r>
      <w:r>
        <w:rPr>
          <w:rFonts w:hint="eastAsia" w:ascii="仿宋_GB2312" w:eastAsia="仿宋_GB2312" w:cs="宋体"/>
          <w:bCs/>
          <w:color w:val="333333"/>
          <w:sz w:val="32"/>
          <w:szCs w:val="32"/>
          <w:lang w:val="en-US" w:eastAsia="zh-CN" w:bidi="ar"/>
        </w:rPr>
        <w:t>5.07</w:t>
      </w:r>
      <w:r>
        <w:rPr>
          <w:rFonts w:hint="eastAsia" w:ascii="仿宋_GB2312" w:eastAsia="仿宋_GB2312" w:cs="宋体"/>
          <w:bCs/>
          <w:color w:val="333333"/>
          <w:sz w:val="32"/>
          <w:szCs w:val="32"/>
          <w:lang w:bidi="ar"/>
        </w:rPr>
        <w:t>万元，</w:t>
      </w:r>
      <w:r>
        <w:rPr>
          <w:rFonts w:hint="eastAsia" w:ascii="仿宋_GB2312" w:eastAsia="仿宋_GB2312" w:cs="宋体"/>
          <w:sz w:val="32"/>
          <w:szCs w:val="32"/>
        </w:rPr>
        <w:t>较上年“三公”经费决算支出</w:t>
      </w:r>
      <w:r>
        <w:rPr>
          <w:rFonts w:hint="eastAsia" w:ascii="仿宋_GB2312" w:eastAsia="仿宋_GB2312"/>
          <w:color w:val="000000" w:themeColor="text1"/>
          <w:sz w:val="32"/>
          <w:szCs w:val="32"/>
          <w:lang w:val="en-US" w:eastAsia="zh-CN"/>
          <w14:textFill>
            <w14:solidFill>
              <w14:schemeClr w14:val="tx1"/>
            </w14:solidFill>
          </w14:textFill>
        </w:rPr>
        <w:t>16</w:t>
      </w:r>
      <w:r>
        <w:rPr>
          <w:rFonts w:hint="eastAsia" w:ascii="仿宋_GB2312" w:eastAsia="仿宋_GB2312" w:cs="宋体"/>
          <w:sz w:val="32"/>
          <w:szCs w:val="32"/>
        </w:rPr>
        <w:t>万元，</w:t>
      </w:r>
      <w:r>
        <w:rPr>
          <w:rFonts w:hint="eastAsia" w:ascii="仿宋_GB2312" w:eastAsia="仿宋_GB2312" w:cs="宋体"/>
          <w:color w:val="000000" w:themeColor="text1"/>
          <w:sz w:val="32"/>
          <w:szCs w:val="32"/>
          <w14:textFill>
            <w14:solidFill>
              <w14:schemeClr w14:val="tx1"/>
            </w14:solidFill>
          </w14:textFill>
        </w:rPr>
        <w:t>减少</w:t>
      </w:r>
      <w:r>
        <w:rPr>
          <w:rFonts w:hint="eastAsia" w:ascii="仿宋_GB2312" w:eastAsia="仿宋_GB2312" w:cs="宋体"/>
          <w:color w:val="000000" w:themeColor="text1"/>
          <w:sz w:val="32"/>
          <w:szCs w:val="32"/>
          <w:lang w:val="en-US" w:eastAsia="zh-CN"/>
          <w14:textFill>
            <w14:solidFill>
              <w14:schemeClr w14:val="tx1"/>
            </w14:solidFill>
          </w14:textFill>
        </w:rPr>
        <w:t>10.93</w:t>
      </w:r>
      <w:r>
        <w:rPr>
          <w:rFonts w:hint="eastAsia" w:ascii="仿宋_GB2312" w:eastAsia="仿宋_GB2312" w:cs="宋体"/>
          <w:sz w:val="32"/>
          <w:szCs w:val="32"/>
        </w:rPr>
        <w:t>万元，</w:t>
      </w:r>
      <w:r>
        <w:rPr>
          <w:rFonts w:hint="eastAsia" w:ascii="仿宋_GB2312" w:eastAsia="仿宋_GB2312" w:cs="宋体"/>
          <w:color w:val="000000" w:themeColor="text1"/>
          <w:sz w:val="32"/>
          <w:szCs w:val="32"/>
          <w14:textFill>
            <w14:solidFill>
              <w14:schemeClr w14:val="tx1"/>
            </w14:solidFill>
          </w14:textFill>
        </w:rPr>
        <w:t>下降</w:t>
      </w:r>
      <w:r>
        <w:rPr>
          <w:rFonts w:hint="eastAsia" w:ascii="仿宋_GB2312" w:eastAsia="仿宋_GB2312" w:cs="宋体"/>
          <w:color w:val="000000" w:themeColor="text1"/>
          <w:sz w:val="32"/>
          <w:szCs w:val="32"/>
          <w:lang w:val="en-US" w:eastAsia="zh-CN"/>
          <w14:textFill>
            <w14:solidFill>
              <w14:schemeClr w14:val="tx1"/>
            </w14:solidFill>
          </w14:textFill>
        </w:rPr>
        <w:t>68.3</w:t>
      </w:r>
      <w:r>
        <w:rPr>
          <w:rFonts w:hint="eastAsia" w:ascii="仿宋_GB2312" w:eastAsia="仿宋_GB2312" w:cs="宋体"/>
          <w:color w:val="000000" w:themeColor="text1"/>
          <w:sz w:val="32"/>
          <w:szCs w:val="32"/>
          <w14:textFill>
            <w14:solidFill>
              <w14:schemeClr w14:val="tx1"/>
            </w14:solidFill>
          </w14:textFill>
        </w:rPr>
        <w:t>%</w:t>
      </w:r>
      <w:r>
        <w:rPr>
          <w:rFonts w:hint="eastAsia" w:ascii="仿宋_GB2312" w:eastAsia="仿宋_GB2312" w:cs="宋体"/>
          <w:color w:val="000000" w:themeColor="text1"/>
          <w:sz w:val="32"/>
          <w:szCs w:val="32"/>
          <w:lang w:eastAsia="zh-CN"/>
          <w14:textFill>
            <w14:solidFill>
              <w14:schemeClr w14:val="tx1"/>
            </w14:solidFill>
          </w14:textFill>
        </w:rPr>
        <w:t>；减少</w:t>
      </w:r>
      <w:r>
        <w:rPr>
          <w:rFonts w:hint="eastAsia" w:ascii="仿宋_GB2312" w:eastAsia="仿宋_GB2312" w:cs="宋体"/>
          <w:color w:val="000000" w:themeColor="text1"/>
          <w:sz w:val="32"/>
          <w:szCs w:val="32"/>
          <w:lang w:val="en-US" w:eastAsia="zh-CN"/>
          <w14:textFill>
            <w14:solidFill>
              <w14:schemeClr w14:val="tx1"/>
            </w14:solidFill>
          </w14:textFill>
        </w:rPr>
        <w:t>的原因是：压缩三公经费</w:t>
      </w:r>
      <w:r>
        <w:rPr>
          <w:rFonts w:hint="eastAsia" w:ascii="仿宋_GB2312" w:eastAsia="仿宋_GB2312" w:cs="宋体"/>
          <w:color w:val="000000" w:themeColor="text1"/>
          <w:sz w:val="32"/>
          <w:szCs w:val="32"/>
          <w14:textFill>
            <w14:solidFill>
              <w14:schemeClr w14:val="tx1"/>
            </w14:solidFill>
          </w14:textFill>
        </w:rPr>
        <w:t>。</w:t>
      </w:r>
      <w:r>
        <w:rPr>
          <w:rFonts w:hint="eastAsia" w:ascii="仿宋_GB2312" w:eastAsia="仿宋_GB2312" w:cs="宋体"/>
          <w:bCs/>
          <w:color w:val="333333"/>
          <w:sz w:val="32"/>
          <w:szCs w:val="32"/>
          <w:lang w:bidi="ar"/>
        </w:rPr>
        <w:t>其中：因公出国（境）费预算为</w:t>
      </w:r>
      <w:r>
        <w:rPr>
          <w:rFonts w:hint="eastAsia" w:ascii="仿宋_GB2312" w:eastAsia="仿宋_GB2312" w:cs="宋体"/>
          <w:bCs/>
          <w:color w:val="333333"/>
          <w:sz w:val="32"/>
          <w:szCs w:val="32"/>
          <w:lang w:val="en-US" w:eastAsia="zh-CN" w:bidi="ar"/>
        </w:rPr>
        <w:t>0</w:t>
      </w:r>
      <w:r>
        <w:rPr>
          <w:rFonts w:hint="eastAsia" w:ascii="仿宋_GB2312" w:eastAsia="仿宋_GB2312" w:cs="宋体"/>
          <w:bCs/>
          <w:color w:val="333333"/>
          <w:sz w:val="32"/>
          <w:szCs w:val="32"/>
          <w:lang w:bidi="ar"/>
        </w:rPr>
        <w:t>万元，实际支出</w:t>
      </w:r>
      <w:r>
        <w:rPr>
          <w:rFonts w:hint="eastAsia" w:ascii="仿宋_GB2312" w:eastAsia="仿宋_GB2312"/>
          <w:color w:val="000000" w:themeColor="text1"/>
          <w:sz w:val="32"/>
          <w:szCs w:val="32"/>
          <w:lang w:val="en-US" w:eastAsia="zh-CN"/>
          <w14:textFill>
            <w14:solidFill>
              <w14:schemeClr w14:val="tx1"/>
            </w14:solidFill>
          </w14:textFill>
        </w:rPr>
        <w:t>0</w:t>
      </w:r>
      <w:r>
        <w:rPr>
          <w:rFonts w:hint="eastAsia" w:ascii="仿宋_GB2312" w:eastAsia="仿宋_GB2312" w:cs="宋体"/>
          <w:bCs/>
          <w:color w:val="333333"/>
          <w:sz w:val="32"/>
          <w:szCs w:val="32"/>
          <w:lang w:bidi="ar"/>
        </w:rPr>
        <w:t>万元；公务接待费预算</w:t>
      </w:r>
      <w:r>
        <w:rPr>
          <w:rFonts w:hint="eastAsia" w:ascii="仿宋_GB2312" w:eastAsia="仿宋_GB2312" w:cs="宋体"/>
          <w:bCs/>
          <w:color w:val="000000" w:themeColor="text1"/>
          <w:sz w:val="32"/>
          <w:szCs w:val="32"/>
          <w:lang w:bidi="ar"/>
          <w14:textFill>
            <w14:solidFill>
              <w14:schemeClr w14:val="tx1"/>
            </w14:solidFill>
          </w14:textFill>
        </w:rPr>
        <w:t>为</w:t>
      </w:r>
      <w:r>
        <w:rPr>
          <w:rFonts w:hint="eastAsia" w:ascii="仿宋_GB2312" w:eastAsia="仿宋_GB2312"/>
          <w:color w:val="000000" w:themeColor="text1"/>
          <w:sz w:val="32"/>
          <w:szCs w:val="32"/>
          <w:lang w:val="en-US" w:eastAsia="zh-CN"/>
          <w14:textFill>
            <w14:solidFill>
              <w14:schemeClr w14:val="tx1"/>
            </w14:solidFill>
          </w14:textFill>
        </w:rPr>
        <w:t>0</w:t>
      </w:r>
      <w:r>
        <w:rPr>
          <w:rFonts w:hint="eastAsia" w:ascii="仿宋_GB2312" w:eastAsia="仿宋_GB2312" w:cs="宋体"/>
          <w:bCs/>
          <w:color w:val="000000" w:themeColor="text1"/>
          <w:sz w:val="32"/>
          <w:szCs w:val="32"/>
          <w:lang w:bidi="ar"/>
          <w14:textFill>
            <w14:solidFill>
              <w14:schemeClr w14:val="tx1"/>
            </w14:solidFill>
          </w14:textFill>
        </w:rPr>
        <w:t>万元，实际支出</w:t>
      </w:r>
      <w:r>
        <w:rPr>
          <w:rFonts w:hint="eastAsia" w:ascii="仿宋_GB2312" w:eastAsia="仿宋_GB2312"/>
          <w:color w:val="000000" w:themeColor="text1"/>
          <w:sz w:val="32"/>
          <w:szCs w:val="32"/>
          <w:lang w:val="en-US" w:eastAsia="zh-CN"/>
          <w14:textFill>
            <w14:solidFill>
              <w14:schemeClr w14:val="tx1"/>
            </w14:solidFill>
          </w14:textFill>
        </w:rPr>
        <w:t>0</w:t>
      </w:r>
      <w:r>
        <w:rPr>
          <w:rFonts w:hint="eastAsia" w:ascii="仿宋_GB2312" w:eastAsia="仿宋_GB2312" w:cs="宋体"/>
          <w:bCs/>
          <w:color w:val="333333"/>
          <w:sz w:val="32"/>
          <w:szCs w:val="32"/>
          <w:lang w:bidi="ar"/>
        </w:rPr>
        <w:t>万元；公务用车购置费预算为</w:t>
      </w:r>
      <w:r>
        <w:rPr>
          <w:rFonts w:hint="eastAsia" w:ascii="仿宋_GB2312" w:eastAsia="仿宋_GB2312"/>
          <w:color w:val="000000" w:themeColor="text1"/>
          <w:sz w:val="32"/>
          <w:szCs w:val="32"/>
          <w:lang w:val="en-US" w:eastAsia="zh-CN"/>
          <w14:textFill>
            <w14:solidFill>
              <w14:schemeClr w14:val="tx1"/>
            </w14:solidFill>
          </w14:textFill>
        </w:rPr>
        <w:t>0</w:t>
      </w:r>
      <w:r>
        <w:rPr>
          <w:rFonts w:hint="eastAsia" w:ascii="仿宋_GB2312" w:eastAsia="仿宋_GB2312" w:cs="宋体"/>
          <w:bCs/>
          <w:color w:val="000000" w:themeColor="text1"/>
          <w:sz w:val="32"/>
          <w:szCs w:val="32"/>
          <w:lang w:bidi="ar"/>
          <w14:textFill>
            <w14:solidFill>
              <w14:schemeClr w14:val="tx1"/>
            </w14:solidFill>
          </w14:textFill>
        </w:rPr>
        <w:t>万</w:t>
      </w:r>
      <w:r>
        <w:rPr>
          <w:rFonts w:hint="eastAsia" w:ascii="仿宋_GB2312" w:eastAsia="仿宋_GB2312" w:cs="宋体"/>
          <w:bCs/>
          <w:color w:val="333333"/>
          <w:sz w:val="32"/>
          <w:szCs w:val="32"/>
          <w:lang w:bidi="ar"/>
        </w:rPr>
        <w:t>元，实际支出</w:t>
      </w:r>
      <w:r>
        <w:rPr>
          <w:rFonts w:hint="eastAsia" w:ascii="仿宋_GB2312" w:eastAsia="仿宋_GB2312"/>
          <w:color w:val="000000" w:themeColor="text1"/>
          <w:sz w:val="32"/>
          <w:szCs w:val="32"/>
          <w:lang w:val="en-US" w:eastAsia="zh-CN"/>
          <w14:textFill>
            <w14:solidFill>
              <w14:schemeClr w14:val="tx1"/>
            </w14:solidFill>
          </w14:textFill>
        </w:rPr>
        <w:t>0</w:t>
      </w:r>
      <w:r>
        <w:rPr>
          <w:rFonts w:hint="eastAsia" w:ascii="仿宋_GB2312" w:eastAsia="仿宋_GB2312" w:cs="宋体"/>
          <w:bCs/>
          <w:color w:val="333333"/>
          <w:sz w:val="32"/>
          <w:szCs w:val="32"/>
          <w:lang w:bidi="ar"/>
        </w:rPr>
        <w:t>万元；公务用车运行维护费预算为</w:t>
      </w:r>
      <w:r>
        <w:rPr>
          <w:rFonts w:hint="eastAsia" w:ascii="仿宋_GB2312" w:eastAsia="仿宋_GB2312"/>
          <w:color w:val="000000" w:themeColor="text1"/>
          <w:sz w:val="32"/>
          <w:szCs w:val="32"/>
          <w:lang w:val="en-US" w:eastAsia="zh-CN"/>
          <w14:textFill>
            <w14:solidFill>
              <w14:schemeClr w14:val="tx1"/>
            </w14:solidFill>
          </w14:textFill>
        </w:rPr>
        <w:t>6</w:t>
      </w:r>
      <w:r>
        <w:rPr>
          <w:rFonts w:hint="eastAsia" w:ascii="仿宋_GB2312" w:eastAsia="仿宋_GB2312" w:cs="宋体"/>
          <w:bCs/>
          <w:color w:val="333333"/>
          <w:sz w:val="32"/>
          <w:szCs w:val="32"/>
          <w:lang w:bidi="ar"/>
        </w:rPr>
        <w:t>万元，实际支出</w:t>
      </w:r>
      <w:r>
        <w:rPr>
          <w:rFonts w:hint="eastAsia" w:ascii="仿宋_GB2312" w:eastAsia="仿宋_GB2312"/>
          <w:color w:val="000000" w:themeColor="text1"/>
          <w:sz w:val="32"/>
          <w:szCs w:val="32"/>
          <w:lang w:val="en-US" w:eastAsia="zh-CN"/>
          <w14:textFill>
            <w14:solidFill>
              <w14:schemeClr w14:val="tx1"/>
            </w14:solidFill>
          </w14:textFill>
        </w:rPr>
        <w:t>5.07</w:t>
      </w:r>
      <w:r>
        <w:rPr>
          <w:rFonts w:hint="eastAsia" w:ascii="仿宋_GB2312" w:eastAsia="仿宋_GB2312" w:cs="宋体"/>
          <w:bCs/>
          <w:color w:val="333333"/>
          <w:sz w:val="32"/>
          <w:szCs w:val="32"/>
          <w:lang w:bidi="ar"/>
        </w:rPr>
        <w:t>万元，</w:t>
      </w:r>
      <w:r>
        <w:rPr>
          <w:rFonts w:hint="eastAsia" w:ascii="仿宋_GB2312" w:eastAsia="仿宋_GB2312" w:cs="宋体"/>
          <w:bCs/>
          <w:color w:val="333333"/>
          <w:sz w:val="32"/>
          <w:szCs w:val="32"/>
          <w:lang w:eastAsia="zh-Hans" w:bidi="ar"/>
        </w:rPr>
        <w:t>各项支出均</w:t>
      </w:r>
      <w:r>
        <w:rPr>
          <w:rFonts w:hint="eastAsia" w:ascii="仿宋_GB2312" w:eastAsia="仿宋_GB2312" w:cs="宋体"/>
          <w:bCs/>
          <w:color w:val="333333"/>
          <w:sz w:val="32"/>
          <w:szCs w:val="32"/>
          <w:lang w:bidi="ar"/>
        </w:rPr>
        <w:t>符合财政部门本年预算要求和相关管理制度要求。</w:t>
      </w:r>
    </w:p>
    <w:p>
      <w:pPr>
        <w:pStyle w:val="4"/>
        <w:pageBreakBefore w:val="0"/>
        <w:numPr>
          <w:ilvl w:val="0"/>
          <w:numId w:val="2"/>
        </w:numPr>
        <w:kinsoku/>
        <w:wordWrap/>
        <w:overflowPunct/>
        <w:topLinePunct w:val="0"/>
        <w:autoSpaceDE/>
        <w:autoSpaceDN/>
        <w:bidi w:val="0"/>
        <w:spacing w:line="570" w:lineRule="exact"/>
        <w:ind w:firstLine="643" w:firstLineChars="200"/>
        <w:jc w:val="both"/>
        <w:textAlignment w:val="auto"/>
        <w:rPr>
          <w:rFonts w:hint="eastAsia" w:ascii="楷体_GB2312" w:eastAsia="楷体_GB2312"/>
          <w:bCs/>
          <w:szCs w:val="32"/>
        </w:rPr>
      </w:pPr>
      <w:r>
        <w:rPr>
          <w:rFonts w:hint="eastAsia" w:ascii="楷体_GB2312" w:eastAsia="楷体_GB2312"/>
          <w:bCs/>
          <w:szCs w:val="32"/>
        </w:rPr>
        <w:t>项目支出预算安排及支出情况</w:t>
      </w:r>
    </w:p>
    <w:p>
      <w:pPr>
        <w:pageBreakBefore w:val="0"/>
        <w:kinsoku/>
        <w:wordWrap/>
        <w:overflowPunct/>
        <w:topLinePunct w:val="0"/>
        <w:autoSpaceDE/>
        <w:autoSpaceDN/>
        <w:bidi w:val="0"/>
        <w:spacing w:line="570" w:lineRule="exact"/>
        <w:ind w:firstLine="643" w:firstLineChars="200"/>
        <w:jc w:val="both"/>
        <w:textAlignment w:val="auto"/>
        <w:rPr>
          <w:rFonts w:ascii="仿宋_GB2312" w:eastAsia="仿宋_GB2312"/>
          <w:b/>
          <w:bCs/>
          <w:sz w:val="32"/>
          <w:szCs w:val="32"/>
        </w:rPr>
      </w:pPr>
      <w:r>
        <w:rPr>
          <w:rFonts w:hint="eastAsia" w:ascii="仿宋_GB2312" w:eastAsia="仿宋_GB2312"/>
          <w:b/>
          <w:bCs/>
          <w:sz w:val="32"/>
          <w:szCs w:val="32"/>
        </w:rPr>
        <w:t>1.项目支出情况</w:t>
      </w:r>
    </w:p>
    <w:p>
      <w:pPr>
        <w:pageBreakBefore w:val="0"/>
        <w:kinsoku/>
        <w:wordWrap/>
        <w:overflowPunct/>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FF0000"/>
          <w:sz w:val="32"/>
          <w:szCs w:val="32"/>
          <w:lang w:eastAsia="zh-CN"/>
        </w:rPr>
      </w:pPr>
      <w:r>
        <w:rPr>
          <w:rFonts w:hint="eastAsia" w:ascii="仿宋_GB2312" w:hAnsi="仿宋_GB2312" w:eastAsia="仿宋_GB2312" w:cs="仿宋_GB2312"/>
          <w:sz w:val="32"/>
          <w:szCs w:val="32"/>
          <w:lang w:eastAsia="zh-CN"/>
        </w:rPr>
        <w:t>2023</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裕民县吉也克镇人民政府</w:t>
      </w:r>
      <w:r>
        <w:rPr>
          <w:rFonts w:hint="eastAsia" w:ascii="仿宋_GB2312" w:hAnsi="仿宋_GB2312" w:eastAsia="仿宋_GB2312" w:cs="仿宋_GB2312"/>
          <w:sz w:val="32"/>
          <w:szCs w:val="32"/>
        </w:rPr>
        <w:t>项目支出年初预算金额为</w:t>
      </w:r>
      <w:r>
        <w:rPr>
          <w:rFonts w:hint="eastAsia" w:ascii="仿宋_GB2312" w:hAnsi="仿宋_GB2312" w:eastAsia="仿宋_GB2312" w:cs="仿宋_GB2312"/>
          <w:sz w:val="32"/>
          <w:szCs w:val="32"/>
          <w:lang w:val="en-US" w:eastAsia="zh-CN"/>
        </w:rPr>
        <w:t>1327.15</w:t>
      </w:r>
      <w:r>
        <w:rPr>
          <w:rFonts w:hint="eastAsia" w:ascii="仿宋_GB2312" w:hAnsi="仿宋_GB2312" w:eastAsia="仿宋_GB2312" w:cs="仿宋_GB2312"/>
          <w:sz w:val="32"/>
          <w:szCs w:val="32"/>
        </w:rPr>
        <w:t>万元，实际支出金额为</w:t>
      </w:r>
      <w:r>
        <w:rPr>
          <w:rFonts w:hint="eastAsia" w:ascii="仿宋_GB2312" w:hAnsi="仿宋_GB2312" w:eastAsia="仿宋_GB2312" w:cs="仿宋_GB2312"/>
          <w:sz w:val="32"/>
          <w:szCs w:val="32"/>
          <w:lang w:val="en-US" w:eastAsia="zh-CN"/>
        </w:rPr>
        <w:t>1327.15</w:t>
      </w:r>
      <w:r>
        <w:rPr>
          <w:rFonts w:hint="eastAsia" w:ascii="仿宋_GB2312" w:hAnsi="仿宋_GB2312" w:eastAsia="仿宋_GB2312" w:cs="仿宋_GB2312"/>
          <w:sz w:val="32"/>
          <w:szCs w:val="32"/>
        </w:rPr>
        <w:t>万元，预算执行率为</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年中调整预算金额为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1498.68</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调整后项目支出预算总额</w:t>
      </w:r>
      <w:r>
        <w:rPr>
          <w:rFonts w:hint="eastAsia" w:ascii="仿宋_GB2312" w:hAnsi="仿宋_GB2312" w:eastAsia="仿宋_GB2312" w:cs="仿宋_GB2312"/>
          <w:sz w:val="32"/>
          <w:szCs w:val="32"/>
        </w:rPr>
        <w:t>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2825.83</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全年项目预算</w:t>
      </w:r>
      <w:r>
        <w:rPr>
          <w:rFonts w:hint="eastAsia" w:ascii="仿宋_GB2312" w:hAnsi="仿宋_GB2312" w:eastAsia="仿宋_GB2312" w:cs="仿宋_GB2312"/>
          <w:sz w:val="32"/>
          <w:szCs w:val="32"/>
        </w:rPr>
        <w:t>支出总额为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2825.83</w:t>
      </w:r>
      <w:r>
        <w:rPr>
          <w:rFonts w:hint="eastAsia" w:ascii="仿宋_GB2312" w:hAnsi="仿宋_GB2312" w:eastAsia="仿宋_GB2312" w:cs="仿宋_GB2312"/>
          <w:sz w:val="32"/>
          <w:szCs w:val="32"/>
        </w:rPr>
        <w:t>万元，预算总执行率为</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p>
      <w:pPr>
        <w:pageBreakBefore w:val="0"/>
        <w:kinsoku/>
        <w:wordWrap/>
        <w:overflowPunct/>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sz w:val="32"/>
          <w:szCs w:val="32"/>
          <w:lang w:eastAsia="zh-CN"/>
        </w:rPr>
        <w:t>2023</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裕民县吉也克镇人民政府</w:t>
      </w:r>
      <w:r>
        <w:rPr>
          <w:rFonts w:hint="eastAsia" w:ascii="仿宋_GB2312" w:hAnsi="仿宋_GB2312" w:eastAsia="仿宋_GB2312" w:cs="仿宋_GB2312"/>
          <w:sz w:val="32"/>
          <w:szCs w:val="32"/>
        </w:rPr>
        <w:t>共有</w:t>
      </w:r>
      <w:r>
        <w:rPr>
          <w:rFonts w:hint="eastAsia" w:ascii="仿宋_GB2312" w:hAnsi="仿宋_GB2312" w:eastAsia="仿宋_GB2312" w:cs="仿宋_GB2312"/>
          <w:sz w:val="32"/>
          <w:szCs w:val="32"/>
          <w:lang w:val="en-US" w:eastAsia="zh-CN"/>
        </w:rPr>
        <w:t>33</w:t>
      </w:r>
      <w:r>
        <w:rPr>
          <w:rFonts w:hint="eastAsia" w:ascii="仿宋_GB2312" w:hAnsi="仿宋_GB2312" w:eastAsia="仿宋_GB2312" w:cs="仿宋_GB2312"/>
          <w:sz w:val="32"/>
          <w:szCs w:val="32"/>
        </w:rPr>
        <w:t>个中央、自治区、地区财力安排</w:t>
      </w:r>
      <w:r>
        <w:rPr>
          <w:rFonts w:hint="eastAsia" w:ascii="仿宋_GB2312" w:hAnsi="仿宋_GB2312" w:eastAsia="仿宋_GB2312" w:cs="仿宋_GB2312"/>
          <w:sz w:val="32"/>
          <w:szCs w:val="32"/>
          <w:lang w:val="en-US" w:eastAsia="zh-CN"/>
        </w:rPr>
        <w:t>的</w:t>
      </w:r>
      <w:r>
        <w:rPr>
          <w:rFonts w:hint="eastAsia" w:ascii="仿宋_GB2312" w:hAnsi="仿宋_GB2312" w:eastAsia="仿宋_GB2312" w:cs="仿宋_GB2312"/>
          <w:sz w:val="32"/>
          <w:szCs w:val="32"/>
        </w:rPr>
        <w:t>项目，已</w:t>
      </w:r>
      <w:r>
        <w:rPr>
          <w:rFonts w:hint="eastAsia" w:ascii="仿宋_GB2312" w:hAnsi="仿宋_GB2312" w:eastAsia="仿宋_GB2312" w:cs="仿宋_GB2312"/>
          <w:sz w:val="32"/>
          <w:szCs w:val="32"/>
          <w:lang w:val="en-US" w:eastAsia="zh-CN"/>
        </w:rPr>
        <w:t>实施</w:t>
      </w:r>
      <w:r>
        <w:rPr>
          <w:rFonts w:hint="eastAsia" w:ascii="仿宋_GB2312" w:hAnsi="仿宋_GB2312" w:eastAsia="仿宋_GB2312" w:cs="仿宋_GB2312"/>
          <w:sz w:val="32"/>
          <w:szCs w:val="32"/>
        </w:rPr>
        <w:t>完成项目</w:t>
      </w:r>
      <w:r>
        <w:rPr>
          <w:rFonts w:hint="eastAsia" w:ascii="仿宋_GB2312" w:hAnsi="仿宋_GB2312" w:eastAsia="仿宋_GB2312" w:cs="仿宋_GB2312"/>
          <w:sz w:val="32"/>
          <w:szCs w:val="32"/>
          <w:lang w:val="en-US" w:eastAsia="zh-CN"/>
        </w:rPr>
        <w:t>33</w:t>
      </w:r>
      <w:r>
        <w:rPr>
          <w:rFonts w:hint="eastAsia" w:ascii="仿宋_GB2312" w:hAnsi="仿宋_GB2312" w:eastAsia="仿宋_GB2312" w:cs="仿宋_GB2312"/>
          <w:sz w:val="32"/>
          <w:szCs w:val="32"/>
        </w:rPr>
        <w:t>个、未完成项目</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个。</w:t>
      </w:r>
      <w:r>
        <w:rPr>
          <w:rFonts w:hint="eastAsia" w:ascii="仿宋_GB2312" w:hAnsi="仿宋_GB2312" w:eastAsia="仿宋_GB2312" w:cs="仿宋_GB2312"/>
          <w:sz w:val="32"/>
          <w:szCs w:val="32"/>
          <w:lang w:val="en-US" w:eastAsia="zh-CN"/>
        </w:rPr>
        <w:t>具体项目实施及资金支出情况如下：</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（1）中</w:t>
      </w:r>
      <w:r>
        <w:rPr>
          <w:rFonts w:hint="eastAsia" w:ascii="仿宋_GB2312" w:hAnsi="仿宋_GB2312" w:eastAsia="仿宋_GB2312" w:cs="仿宋_GB2312"/>
          <w:sz w:val="32"/>
          <w:szCs w:val="32"/>
          <w:highlight w:val="none"/>
          <w:lang w:val="en-US" w:eastAsia="zh-CN"/>
        </w:rPr>
        <w:t>央及自治区专项：</w:t>
      </w:r>
      <w:r>
        <w:rPr>
          <w:rFonts w:hint="eastAsia" w:ascii="仿宋_GB2312" w:hAnsi="仿宋_GB2312" w:eastAsia="仿宋_GB2312" w:cs="仿宋_GB2312"/>
          <w:color w:val="auto"/>
          <w:sz w:val="32"/>
          <w:szCs w:val="32"/>
          <w:lang w:val="en-US" w:eastAsia="zh-CN"/>
        </w:rPr>
        <w:t>2023年中央支持地方公共文化服务体系建设补助资金（新时代文明实践中心建设项目）项目，</w:t>
      </w:r>
      <w:r>
        <w:rPr>
          <w:rFonts w:hint="eastAsia" w:ascii="仿宋_GB2312" w:hAnsi="仿宋_GB2312" w:eastAsia="仿宋_GB2312" w:cs="仿宋_GB2312"/>
          <w:color w:val="auto"/>
          <w:sz w:val="32"/>
          <w:szCs w:val="32"/>
        </w:rPr>
        <w:t>预算金额2.5</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val="en-US" w:eastAsia="zh-CN"/>
        </w:rPr>
        <w:t>全年</w:t>
      </w:r>
      <w:r>
        <w:rPr>
          <w:rFonts w:hint="eastAsia" w:ascii="仿宋_GB2312" w:hAnsi="仿宋_GB2312" w:eastAsia="仿宋_GB2312" w:cs="仿宋_GB2312"/>
          <w:color w:val="auto"/>
          <w:sz w:val="32"/>
          <w:szCs w:val="32"/>
        </w:rPr>
        <w:t>执行金额2.5</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万元，执行率</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项目已全部实施完成；项目各项任务指标均已完成。2023年中央农村综合改革转移支付资金哈拉塞农村公益事业50万</w:t>
      </w:r>
      <w:r>
        <w:rPr>
          <w:rFonts w:hint="eastAsia" w:ascii="仿宋_GB2312" w:hAnsi="仿宋_GB2312" w:eastAsia="仿宋_GB2312" w:cs="仿宋_GB2312"/>
          <w:color w:val="auto"/>
          <w:sz w:val="32"/>
          <w:szCs w:val="32"/>
          <w:lang w:val="en-US" w:eastAsia="zh-CN"/>
        </w:rPr>
        <w:t>项目，</w:t>
      </w:r>
      <w:r>
        <w:rPr>
          <w:rFonts w:hint="eastAsia" w:ascii="仿宋_GB2312" w:hAnsi="仿宋_GB2312" w:eastAsia="仿宋_GB2312" w:cs="仿宋_GB2312"/>
          <w:color w:val="auto"/>
          <w:sz w:val="32"/>
          <w:szCs w:val="32"/>
        </w:rPr>
        <w:t>预算金额</w:t>
      </w:r>
      <w:r>
        <w:rPr>
          <w:rFonts w:hint="eastAsia"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val="en-US" w:eastAsia="zh-CN"/>
        </w:rPr>
        <w:t>全年</w:t>
      </w:r>
      <w:r>
        <w:rPr>
          <w:rFonts w:hint="eastAsia" w:ascii="仿宋_GB2312" w:hAnsi="仿宋_GB2312" w:eastAsia="仿宋_GB2312" w:cs="仿宋_GB2312"/>
          <w:color w:val="auto"/>
          <w:sz w:val="32"/>
          <w:szCs w:val="32"/>
        </w:rPr>
        <w:t>执行金额</w:t>
      </w:r>
      <w:r>
        <w:rPr>
          <w:rFonts w:hint="eastAsia"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rPr>
        <w:t>万元，执行率</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项目已全部实施完成，并经验收合格；项目各项任务指标均已完成。2023年中央政法纪检监察转移支付资金</w:t>
      </w:r>
      <w:r>
        <w:rPr>
          <w:rFonts w:hint="eastAsia" w:ascii="仿宋_GB2312" w:hAnsi="仿宋_GB2312" w:eastAsia="仿宋_GB2312" w:cs="仿宋_GB2312"/>
          <w:color w:val="auto"/>
          <w:sz w:val="32"/>
          <w:szCs w:val="32"/>
          <w:lang w:val="en-US" w:eastAsia="zh-CN"/>
        </w:rPr>
        <w:t>项目，</w:t>
      </w:r>
      <w:r>
        <w:rPr>
          <w:rFonts w:hint="eastAsia" w:ascii="仿宋_GB2312" w:hAnsi="仿宋_GB2312" w:eastAsia="仿宋_GB2312" w:cs="仿宋_GB2312"/>
          <w:color w:val="auto"/>
          <w:sz w:val="32"/>
          <w:szCs w:val="32"/>
        </w:rPr>
        <w:t>预算金额</w:t>
      </w:r>
      <w:r>
        <w:rPr>
          <w:rFonts w:hint="eastAsia" w:ascii="仿宋_GB2312" w:hAnsi="仿宋_GB2312" w:eastAsia="仿宋_GB2312" w:cs="仿宋_GB2312"/>
          <w:color w:val="auto"/>
          <w:sz w:val="32"/>
          <w:szCs w:val="32"/>
          <w:lang w:val="en-US" w:eastAsia="zh-CN"/>
        </w:rPr>
        <w:t>1.5</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val="en-US" w:eastAsia="zh-CN"/>
        </w:rPr>
        <w:t>全年</w:t>
      </w:r>
      <w:r>
        <w:rPr>
          <w:rFonts w:hint="eastAsia" w:ascii="仿宋_GB2312" w:hAnsi="仿宋_GB2312" w:eastAsia="仿宋_GB2312" w:cs="仿宋_GB2312"/>
          <w:color w:val="auto"/>
          <w:sz w:val="32"/>
          <w:szCs w:val="32"/>
        </w:rPr>
        <w:t>执行金额</w:t>
      </w:r>
      <w:r>
        <w:rPr>
          <w:rFonts w:hint="eastAsia" w:ascii="仿宋_GB2312" w:hAnsi="仿宋_GB2312" w:eastAsia="仿宋_GB2312" w:cs="仿宋_GB2312"/>
          <w:color w:val="auto"/>
          <w:sz w:val="32"/>
          <w:szCs w:val="32"/>
          <w:lang w:val="en-US" w:eastAsia="zh-CN"/>
        </w:rPr>
        <w:t>1.5</w:t>
      </w:r>
      <w:r>
        <w:rPr>
          <w:rFonts w:hint="eastAsia" w:ascii="仿宋_GB2312" w:hAnsi="仿宋_GB2312" w:eastAsia="仿宋_GB2312" w:cs="仿宋_GB2312"/>
          <w:color w:val="auto"/>
          <w:sz w:val="32"/>
          <w:szCs w:val="32"/>
        </w:rPr>
        <w:t>万元，执行率</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项目已全部实施完成；项目各项任务指标均已完成。2023年度自治区基层组织建设资金吉也克镇哈拉赛村</w:t>
      </w:r>
      <w:r>
        <w:rPr>
          <w:rFonts w:hint="eastAsia" w:ascii="仿宋_GB2312" w:hAnsi="仿宋_GB2312" w:eastAsia="仿宋_GB2312" w:cs="仿宋_GB2312"/>
          <w:color w:val="auto"/>
          <w:sz w:val="32"/>
          <w:szCs w:val="32"/>
          <w:lang w:val="en-US" w:eastAsia="zh-CN"/>
        </w:rPr>
        <w:t>项目，</w:t>
      </w:r>
      <w:r>
        <w:rPr>
          <w:rFonts w:hint="eastAsia" w:ascii="仿宋_GB2312" w:hAnsi="仿宋_GB2312" w:eastAsia="仿宋_GB2312" w:cs="仿宋_GB2312"/>
          <w:color w:val="auto"/>
          <w:sz w:val="32"/>
          <w:szCs w:val="32"/>
        </w:rPr>
        <w:t>预算金额</w:t>
      </w:r>
      <w:r>
        <w:rPr>
          <w:rFonts w:hint="eastAsia" w:ascii="仿宋_GB2312" w:hAnsi="仿宋_GB2312" w:eastAsia="仿宋_GB2312" w:cs="仿宋_GB2312"/>
          <w:color w:val="auto"/>
          <w:sz w:val="32"/>
          <w:szCs w:val="32"/>
          <w:lang w:val="en-US" w:eastAsia="zh-CN"/>
        </w:rPr>
        <w:t>25</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val="en-US" w:eastAsia="zh-CN"/>
        </w:rPr>
        <w:t>全年</w:t>
      </w:r>
      <w:r>
        <w:rPr>
          <w:rFonts w:hint="eastAsia" w:ascii="仿宋_GB2312" w:hAnsi="仿宋_GB2312" w:eastAsia="仿宋_GB2312" w:cs="仿宋_GB2312"/>
          <w:color w:val="auto"/>
          <w:sz w:val="32"/>
          <w:szCs w:val="32"/>
        </w:rPr>
        <w:t>执行金额</w:t>
      </w:r>
      <w:r>
        <w:rPr>
          <w:rFonts w:hint="eastAsia" w:ascii="仿宋_GB2312" w:hAnsi="仿宋_GB2312" w:eastAsia="仿宋_GB2312" w:cs="仿宋_GB2312"/>
          <w:color w:val="auto"/>
          <w:sz w:val="32"/>
          <w:szCs w:val="32"/>
          <w:lang w:val="en-US" w:eastAsia="zh-CN"/>
        </w:rPr>
        <w:t>25</w:t>
      </w:r>
      <w:r>
        <w:rPr>
          <w:rFonts w:hint="eastAsia" w:ascii="仿宋_GB2312" w:hAnsi="仿宋_GB2312" w:eastAsia="仿宋_GB2312" w:cs="仿宋_GB2312"/>
          <w:color w:val="auto"/>
          <w:sz w:val="32"/>
          <w:szCs w:val="32"/>
        </w:rPr>
        <w:t>万元，执行率</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项目已全部实施完成，</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并经验收合格</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；项目各项任务指标均已完成。自治区2023年计生宣传员津贴补贴</w:t>
      </w:r>
      <w:r>
        <w:rPr>
          <w:rFonts w:hint="eastAsia" w:ascii="仿宋_GB2312" w:hAnsi="仿宋_GB2312" w:eastAsia="仿宋_GB2312" w:cs="仿宋_GB2312"/>
          <w:color w:val="auto"/>
          <w:sz w:val="32"/>
          <w:szCs w:val="32"/>
          <w:lang w:val="en-US" w:eastAsia="zh-CN"/>
        </w:rPr>
        <w:t>项目，</w:t>
      </w:r>
      <w:r>
        <w:rPr>
          <w:rFonts w:hint="eastAsia" w:ascii="仿宋_GB2312" w:hAnsi="仿宋_GB2312" w:eastAsia="仿宋_GB2312" w:cs="仿宋_GB2312"/>
          <w:color w:val="auto"/>
          <w:sz w:val="32"/>
          <w:szCs w:val="32"/>
        </w:rPr>
        <w:t>预算金额</w:t>
      </w:r>
      <w:r>
        <w:rPr>
          <w:rFonts w:hint="eastAsia" w:ascii="仿宋_GB2312" w:hAnsi="仿宋_GB2312" w:eastAsia="仿宋_GB2312" w:cs="仿宋_GB2312"/>
          <w:color w:val="auto"/>
          <w:sz w:val="32"/>
          <w:szCs w:val="32"/>
          <w:lang w:val="en-US" w:eastAsia="zh-CN"/>
        </w:rPr>
        <w:t>2.73</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val="en-US" w:eastAsia="zh-CN"/>
        </w:rPr>
        <w:t>全年</w:t>
      </w:r>
      <w:r>
        <w:rPr>
          <w:rFonts w:hint="eastAsia" w:ascii="仿宋_GB2312" w:hAnsi="仿宋_GB2312" w:eastAsia="仿宋_GB2312" w:cs="仿宋_GB2312"/>
          <w:color w:val="auto"/>
          <w:sz w:val="32"/>
          <w:szCs w:val="32"/>
        </w:rPr>
        <w:t>执行金额</w:t>
      </w:r>
      <w:r>
        <w:rPr>
          <w:rFonts w:hint="eastAsia" w:ascii="仿宋_GB2312" w:hAnsi="仿宋_GB2312" w:eastAsia="仿宋_GB2312" w:cs="仿宋_GB2312"/>
          <w:color w:val="auto"/>
          <w:sz w:val="32"/>
          <w:szCs w:val="32"/>
          <w:lang w:val="en-US" w:eastAsia="zh-CN"/>
        </w:rPr>
        <w:t>2.73</w:t>
      </w:r>
      <w:r>
        <w:rPr>
          <w:rFonts w:hint="eastAsia" w:ascii="仿宋_GB2312" w:hAnsi="仿宋_GB2312" w:eastAsia="仿宋_GB2312" w:cs="仿宋_GB2312"/>
          <w:color w:val="auto"/>
          <w:sz w:val="32"/>
          <w:szCs w:val="32"/>
        </w:rPr>
        <w:t>万元，执行率</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项目已全部实施完成；项目各项任务指标均已完成。提前下达2022年自治区农村综合改革转移支付预算[农村公益事业]库萨克南村</w:t>
      </w:r>
      <w:r>
        <w:rPr>
          <w:rFonts w:hint="eastAsia" w:ascii="仿宋_GB2312" w:hAnsi="仿宋_GB2312" w:eastAsia="仿宋_GB2312" w:cs="仿宋_GB2312"/>
          <w:color w:val="auto"/>
          <w:sz w:val="32"/>
          <w:szCs w:val="32"/>
          <w:lang w:val="en-US" w:eastAsia="zh-CN"/>
        </w:rPr>
        <w:t>项目，</w:t>
      </w:r>
      <w:r>
        <w:rPr>
          <w:rFonts w:hint="eastAsia" w:ascii="仿宋_GB2312" w:hAnsi="仿宋_GB2312" w:eastAsia="仿宋_GB2312" w:cs="仿宋_GB2312"/>
          <w:color w:val="auto"/>
          <w:sz w:val="32"/>
          <w:szCs w:val="32"/>
        </w:rPr>
        <w:t>预算金额</w:t>
      </w:r>
      <w:r>
        <w:rPr>
          <w:rFonts w:hint="eastAsia" w:ascii="仿宋_GB2312" w:hAnsi="仿宋_GB2312" w:eastAsia="仿宋_GB2312" w:cs="仿宋_GB2312"/>
          <w:color w:val="auto"/>
          <w:sz w:val="32"/>
          <w:szCs w:val="32"/>
          <w:lang w:val="en-US" w:eastAsia="zh-CN"/>
        </w:rPr>
        <w:t>2.36</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val="en-US" w:eastAsia="zh-CN"/>
        </w:rPr>
        <w:t>全年</w:t>
      </w:r>
      <w:r>
        <w:rPr>
          <w:rFonts w:hint="eastAsia" w:ascii="仿宋_GB2312" w:hAnsi="仿宋_GB2312" w:eastAsia="仿宋_GB2312" w:cs="仿宋_GB2312"/>
          <w:color w:val="auto"/>
          <w:sz w:val="32"/>
          <w:szCs w:val="32"/>
        </w:rPr>
        <w:t>执行金额</w:t>
      </w:r>
      <w:r>
        <w:rPr>
          <w:rFonts w:hint="eastAsia" w:ascii="仿宋_GB2312" w:hAnsi="仿宋_GB2312" w:eastAsia="仿宋_GB2312" w:cs="仿宋_GB2312"/>
          <w:color w:val="auto"/>
          <w:sz w:val="32"/>
          <w:szCs w:val="32"/>
          <w:lang w:val="en-US" w:eastAsia="zh-CN"/>
        </w:rPr>
        <w:t>2.36</w:t>
      </w:r>
      <w:r>
        <w:rPr>
          <w:rFonts w:hint="eastAsia" w:ascii="仿宋_GB2312" w:hAnsi="仿宋_GB2312" w:eastAsia="仿宋_GB2312" w:cs="仿宋_GB2312"/>
          <w:color w:val="auto"/>
          <w:sz w:val="32"/>
          <w:szCs w:val="32"/>
        </w:rPr>
        <w:t>万元，执行率</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项目已全部实施完成，并经验收合格；项目各项任务指标均已完成。吉关于提前下达2022年农村综合改革转移支付（美丽乡村建设）库萨克南村塔</w:t>
      </w:r>
      <w:r>
        <w:rPr>
          <w:rFonts w:hint="eastAsia" w:ascii="仿宋_GB2312" w:hAnsi="仿宋_GB2312" w:eastAsia="仿宋_GB2312" w:cs="仿宋_GB2312"/>
          <w:color w:val="auto"/>
          <w:sz w:val="32"/>
          <w:szCs w:val="32"/>
          <w:lang w:val="en-US" w:eastAsia="zh-CN"/>
        </w:rPr>
        <w:t>项目，</w:t>
      </w:r>
      <w:r>
        <w:rPr>
          <w:rFonts w:hint="eastAsia" w:ascii="仿宋_GB2312" w:hAnsi="仿宋_GB2312" w:eastAsia="仿宋_GB2312" w:cs="仿宋_GB2312"/>
          <w:color w:val="auto"/>
          <w:sz w:val="32"/>
          <w:szCs w:val="32"/>
        </w:rPr>
        <w:t>预算金额</w:t>
      </w:r>
      <w:r>
        <w:rPr>
          <w:rFonts w:hint="eastAsia" w:ascii="仿宋_GB2312" w:hAnsi="仿宋_GB2312" w:eastAsia="仿宋_GB2312" w:cs="仿宋_GB2312"/>
          <w:color w:val="auto"/>
          <w:sz w:val="32"/>
          <w:szCs w:val="32"/>
          <w:lang w:val="en-US" w:eastAsia="zh-CN"/>
        </w:rPr>
        <w:t>3.23</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val="en-US" w:eastAsia="zh-CN"/>
        </w:rPr>
        <w:t>全年</w:t>
      </w:r>
      <w:r>
        <w:rPr>
          <w:rFonts w:hint="eastAsia" w:ascii="仿宋_GB2312" w:hAnsi="仿宋_GB2312" w:eastAsia="仿宋_GB2312" w:cs="仿宋_GB2312"/>
          <w:color w:val="auto"/>
          <w:sz w:val="32"/>
          <w:szCs w:val="32"/>
        </w:rPr>
        <w:t>执行金额</w:t>
      </w:r>
      <w:r>
        <w:rPr>
          <w:rFonts w:hint="eastAsia" w:ascii="仿宋_GB2312" w:hAnsi="仿宋_GB2312" w:eastAsia="仿宋_GB2312" w:cs="仿宋_GB2312"/>
          <w:color w:val="auto"/>
          <w:sz w:val="32"/>
          <w:szCs w:val="32"/>
          <w:lang w:val="en-US" w:eastAsia="zh-CN"/>
        </w:rPr>
        <w:t>3.23</w:t>
      </w:r>
      <w:r>
        <w:rPr>
          <w:rFonts w:hint="eastAsia" w:ascii="仿宋_GB2312" w:hAnsi="仿宋_GB2312" w:eastAsia="仿宋_GB2312" w:cs="仿宋_GB2312"/>
          <w:color w:val="auto"/>
          <w:sz w:val="32"/>
          <w:szCs w:val="32"/>
        </w:rPr>
        <w:t>万元，执行率</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项目已全部实施完成，并经验收合格；项目各项任务指标均已完成。</w:t>
      </w:r>
      <w:r>
        <w:rPr>
          <w:rFonts w:hint="eastAsia" w:ascii="仿宋_GB2312" w:hAnsi="仿宋_GB2312" w:eastAsia="仿宋_GB2312" w:cs="仿宋_GB2312"/>
          <w:sz w:val="32"/>
          <w:szCs w:val="32"/>
          <w:lang w:val="en-US" w:eastAsia="zh-CN"/>
        </w:rPr>
        <w:t>2023年中央农村综合改革转移支付资金哈拉塞美丽乡村150万</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项目，</w:t>
      </w:r>
      <w:r>
        <w:rPr>
          <w:rFonts w:hint="eastAsia" w:ascii="仿宋_GB2312" w:hAnsi="仿宋_GB2312" w:eastAsia="仿宋_GB2312" w:cs="仿宋_GB2312"/>
          <w:color w:val="auto"/>
          <w:sz w:val="32"/>
          <w:szCs w:val="32"/>
        </w:rPr>
        <w:t>预算金额</w:t>
      </w:r>
      <w:r>
        <w:rPr>
          <w:rFonts w:hint="eastAsia" w:ascii="仿宋_GB2312" w:hAnsi="仿宋_GB2312" w:eastAsia="仿宋_GB2312" w:cs="仿宋_GB2312"/>
          <w:color w:val="auto"/>
          <w:sz w:val="32"/>
          <w:szCs w:val="32"/>
          <w:lang w:val="en-US" w:eastAsia="zh-CN"/>
        </w:rPr>
        <w:t>142.75</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val="en-US" w:eastAsia="zh-CN"/>
        </w:rPr>
        <w:t>全年</w:t>
      </w:r>
      <w:r>
        <w:rPr>
          <w:rFonts w:hint="eastAsia" w:ascii="仿宋_GB2312" w:hAnsi="仿宋_GB2312" w:eastAsia="仿宋_GB2312" w:cs="仿宋_GB2312"/>
          <w:color w:val="auto"/>
          <w:sz w:val="32"/>
          <w:szCs w:val="32"/>
        </w:rPr>
        <w:t>执行金额142.75万元，执行率</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项目已全部实施完成，并经验收合格；项目各项任务指标均已完成；裕民县吉也克镇幸福大院及附属设施建设项目，</w:t>
      </w:r>
      <w:r>
        <w:rPr>
          <w:rFonts w:hint="eastAsia" w:ascii="仿宋_GB2312" w:hAnsi="仿宋_GB2312" w:eastAsia="仿宋_GB2312" w:cs="仿宋_GB2312"/>
          <w:color w:val="auto"/>
          <w:sz w:val="32"/>
          <w:szCs w:val="32"/>
        </w:rPr>
        <w:t>预算金额</w:t>
      </w:r>
      <w:r>
        <w:rPr>
          <w:rFonts w:hint="eastAsia" w:ascii="仿宋_GB2312" w:hAnsi="仿宋_GB2312" w:eastAsia="仿宋_GB2312" w:cs="仿宋_GB2312"/>
          <w:color w:val="auto"/>
          <w:sz w:val="32"/>
          <w:szCs w:val="32"/>
          <w:lang w:val="en-US" w:eastAsia="zh-CN"/>
        </w:rPr>
        <w:t>41.99</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val="en-US" w:eastAsia="zh-CN"/>
        </w:rPr>
        <w:t>全年</w:t>
      </w:r>
      <w:r>
        <w:rPr>
          <w:rFonts w:hint="eastAsia" w:ascii="仿宋_GB2312" w:hAnsi="仿宋_GB2312" w:eastAsia="仿宋_GB2312" w:cs="仿宋_GB2312"/>
          <w:color w:val="auto"/>
          <w:sz w:val="32"/>
          <w:szCs w:val="32"/>
        </w:rPr>
        <w:t>执行金额</w:t>
      </w:r>
      <w:r>
        <w:rPr>
          <w:rFonts w:hint="eastAsia" w:ascii="仿宋_GB2312" w:hAnsi="仿宋_GB2312" w:eastAsia="仿宋_GB2312" w:cs="仿宋_GB2312"/>
          <w:color w:val="auto"/>
          <w:sz w:val="32"/>
          <w:szCs w:val="32"/>
          <w:lang w:val="en-US" w:eastAsia="zh-CN"/>
        </w:rPr>
        <w:t>41.99</w:t>
      </w:r>
      <w:r>
        <w:rPr>
          <w:rFonts w:hint="eastAsia" w:ascii="仿宋_GB2312" w:hAnsi="仿宋_GB2312" w:eastAsia="仿宋_GB2312" w:cs="仿宋_GB2312"/>
          <w:color w:val="auto"/>
          <w:sz w:val="32"/>
          <w:szCs w:val="32"/>
        </w:rPr>
        <w:t>万元，执行率</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项目已全部实施完成，并经验收合格；项目各项任务指标均已完成；裕民县吉也克镇加依勒玛村农村道路建设</w:t>
      </w:r>
      <w:r>
        <w:rPr>
          <w:rFonts w:hint="eastAsia" w:ascii="仿宋_GB2312" w:hAnsi="仿宋_GB2312" w:eastAsia="仿宋_GB2312" w:cs="仿宋_GB2312"/>
          <w:color w:val="auto"/>
          <w:sz w:val="32"/>
          <w:szCs w:val="32"/>
          <w:lang w:val="en-US" w:eastAsia="zh-CN"/>
        </w:rPr>
        <w:t>项目，</w:t>
      </w:r>
      <w:r>
        <w:rPr>
          <w:rFonts w:hint="eastAsia" w:ascii="仿宋_GB2312" w:hAnsi="仿宋_GB2312" w:eastAsia="仿宋_GB2312" w:cs="仿宋_GB2312"/>
          <w:color w:val="auto"/>
          <w:sz w:val="32"/>
          <w:szCs w:val="32"/>
        </w:rPr>
        <w:t>预算金额</w:t>
      </w:r>
      <w:r>
        <w:rPr>
          <w:rFonts w:hint="eastAsia" w:ascii="仿宋_GB2312" w:hAnsi="仿宋_GB2312" w:eastAsia="仿宋_GB2312" w:cs="仿宋_GB2312"/>
          <w:color w:val="auto"/>
          <w:sz w:val="32"/>
          <w:szCs w:val="32"/>
          <w:lang w:val="en-US" w:eastAsia="zh-CN"/>
        </w:rPr>
        <w:t>5.16</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val="en-US" w:eastAsia="zh-CN"/>
        </w:rPr>
        <w:t>全年</w:t>
      </w:r>
      <w:r>
        <w:rPr>
          <w:rFonts w:hint="eastAsia" w:ascii="仿宋_GB2312" w:hAnsi="仿宋_GB2312" w:eastAsia="仿宋_GB2312" w:cs="仿宋_GB2312"/>
          <w:color w:val="auto"/>
          <w:sz w:val="32"/>
          <w:szCs w:val="32"/>
        </w:rPr>
        <w:t>执行金额</w:t>
      </w:r>
      <w:r>
        <w:rPr>
          <w:rFonts w:hint="eastAsia" w:ascii="仿宋_GB2312" w:hAnsi="仿宋_GB2312" w:eastAsia="仿宋_GB2312" w:cs="仿宋_GB2312"/>
          <w:color w:val="auto"/>
          <w:sz w:val="32"/>
          <w:szCs w:val="32"/>
          <w:lang w:val="en-US" w:eastAsia="zh-CN"/>
        </w:rPr>
        <w:t>5.16</w:t>
      </w:r>
      <w:r>
        <w:rPr>
          <w:rFonts w:hint="eastAsia" w:ascii="仿宋_GB2312" w:hAnsi="仿宋_GB2312" w:eastAsia="仿宋_GB2312" w:cs="仿宋_GB2312"/>
          <w:color w:val="auto"/>
          <w:sz w:val="32"/>
          <w:szCs w:val="32"/>
        </w:rPr>
        <w:t>万元，执行率</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项目已全部实施完成，并经验收合格；项目各项任务指标均已完成；</w:t>
      </w:r>
      <w:r>
        <w:rPr>
          <w:rFonts w:hint="eastAsia" w:ascii="仿宋_GB2312" w:hAnsi="仿宋_GB2312" w:eastAsia="仿宋_GB2312" w:cs="仿宋_GB2312"/>
          <w:color w:val="auto"/>
          <w:sz w:val="32"/>
          <w:szCs w:val="32"/>
          <w:lang w:eastAsia="zh-CN"/>
        </w:rPr>
        <w:t>2023年吉镇残疾人两项补贴（重度残疾人护理补贴126720元），</w:t>
      </w:r>
      <w:r>
        <w:rPr>
          <w:rFonts w:hint="eastAsia" w:ascii="仿宋_GB2312" w:hAnsi="仿宋_GB2312" w:eastAsia="仿宋_GB2312" w:cs="仿宋_GB2312"/>
          <w:color w:val="auto"/>
          <w:sz w:val="32"/>
          <w:szCs w:val="32"/>
        </w:rPr>
        <w:t>预算金额</w:t>
      </w:r>
      <w:r>
        <w:rPr>
          <w:rFonts w:hint="eastAsia" w:ascii="仿宋_GB2312" w:hAnsi="仿宋_GB2312" w:eastAsia="仿宋_GB2312" w:cs="仿宋_GB2312"/>
          <w:color w:val="auto"/>
          <w:sz w:val="32"/>
          <w:szCs w:val="32"/>
          <w:lang w:val="en-US" w:eastAsia="zh-CN"/>
        </w:rPr>
        <w:t>12.67</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val="en-US" w:eastAsia="zh-CN"/>
        </w:rPr>
        <w:t>全年</w:t>
      </w:r>
      <w:r>
        <w:rPr>
          <w:rFonts w:hint="eastAsia" w:ascii="仿宋_GB2312" w:hAnsi="仿宋_GB2312" w:eastAsia="仿宋_GB2312" w:cs="仿宋_GB2312"/>
          <w:color w:val="auto"/>
          <w:sz w:val="32"/>
          <w:szCs w:val="32"/>
        </w:rPr>
        <w:t>执行金额</w:t>
      </w:r>
      <w:r>
        <w:rPr>
          <w:rFonts w:hint="eastAsia" w:ascii="仿宋_GB2312" w:hAnsi="仿宋_GB2312" w:eastAsia="仿宋_GB2312" w:cs="仿宋_GB2312"/>
          <w:color w:val="auto"/>
          <w:sz w:val="32"/>
          <w:szCs w:val="32"/>
          <w:lang w:val="en-US" w:eastAsia="zh-CN"/>
        </w:rPr>
        <w:t>12.67</w:t>
      </w:r>
      <w:r>
        <w:rPr>
          <w:rFonts w:hint="eastAsia" w:ascii="仿宋_GB2312" w:hAnsi="仿宋_GB2312" w:eastAsia="仿宋_GB2312" w:cs="仿宋_GB2312"/>
          <w:color w:val="auto"/>
          <w:sz w:val="32"/>
          <w:szCs w:val="32"/>
        </w:rPr>
        <w:t>万元，执行率</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（在基本支出中支出）；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项目已全部实施完成，项目各项任务指标均已完成；2023年吉镇残疾人两项补贴（困难残疾人生活补贴86400元）</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预算金额</w:t>
      </w:r>
      <w:r>
        <w:rPr>
          <w:rFonts w:hint="eastAsia" w:ascii="仿宋_GB2312" w:hAnsi="仿宋_GB2312" w:eastAsia="仿宋_GB2312" w:cs="仿宋_GB2312"/>
          <w:color w:val="auto"/>
          <w:sz w:val="32"/>
          <w:szCs w:val="32"/>
          <w:lang w:val="en-US" w:eastAsia="zh-CN"/>
        </w:rPr>
        <w:t>8.64</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val="en-US" w:eastAsia="zh-CN"/>
        </w:rPr>
        <w:t>全年</w:t>
      </w:r>
      <w:r>
        <w:rPr>
          <w:rFonts w:hint="eastAsia" w:ascii="仿宋_GB2312" w:hAnsi="仿宋_GB2312" w:eastAsia="仿宋_GB2312" w:cs="仿宋_GB2312"/>
          <w:color w:val="auto"/>
          <w:sz w:val="32"/>
          <w:szCs w:val="32"/>
        </w:rPr>
        <w:t>执行金额</w:t>
      </w:r>
      <w:r>
        <w:rPr>
          <w:rFonts w:hint="eastAsia" w:ascii="仿宋_GB2312" w:hAnsi="仿宋_GB2312" w:eastAsia="仿宋_GB2312" w:cs="仿宋_GB2312"/>
          <w:color w:val="auto"/>
          <w:sz w:val="32"/>
          <w:szCs w:val="32"/>
          <w:lang w:val="en-US" w:eastAsia="zh-CN"/>
        </w:rPr>
        <w:t>8.64</w:t>
      </w:r>
      <w:r>
        <w:rPr>
          <w:rFonts w:hint="eastAsia" w:ascii="仿宋_GB2312" w:hAnsi="仿宋_GB2312" w:eastAsia="仿宋_GB2312" w:cs="仿宋_GB2312"/>
          <w:color w:val="auto"/>
          <w:sz w:val="32"/>
          <w:szCs w:val="32"/>
        </w:rPr>
        <w:t>万元，执行率</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（在基本支出中支出）；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项目已全部实施完成；项目各项任务指标均已完成；</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color w:val="auto"/>
          <w:sz w:val="32"/>
          <w:szCs w:val="32"/>
          <w:lang w:val="en-US" w:eastAsia="zh-CN"/>
        </w:rPr>
        <w:t>吉镇2021年第二批新疆，西藏，四省涉藏州县建设专项中央基建投资（村级组织活动场所建设项目）项目，</w:t>
      </w:r>
      <w:r>
        <w:rPr>
          <w:rFonts w:hint="eastAsia" w:ascii="仿宋_GB2312" w:hAnsi="仿宋_GB2312" w:eastAsia="仿宋_GB2312" w:cs="仿宋_GB2312"/>
          <w:color w:val="auto"/>
          <w:sz w:val="32"/>
          <w:szCs w:val="32"/>
        </w:rPr>
        <w:t>预算金额</w:t>
      </w:r>
      <w:r>
        <w:rPr>
          <w:rFonts w:hint="eastAsia" w:ascii="仿宋_GB2312" w:hAnsi="仿宋_GB2312" w:eastAsia="仿宋_GB2312" w:cs="仿宋_GB2312"/>
          <w:color w:val="auto"/>
          <w:sz w:val="32"/>
          <w:szCs w:val="32"/>
          <w:lang w:val="en-US" w:eastAsia="zh-CN"/>
        </w:rPr>
        <w:t>34.57</w:t>
      </w:r>
      <w:r>
        <w:rPr>
          <w:rFonts w:hint="eastAsia" w:ascii="仿宋_GB2312" w:hAnsi="仿宋_GB2312" w:eastAsia="仿宋_GB2312" w:cs="仿宋_GB2312"/>
          <w:color w:val="auto"/>
          <w:sz w:val="32"/>
          <w:szCs w:val="32"/>
        </w:rPr>
        <w:t>万元，执行金额27.2</w:t>
      </w:r>
      <w:r>
        <w:rPr>
          <w:rFonts w:hint="eastAsia" w:ascii="仿宋_GB2312" w:hAnsi="仿宋_GB2312" w:eastAsia="仿宋_GB2312" w:cs="仿宋_GB2312"/>
          <w:color w:val="auto"/>
          <w:sz w:val="32"/>
          <w:szCs w:val="32"/>
          <w:lang w:val="en-US" w:eastAsia="zh-CN"/>
        </w:rPr>
        <w:t>7</w:t>
      </w:r>
      <w:r>
        <w:rPr>
          <w:rFonts w:hint="eastAsia" w:ascii="仿宋_GB2312" w:hAnsi="仿宋_GB2312" w:eastAsia="仿宋_GB2312" w:cs="仿宋_GB2312"/>
          <w:color w:val="auto"/>
          <w:sz w:val="32"/>
          <w:szCs w:val="32"/>
        </w:rPr>
        <w:t>万元，执行率</w:t>
      </w:r>
      <w:r>
        <w:rPr>
          <w:rFonts w:hint="eastAsia" w:ascii="仿宋_GB2312" w:hAnsi="仿宋_GB2312" w:eastAsia="仿宋_GB2312" w:cs="仿宋_GB2312"/>
          <w:color w:val="auto"/>
          <w:sz w:val="32"/>
          <w:szCs w:val="32"/>
          <w:lang w:val="en-US" w:eastAsia="zh-CN"/>
        </w:rPr>
        <w:t>78.88</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项目目前已完成主体部分，收尾工作目前</w:t>
      </w:r>
      <w:r>
        <w:rPr>
          <w:rFonts w:hint="eastAsia" w:ascii="仿宋_GB2312" w:hAnsi="仿宋_GB2312" w:eastAsia="仿宋_GB2312" w:cs="仿宋_GB2312"/>
          <w:sz w:val="32"/>
          <w:szCs w:val="32"/>
          <w:lang w:val="en-US" w:eastAsia="zh-CN"/>
        </w:rPr>
        <w:t>因工期时间短未能完成；2022年中央财政衔接推进乡村振兴补助资金吉也克镇库木托别村、加依勒玛供水工程建设项目</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sz w:val="32"/>
          <w:szCs w:val="32"/>
        </w:rPr>
        <w:t>预算金额10.1</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万元，执行金额9.5</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万元，执行率</w:t>
      </w:r>
      <w:r>
        <w:rPr>
          <w:rFonts w:hint="eastAsia" w:ascii="仿宋_GB2312" w:hAnsi="仿宋_GB2312" w:eastAsia="仿宋_GB2312" w:cs="仿宋_GB2312"/>
          <w:sz w:val="32"/>
          <w:szCs w:val="32"/>
          <w:lang w:val="en-US" w:eastAsia="zh-CN"/>
        </w:rPr>
        <w:t>94.47</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项目目前已完成主体部分，剩余款项为质保金；</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2022年中央财政衔接推进乡村振兴补助资金哈拉赛村村容村貌提升改造工程380万项目，</w:t>
      </w:r>
      <w:r>
        <w:rPr>
          <w:rFonts w:hint="eastAsia" w:ascii="仿宋_GB2312" w:hAnsi="仿宋_GB2312" w:eastAsia="仿宋_GB2312" w:cs="仿宋_GB2312"/>
          <w:color w:val="auto"/>
          <w:sz w:val="32"/>
          <w:szCs w:val="32"/>
        </w:rPr>
        <w:t>预算金额10.92万元，</w:t>
      </w:r>
      <w:r>
        <w:rPr>
          <w:rFonts w:hint="eastAsia" w:ascii="仿宋_GB2312" w:hAnsi="仿宋_GB2312" w:eastAsia="仿宋_GB2312" w:cs="仿宋_GB2312"/>
          <w:color w:val="auto"/>
          <w:sz w:val="32"/>
          <w:szCs w:val="32"/>
          <w:lang w:val="en-US" w:eastAsia="zh-CN"/>
        </w:rPr>
        <w:t>全年</w:t>
      </w:r>
      <w:r>
        <w:rPr>
          <w:rFonts w:hint="eastAsia" w:ascii="仿宋_GB2312" w:hAnsi="仿宋_GB2312" w:eastAsia="仿宋_GB2312" w:cs="仿宋_GB2312"/>
          <w:color w:val="auto"/>
          <w:sz w:val="32"/>
          <w:szCs w:val="32"/>
        </w:rPr>
        <w:t>执行金额10.70万元，执行率</w:t>
      </w:r>
      <w:r>
        <w:rPr>
          <w:rFonts w:hint="eastAsia" w:ascii="仿宋_GB2312" w:hAnsi="仿宋_GB2312" w:eastAsia="仿宋_GB2312" w:cs="仿宋_GB2312"/>
          <w:color w:val="auto"/>
          <w:sz w:val="32"/>
          <w:szCs w:val="32"/>
          <w:lang w:val="en-US" w:eastAsia="zh-CN"/>
        </w:rPr>
        <w:t>97.98</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sz w:val="32"/>
          <w:szCs w:val="32"/>
          <w:lang w:val="en-US" w:eastAsia="zh-CN"/>
        </w:rPr>
        <w:t>项目目前已完成主体部分，剩余款项为质保金；吉镇2023年自治区驻村管寺管委会工作及人员经费</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项目，</w:t>
      </w:r>
      <w:r>
        <w:rPr>
          <w:rFonts w:hint="eastAsia" w:ascii="仿宋_GB2312" w:hAnsi="仿宋_GB2312" w:eastAsia="仿宋_GB2312" w:cs="仿宋_GB2312"/>
          <w:color w:val="auto"/>
          <w:sz w:val="32"/>
          <w:szCs w:val="32"/>
        </w:rPr>
        <w:t>预算金额</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val="en-US" w:eastAsia="zh-CN"/>
        </w:rPr>
        <w:t>全年</w:t>
      </w:r>
      <w:r>
        <w:rPr>
          <w:rFonts w:hint="eastAsia" w:ascii="仿宋_GB2312" w:hAnsi="仿宋_GB2312" w:eastAsia="仿宋_GB2312" w:cs="仿宋_GB2312"/>
          <w:color w:val="auto"/>
          <w:sz w:val="32"/>
          <w:szCs w:val="32"/>
        </w:rPr>
        <w:t>执行金额</w:t>
      </w:r>
      <w:r>
        <w:rPr>
          <w:rFonts w:hint="eastAsia" w:ascii="仿宋_GB2312" w:hAnsi="仿宋_GB2312" w:eastAsia="仿宋_GB2312" w:cs="仿宋_GB2312"/>
          <w:color w:val="auto"/>
          <w:sz w:val="32"/>
          <w:szCs w:val="32"/>
          <w:lang w:val="en-US" w:eastAsia="zh-CN"/>
        </w:rPr>
        <w:t>0.58</w:t>
      </w:r>
      <w:r>
        <w:rPr>
          <w:rFonts w:hint="eastAsia" w:ascii="仿宋_GB2312" w:hAnsi="仿宋_GB2312" w:eastAsia="仿宋_GB2312" w:cs="仿宋_GB2312"/>
          <w:color w:val="auto"/>
          <w:sz w:val="32"/>
          <w:szCs w:val="32"/>
        </w:rPr>
        <w:t>万元，执行率</w:t>
      </w:r>
      <w:r>
        <w:rPr>
          <w:rFonts w:hint="eastAsia" w:ascii="仿宋_GB2312" w:hAnsi="仿宋_GB2312" w:eastAsia="仿宋_GB2312" w:cs="仿宋_GB2312"/>
          <w:color w:val="auto"/>
          <w:sz w:val="32"/>
          <w:szCs w:val="32"/>
          <w:lang w:val="en-US" w:eastAsia="zh-CN"/>
        </w:rPr>
        <w:t>57.72</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sz w:val="32"/>
          <w:szCs w:val="32"/>
          <w:lang w:val="en-US" w:eastAsia="zh-CN"/>
        </w:rPr>
        <w:t>项目目前已完成人员经费发放，因年中人员减少，资金未发放完毕；2023年自治区农村综合改革转移支付资金吉也克镇库萨克北村（农村公益建设）</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项目，</w:t>
      </w:r>
      <w:r>
        <w:rPr>
          <w:rFonts w:hint="eastAsia" w:ascii="仿宋_GB2312" w:hAnsi="仿宋_GB2312" w:eastAsia="仿宋_GB2312" w:cs="仿宋_GB2312"/>
          <w:color w:val="auto"/>
          <w:sz w:val="32"/>
          <w:szCs w:val="32"/>
        </w:rPr>
        <w:t>预算金额</w:t>
      </w:r>
      <w:r>
        <w:rPr>
          <w:rFonts w:hint="eastAsia" w:ascii="仿宋_GB2312" w:hAnsi="仿宋_GB2312" w:eastAsia="仿宋_GB2312" w:cs="仿宋_GB2312"/>
          <w:color w:val="auto"/>
          <w:sz w:val="32"/>
          <w:szCs w:val="32"/>
          <w:lang w:val="en-US" w:eastAsia="zh-CN"/>
        </w:rPr>
        <w:t>30</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val="en-US" w:eastAsia="zh-CN"/>
        </w:rPr>
        <w:t>全年</w:t>
      </w:r>
      <w:r>
        <w:rPr>
          <w:rFonts w:hint="eastAsia" w:ascii="仿宋_GB2312" w:hAnsi="仿宋_GB2312" w:eastAsia="仿宋_GB2312" w:cs="仿宋_GB2312"/>
          <w:color w:val="auto"/>
          <w:sz w:val="32"/>
          <w:szCs w:val="32"/>
        </w:rPr>
        <w:t>执行金额</w:t>
      </w:r>
      <w:r>
        <w:rPr>
          <w:rFonts w:hint="eastAsia" w:ascii="仿宋_GB2312" w:hAnsi="仿宋_GB2312" w:eastAsia="仿宋_GB2312" w:cs="仿宋_GB2312"/>
          <w:color w:val="auto"/>
          <w:sz w:val="32"/>
          <w:szCs w:val="32"/>
          <w:lang w:val="en-US" w:eastAsia="zh-CN"/>
        </w:rPr>
        <w:t>27</w:t>
      </w:r>
      <w:r>
        <w:rPr>
          <w:rFonts w:hint="eastAsia" w:ascii="仿宋_GB2312" w:hAnsi="仿宋_GB2312" w:eastAsia="仿宋_GB2312" w:cs="仿宋_GB2312"/>
          <w:color w:val="auto"/>
          <w:sz w:val="32"/>
          <w:szCs w:val="32"/>
        </w:rPr>
        <w:t>万元，执行率</w:t>
      </w:r>
      <w:r>
        <w:rPr>
          <w:rFonts w:hint="eastAsia" w:ascii="仿宋_GB2312" w:hAnsi="仿宋_GB2312" w:eastAsia="仿宋_GB2312" w:cs="仿宋_GB2312"/>
          <w:color w:val="auto"/>
          <w:sz w:val="32"/>
          <w:szCs w:val="32"/>
          <w:lang w:val="en-US" w:eastAsia="zh-CN"/>
        </w:rPr>
        <w:t>90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sz w:val="32"/>
          <w:szCs w:val="32"/>
          <w:lang w:val="en-US" w:eastAsia="zh-CN"/>
        </w:rPr>
        <w:t>项目目前已完成主体部分，</w:t>
      </w:r>
      <w:r>
        <w:rPr>
          <w:rFonts w:hint="eastAsia" w:ascii="仿宋_GB2312" w:hAnsi="仿宋_GB2312" w:eastAsia="仿宋_GB2312" w:cs="仿宋_GB2312"/>
          <w:color w:val="auto"/>
          <w:sz w:val="32"/>
          <w:szCs w:val="32"/>
          <w:lang w:val="en-US" w:eastAsia="zh-CN"/>
        </w:rPr>
        <w:t>项目目前已完成主体部分，收尾工作目前</w:t>
      </w:r>
      <w:r>
        <w:rPr>
          <w:rFonts w:hint="eastAsia" w:ascii="仿宋_GB2312" w:hAnsi="仿宋_GB2312" w:eastAsia="仿宋_GB2312" w:cs="仿宋_GB2312"/>
          <w:sz w:val="32"/>
          <w:szCs w:val="32"/>
          <w:lang w:val="en-US" w:eastAsia="zh-CN"/>
        </w:rPr>
        <w:t>因工期时间短未能完成；2023年自治区农村综合改革转移支付资金吉也克窝尔塔吉也克西村（农村公益建设）</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项目，</w:t>
      </w:r>
      <w:r>
        <w:rPr>
          <w:rFonts w:hint="eastAsia" w:ascii="仿宋_GB2312" w:hAnsi="仿宋_GB2312" w:eastAsia="仿宋_GB2312" w:cs="仿宋_GB2312"/>
          <w:color w:val="auto"/>
          <w:sz w:val="32"/>
          <w:szCs w:val="32"/>
        </w:rPr>
        <w:t>预算金额</w:t>
      </w:r>
      <w:r>
        <w:rPr>
          <w:rFonts w:hint="eastAsia" w:ascii="仿宋_GB2312" w:hAnsi="仿宋_GB2312" w:eastAsia="仿宋_GB2312" w:cs="仿宋_GB2312"/>
          <w:color w:val="auto"/>
          <w:sz w:val="32"/>
          <w:szCs w:val="32"/>
          <w:lang w:val="en-US" w:eastAsia="zh-CN"/>
        </w:rPr>
        <w:t>30</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val="en-US" w:eastAsia="zh-CN"/>
        </w:rPr>
        <w:t>全年</w:t>
      </w:r>
      <w:r>
        <w:rPr>
          <w:rFonts w:hint="eastAsia" w:ascii="仿宋_GB2312" w:hAnsi="仿宋_GB2312" w:eastAsia="仿宋_GB2312" w:cs="仿宋_GB2312"/>
          <w:color w:val="auto"/>
          <w:sz w:val="32"/>
          <w:szCs w:val="32"/>
        </w:rPr>
        <w:t>执行金额</w:t>
      </w:r>
      <w:r>
        <w:rPr>
          <w:rFonts w:hint="eastAsia" w:ascii="仿宋_GB2312" w:hAnsi="仿宋_GB2312" w:eastAsia="仿宋_GB2312" w:cs="仿宋_GB2312"/>
          <w:color w:val="auto"/>
          <w:sz w:val="32"/>
          <w:szCs w:val="32"/>
          <w:lang w:val="en-US" w:eastAsia="zh-CN"/>
        </w:rPr>
        <w:t>29.90</w:t>
      </w:r>
      <w:r>
        <w:rPr>
          <w:rFonts w:hint="eastAsia" w:ascii="仿宋_GB2312" w:hAnsi="仿宋_GB2312" w:eastAsia="仿宋_GB2312" w:cs="仿宋_GB2312"/>
          <w:color w:val="auto"/>
          <w:sz w:val="32"/>
          <w:szCs w:val="32"/>
        </w:rPr>
        <w:t>万元，执行率</w:t>
      </w:r>
      <w:r>
        <w:rPr>
          <w:rFonts w:hint="eastAsia" w:ascii="仿宋_GB2312" w:hAnsi="仿宋_GB2312" w:eastAsia="仿宋_GB2312" w:cs="仿宋_GB2312"/>
          <w:color w:val="auto"/>
          <w:sz w:val="32"/>
          <w:szCs w:val="32"/>
          <w:lang w:val="en-US" w:eastAsia="zh-CN"/>
        </w:rPr>
        <w:t>99.68</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sz w:val="32"/>
          <w:szCs w:val="32"/>
          <w:lang w:val="en-US" w:eastAsia="zh-CN"/>
        </w:rPr>
        <w:t>项目目前已完成主体部分，</w:t>
      </w:r>
      <w:r>
        <w:rPr>
          <w:rFonts w:hint="eastAsia" w:ascii="仿宋_GB2312" w:hAnsi="仿宋_GB2312" w:eastAsia="仿宋_GB2312" w:cs="仿宋_GB2312"/>
          <w:color w:val="auto"/>
          <w:sz w:val="32"/>
          <w:szCs w:val="32"/>
          <w:lang w:val="en-US" w:eastAsia="zh-CN"/>
        </w:rPr>
        <w:t>项目目前已完成主体部分，收尾工作目前</w:t>
      </w:r>
      <w:r>
        <w:rPr>
          <w:rFonts w:hint="eastAsia" w:ascii="仿宋_GB2312" w:hAnsi="仿宋_GB2312" w:eastAsia="仿宋_GB2312" w:cs="仿宋_GB2312"/>
          <w:sz w:val="32"/>
          <w:szCs w:val="32"/>
          <w:lang w:val="en-US" w:eastAsia="zh-CN"/>
        </w:rPr>
        <w:t>因工期时间短未能完成；2023年央农村综合改革转移支付资金吉也克镇哈拉赛村（农村公益建设）</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color w:val="auto"/>
          <w:sz w:val="32"/>
          <w:szCs w:val="32"/>
        </w:rPr>
        <w:t>预算金额</w:t>
      </w:r>
      <w:r>
        <w:rPr>
          <w:rFonts w:hint="eastAsia" w:ascii="仿宋_GB2312" w:hAnsi="仿宋_GB2312" w:eastAsia="仿宋_GB2312" w:cs="仿宋_GB2312"/>
          <w:color w:val="auto"/>
          <w:sz w:val="32"/>
          <w:szCs w:val="32"/>
          <w:lang w:val="en-US" w:eastAsia="zh-CN"/>
        </w:rPr>
        <w:t>30</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val="en-US" w:eastAsia="zh-CN"/>
        </w:rPr>
        <w:t>全年</w:t>
      </w:r>
      <w:r>
        <w:rPr>
          <w:rFonts w:hint="eastAsia" w:ascii="仿宋_GB2312" w:hAnsi="仿宋_GB2312" w:eastAsia="仿宋_GB2312" w:cs="仿宋_GB2312"/>
          <w:color w:val="auto"/>
          <w:sz w:val="32"/>
          <w:szCs w:val="32"/>
        </w:rPr>
        <w:t>执行金额</w:t>
      </w:r>
      <w:r>
        <w:rPr>
          <w:rFonts w:hint="eastAsia" w:ascii="仿宋_GB2312" w:hAnsi="仿宋_GB2312" w:eastAsia="仿宋_GB2312" w:cs="仿宋_GB2312"/>
          <w:color w:val="auto"/>
          <w:sz w:val="32"/>
          <w:szCs w:val="32"/>
          <w:lang w:val="en-US" w:eastAsia="zh-CN"/>
        </w:rPr>
        <w:t>27</w:t>
      </w:r>
      <w:r>
        <w:rPr>
          <w:rFonts w:hint="eastAsia" w:ascii="仿宋_GB2312" w:hAnsi="仿宋_GB2312" w:eastAsia="仿宋_GB2312" w:cs="仿宋_GB2312"/>
          <w:color w:val="auto"/>
          <w:sz w:val="32"/>
          <w:szCs w:val="32"/>
        </w:rPr>
        <w:t>万元，执行率</w:t>
      </w:r>
      <w:r>
        <w:rPr>
          <w:rFonts w:hint="eastAsia" w:ascii="仿宋_GB2312" w:hAnsi="仿宋_GB2312" w:eastAsia="仿宋_GB2312" w:cs="仿宋_GB2312"/>
          <w:color w:val="auto"/>
          <w:sz w:val="32"/>
          <w:szCs w:val="32"/>
          <w:lang w:val="en-US" w:eastAsia="zh-CN"/>
        </w:rPr>
        <w:t>90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sz w:val="32"/>
          <w:szCs w:val="32"/>
          <w:lang w:val="en-US" w:eastAsia="zh-CN"/>
        </w:rPr>
        <w:t>项目目前已完成主体部分，</w:t>
      </w:r>
      <w:r>
        <w:rPr>
          <w:rFonts w:hint="eastAsia" w:ascii="仿宋_GB2312" w:hAnsi="仿宋_GB2312" w:eastAsia="仿宋_GB2312" w:cs="仿宋_GB2312"/>
          <w:color w:val="auto"/>
          <w:sz w:val="32"/>
          <w:szCs w:val="32"/>
          <w:lang w:val="en-US" w:eastAsia="zh-CN"/>
        </w:rPr>
        <w:t>项目目前已完成主体部分，收尾工作目前冬季气温较低施工不便</w:t>
      </w:r>
      <w:r>
        <w:rPr>
          <w:rFonts w:hint="eastAsia" w:ascii="仿宋_GB2312" w:hAnsi="仿宋_GB2312" w:eastAsia="仿宋_GB2312" w:cs="仿宋_GB2312"/>
          <w:sz w:val="32"/>
          <w:szCs w:val="32"/>
          <w:lang w:val="en-US" w:eastAsia="zh-CN"/>
        </w:rPr>
        <w:t>未能完成；2022年中央财政衔接推进乡村振兴补助资金小麦原粮库建设220㎡左右470万，</w:t>
      </w:r>
      <w:r>
        <w:rPr>
          <w:rFonts w:hint="eastAsia" w:ascii="仿宋_GB2312" w:hAnsi="仿宋_GB2312" w:eastAsia="仿宋_GB2312" w:cs="仿宋_GB2312"/>
          <w:color w:val="auto"/>
          <w:sz w:val="32"/>
          <w:szCs w:val="32"/>
        </w:rPr>
        <w:t>预算金额</w:t>
      </w:r>
      <w:r>
        <w:rPr>
          <w:rFonts w:hint="eastAsia" w:ascii="仿宋_GB2312" w:hAnsi="仿宋_GB2312" w:eastAsia="仿宋_GB2312" w:cs="仿宋_GB2312"/>
          <w:color w:val="auto"/>
          <w:sz w:val="32"/>
          <w:szCs w:val="32"/>
          <w:lang w:val="en-US" w:eastAsia="zh-CN"/>
        </w:rPr>
        <w:t>13.51</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val="en-US" w:eastAsia="zh-CN"/>
        </w:rPr>
        <w:t>全年</w:t>
      </w:r>
      <w:r>
        <w:rPr>
          <w:rFonts w:hint="eastAsia" w:ascii="仿宋_GB2312" w:hAnsi="仿宋_GB2312" w:eastAsia="仿宋_GB2312" w:cs="仿宋_GB2312"/>
          <w:color w:val="auto"/>
          <w:sz w:val="32"/>
          <w:szCs w:val="32"/>
        </w:rPr>
        <w:t>执行金额</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万元，执行率</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；该项目款为质保金，本年度未支付，下年度支付；吉镇2021年中央农村综合改革转移支付预算(农村公益事业)</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color w:val="auto"/>
          <w:sz w:val="32"/>
          <w:szCs w:val="32"/>
        </w:rPr>
        <w:t>预算金额</w:t>
      </w:r>
      <w:r>
        <w:rPr>
          <w:rFonts w:hint="eastAsia" w:ascii="仿宋_GB2312" w:hAnsi="仿宋_GB2312" w:eastAsia="仿宋_GB2312" w:cs="仿宋_GB2312"/>
          <w:color w:val="auto"/>
          <w:sz w:val="32"/>
          <w:szCs w:val="32"/>
          <w:lang w:val="en-US" w:eastAsia="zh-CN"/>
        </w:rPr>
        <w:t>0.2</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val="en-US" w:eastAsia="zh-CN"/>
        </w:rPr>
        <w:t>全年</w:t>
      </w:r>
      <w:r>
        <w:rPr>
          <w:rFonts w:hint="eastAsia" w:ascii="仿宋_GB2312" w:hAnsi="仿宋_GB2312" w:eastAsia="仿宋_GB2312" w:cs="仿宋_GB2312"/>
          <w:color w:val="auto"/>
          <w:sz w:val="32"/>
          <w:szCs w:val="32"/>
        </w:rPr>
        <w:t>执行金额</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万元，执行率</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；该项目款为质保金，本年度未支付，下年度支付；裕民县吉也克镇窝尔塔吉也克北村惠民资金，</w:t>
      </w:r>
      <w:r>
        <w:rPr>
          <w:rFonts w:hint="eastAsia" w:ascii="仿宋_GB2312" w:hAnsi="仿宋_GB2312" w:eastAsia="仿宋_GB2312" w:cs="仿宋_GB2312"/>
          <w:color w:val="auto"/>
          <w:sz w:val="32"/>
          <w:szCs w:val="32"/>
        </w:rPr>
        <w:t>预算金额</w:t>
      </w:r>
      <w:r>
        <w:rPr>
          <w:rFonts w:hint="eastAsia" w:ascii="仿宋_GB2312" w:hAnsi="仿宋_GB2312" w:eastAsia="仿宋_GB2312" w:cs="仿宋_GB2312"/>
          <w:color w:val="auto"/>
          <w:sz w:val="32"/>
          <w:szCs w:val="32"/>
          <w:lang w:val="en-US" w:eastAsia="zh-CN"/>
        </w:rPr>
        <w:t>10</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val="en-US" w:eastAsia="zh-CN"/>
        </w:rPr>
        <w:t>全年</w:t>
      </w:r>
      <w:r>
        <w:rPr>
          <w:rFonts w:hint="eastAsia" w:ascii="仿宋_GB2312" w:hAnsi="仿宋_GB2312" w:eastAsia="仿宋_GB2312" w:cs="仿宋_GB2312"/>
          <w:color w:val="auto"/>
          <w:sz w:val="32"/>
          <w:szCs w:val="32"/>
        </w:rPr>
        <w:t>执行金额</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万元，执行率</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；该项目未施工，未支出；裕民县吉也克镇敬老院（幸福大院）建设项目，</w:t>
      </w:r>
      <w:r>
        <w:rPr>
          <w:rFonts w:hint="eastAsia" w:ascii="仿宋_GB2312" w:hAnsi="仿宋_GB2312" w:eastAsia="仿宋_GB2312" w:cs="仿宋_GB2312"/>
          <w:color w:val="auto"/>
          <w:sz w:val="32"/>
          <w:szCs w:val="32"/>
        </w:rPr>
        <w:t>预算金额</w:t>
      </w:r>
      <w:r>
        <w:rPr>
          <w:rFonts w:hint="eastAsia" w:ascii="仿宋_GB2312" w:hAnsi="仿宋_GB2312" w:eastAsia="仿宋_GB2312" w:cs="仿宋_GB2312"/>
          <w:color w:val="auto"/>
          <w:sz w:val="32"/>
          <w:szCs w:val="32"/>
          <w:lang w:val="en-US" w:eastAsia="zh-CN"/>
        </w:rPr>
        <w:t>13.18</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val="en-US" w:eastAsia="zh-CN"/>
        </w:rPr>
        <w:t>全年</w:t>
      </w:r>
      <w:r>
        <w:rPr>
          <w:rFonts w:hint="eastAsia" w:ascii="仿宋_GB2312" w:hAnsi="仿宋_GB2312" w:eastAsia="仿宋_GB2312" w:cs="仿宋_GB2312"/>
          <w:color w:val="auto"/>
          <w:sz w:val="32"/>
          <w:szCs w:val="32"/>
        </w:rPr>
        <w:t>执行金额</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万元，执行率</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；该项目款为质保金，本年度未支付，下年度支付；</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以上</w:t>
      </w:r>
      <w:r>
        <w:rPr>
          <w:rFonts w:hint="eastAsia" w:ascii="仿宋_GB2312" w:hAnsi="仿宋_GB2312" w:eastAsia="仿宋_GB2312" w:cs="仿宋_GB2312"/>
          <w:sz w:val="32"/>
          <w:szCs w:val="32"/>
          <w:lang w:val="en-US" w:eastAsia="zh-CN"/>
        </w:rPr>
        <w:t>项目是本单位2023年度实施的中央和自治区</w:t>
      </w:r>
      <w:r>
        <w:rPr>
          <w:rFonts w:hint="eastAsia" w:ascii="仿宋_GB2312" w:hAnsi="仿宋_GB2312" w:eastAsia="仿宋_GB2312" w:cs="仿宋_GB2312"/>
          <w:sz w:val="32"/>
          <w:szCs w:val="32"/>
        </w:rPr>
        <w:t>专项项目。</w:t>
      </w:r>
    </w:p>
    <w:p>
      <w:pPr>
        <w:keepNext w:val="0"/>
        <w:keepLines w:val="0"/>
        <w:pageBreakBefore w:val="0"/>
        <w:widowControl w:val="0"/>
        <w:numPr>
          <w:ilvl w:val="0"/>
          <w:numId w:val="3"/>
        </w:numPr>
        <w:kinsoku/>
        <w:wordWrap/>
        <w:overflowPunct/>
        <w:topLinePunct w:val="0"/>
        <w:autoSpaceDE/>
        <w:autoSpaceDN/>
        <w:bidi w:val="0"/>
        <w:adjustRightInd/>
        <w:snapToGrid/>
        <w:spacing w:line="570" w:lineRule="exact"/>
        <w:ind w:left="0" w:leftChars="0" w:firstLine="640" w:firstLineChars="200"/>
        <w:jc w:val="both"/>
        <w:textAlignment w:val="auto"/>
        <w:rPr>
          <w:rFonts w:hint="eastAsia"/>
          <w:lang w:val="en-US" w:eastAsia="zh-CN"/>
        </w:rPr>
      </w:pPr>
      <w:r>
        <w:rPr>
          <w:rFonts w:hint="eastAsia" w:ascii="仿宋_GB2312" w:hAnsi="仿宋_GB2312" w:eastAsia="仿宋_GB2312" w:cs="仿宋_GB2312"/>
          <w:sz w:val="32"/>
          <w:szCs w:val="32"/>
          <w:highlight w:val="none"/>
          <w:lang w:val="en-US" w:eastAsia="zh-CN"/>
        </w:rPr>
        <w:t>本级项目：</w:t>
      </w:r>
      <w:r>
        <w:rPr>
          <w:rFonts w:hint="eastAsia" w:ascii="仿宋_GB2312" w:hAnsi="仿宋_GB2312" w:eastAsia="仿宋_GB2312" w:cs="仿宋_GB2312"/>
          <w:color w:val="auto"/>
          <w:sz w:val="32"/>
          <w:szCs w:val="32"/>
          <w:highlight w:val="none"/>
          <w:lang w:val="en-US" w:eastAsia="zh-CN"/>
        </w:rPr>
        <w:t>2023年吉镇美术馆、公共图书馆文化馆免费开放补助资金</w:t>
      </w:r>
      <w:r>
        <w:rPr>
          <w:rFonts w:hint="eastAsia" w:ascii="仿宋_GB2312" w:hAnsi="仿宋_GB2312" w:eastAsia="仿宋_GB2312" w:cs="仿宋_GB2312"/>
          <w:color w:val="auto"/>
          <w:sz w:val="32"/>
          <w:szCs w:val="32"/>
          <w:lang w:val="en-US" w:eastAsia="zh-CN"/>
        </w:rPr>
        <w:t>项目，</w:t>
      </w:r>
      <w:r>
        <w:rPr>
          <w:rFonts w:hint="eastAsia" w:ascii="仿宋_GB2312" w:hAnsi="仿宋_GB2312" w:eastAsia="仿宋_GB2312" w:cs="仿宋_GB2312"/>
          <w:sz w:val="32"/>
          <w:szCs w:val="32"/>
        </w:rPr>
        <w:t>预算金额</w:t>
      </w:r>
      <w:r>
        <w:rPr>
          <w:rFonts w:hint="eastAsia" w:ascii="仿宋_GB2312" w:hAnsi="仿宋_GB2312" w:eastAsia="仿宋_GB2312" w:cs="仿宋_GB2312"/>
          <w:sz w:val="32"/>
          <w:szCs w:val="32"/>
          <w:lang w:val="en-US" w:eastAsia="zh-CN"/>
        </w:rPr>
        <w:t>4.3</w:t>
      </w:r>
      <w:r>
        <w:rPr>
          <w:rFonts w:hint="eastAsia" w:ascii="仿宋_GB2312" w:hAnsi="仿宋_GB2312" w:eastAsia="仿宋_GB2312" w:cs="仿宋_GB2312"/>
          <w:sz w:val="32"/>
          <w:szCs w:val="32"/>
        </w:rPr>
        <w:t>万元，执行金额</w:t>
      </w:r>
      <w:r>
        <w:rPr>
          <w:rFonts w:hint="eastAsia" w:ascii="仿宋_GB2312" w:hAnsi="仿宋_GB2312" w:eastAsia="仿宋_GB2312" w:cs="仿宋_GB2312"/>
          <w:sz w:val="32"/>
          <w:szCs w:val="32"/>
          <w:lang w:val="en-US" w:eastAsia="zh-CN"/>
        </w:rPr>
        <w:t>4.3</w:t>
      </w:r>
      <w:r>
        <w:rPr>
          <w:rFonts w:hint="eastAsia" w:ascii="仿宋_GB2312" w:hAnsi="仿宋_GB2312" w:eastAsia="仿宋_GB2312" w:cs="仿宋_GB2312"/>
          <w:sz w:val="32"/>
          <w:szCs w:val="32"/>
        </w:rPr>
        <w:t>万元，执行率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项目已全部实施完成。吉也克镇2023年国有土地资源设备维护费项目，</w:t>
      </w:r>
      <w:r>
        <w:rPr>
          <w:rFonts w:hint="eastAsia" w:ascii="仿宋_GB2312" w:hAnsi="仿宋_GB2312" w:eastAsia="仿宋_GB2312" w:cs="仿宋_GB2312"/>
          <w:color w:val="auto"/>
          <w:sz w:val="32"/>
          <w:szCs w:val="32"/>
        </w:rPr>
        <w:t>预算金额</w:t>
      </w:r>
      <w:r>
        <w:rPr>
          <w:rFonts w:hint="eastAsia" w:ascii="仿宋_GB2312" w:hAnsi="仿宋_GB2312" w:eastAsia="仿宋_GB2312" w:cs="仿宋_GB2312"/>
          <w:color w:val="auto"/>
          <w:sz w:val="32"/>
          <w:szCs w:val="32"/>
          <w:lang w:val="en-US" w:eastAsia="zh-CN"/>
        </w:rPr>
        <w:t>15</w:t>
      </w:r>
      <w:r>
        <w:rPr>
          <w:rFonts w:hint="eastAsia" w:ascii="仿宋_GB2312" w:hAnsi="仿宋_GB2312" w:eastAsia="仿宋_GB2312" w:cs="仿宋_GB2312"/>
          <w:color w:val="auto"/>
          <w:sz w:val="32"/>
          <w:szCs w:val="32"/>
        </w:rPr>
        <w:t>万元，执行金额</w:t>
      </w:r>
      <w:r>
        <w:rPr>
          <w:rFonts w:hint="eastAsia" w:ascii="仿宋_GB2312" w:hAnsi="仿宋_GB2312" w:eastAsia="仿宋_GB2312" w:cs="仿宋_GB2312"/>
          <w:color w:val="auto"/>
          <w:sz w:val="32"/>
          <w:szCs w:val="32"/>
          <w:lang w:val="en-US" w:eastAsia="zh-CN"/>
        </w:rPr>
        <w:t>15</w:t>
      </w:r>
      <w:r>
        <w:rPr>
          <w:rFonts w:hint="eastAsia" w:ascii="仿宋_GB2312" w:hAnsi="仿宋_GB2312" w:eastAsia="仿宋_GB2312" w:cs="仿宋_GB2312"/>
          <w:color w:val="auto"/>
          <w:sz w:val="32"/>
          <w:szCs w:val="32"/>
        </w:rPr>
        <w:t>万元，执行率</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项目已全部实施完成。裕民县吉也克镇农村安全饮水提升改造项目，</w:t>
      </w:r>
      <w:r>
        <w:rPr>
          <w:rFonts w:hint="eastAsia" w:ascii="仿宋_GB2312" w:hAnsi="仿宋_GB2312" w:eastAsia="仿宋_GB2312" w:cs="仿宋_GB2312"/>
          <w:sz w:val="32"/>
          <w:szCs w:val="32"/>
        </w:rPr>
        <w:t>预算金额</w:t>
      </w:r>
      <w:r>
        <w:rPr>
          <w:rFonts w:hint="eastAsia" w:ascii="仿宋_GB2312" w:hAnsi="仿宋_GB2312" w:eastAsia="仿宋_GB2312" w:cs="仿宋_GB2312"/>
          <w:sz w:val="32"/>
          <w:szCs w:val="32"/>
          <w:lang w:val="en-US" w:eastAsia="zh-CN"/>
        </w:rPr>
        <w:t>500</w:t>
      </w:r>
      <w:r>
        <w:rPr>
          <w:rFonts w:hint="eastAsia" w:ascii="仿宋_GB2312" w:hAnsi="仿宋_GB2312" w:eastAsia="仿宋_GB2312" w:cs="仿宋_GB2312"/>
          <w:sz w:val="32"/>
          <w:szCs w:val="32"/>
        </w:rPr>
        <w:t>万元，执行金额</w:t>
      </w:r>
      <w:r>
        <w:rPr>
          <w:rFonts w:hint="eastAsia" w:ascii="仿宋_GB2312" w:hAnsi="仿宋_GB2312" w:eastAsia="仿宋_GB2312" w:cs="仿宋_GB2312"/>
          <w:sz w:val="32"/>
          <w:szCs w:val="32"/>
          <w:lang w:val="en-US" w:eastAsia="zh-CN"/>
        </w:rPr>
        <w:t>500</w:t>
      </w:r>
      <w:r>
        <w:rPr>
          <w:rFonts w:hint="eastAsia" w:ascii="仿宋_GB2312" w:hAnsi="仿宋_GB2312" w:eastAsia="仿宋_GB2312" w:cs="仿宋_GB2312"/>
          <w:sz w:val="32"/>
          <w:szCs w:val="32"/>
        </w:rPr>
        <w:t>万元，执行率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项目已全部实施完成。</w:t>
      </w:r>
      <w:r>
        <w:rPr>
          <w:rFonts w:hint="eastAsia" w:ascii="仿宋_GB2312" w:hAnsi="仿宋_GB2312" w:eastAsia="仿宋_GB2312" w:cs="仿宋_GB2312"/>
          <w:color w:val="auto"/>
          <w:sz w:val="32"/>
          <w:szCs w:val="32"/>
          <w:highlight w:val="none"/>
          <w:lang w:val="en-US" w:eastAsia="zh-CN"/>
        </w:rPr>
        <w:t>2023年上半年访惠聚驻村干部补助经费项目，</w:t>
      </w:r>
      <w:r>
        <w:rPr>
          <w:rFonts w:hint="eastAsia" w:ascii="仿宋_GB2312" w:hAnsi="仿宋_GB2312" w:eastAsia="仿宋_GB2312" w:cs="仿宋_GB2312"/>
          <w:sz w:val="32"/>
          <w:szCs w:val="32"/>
          <w:highlight w:val="none"/>
        </w:rPr>
        <w:t>预算金额</w:t>
      </w:r>
      <w:r>
        <w:rPr>
          <w:rFonts w:hint="eastAsia" w:ascii="仿宋_GB2312" w:hAnsi="仿宋_GB2312" w:eastAsia="仿宋_GB2312" w:cs="仿宋_GB2312"/>
          <w:sz w:val="32"/>
          <w:szCs w:val="32"/>
          <w:highlight w:val="none"/>
          <w:lang w:val="en-US" w:eastAsia="zh-CN"/>
        </w:rPr>
        <w:t>9.13</w:t>
      </w:r>
      <w:r>
        <w:rPr>
          <w:rFonts w:hint="eastAsia" w:ascii="仿宋_GB2312" w:hAnsi="仿宋_GB2312" w:eastAsia="仿宋_GB2312" w:cs="仿宋_GB2312"/>
          <w:sz w:val="32"/>
          <w:szCs w:val="32"/>
          <w:highlight w:val="none"/>
        </w:rPr>
        <w:t>万元，执行金额</w:t>
      </w:r>
      <w:r>
        <w:rPr>
          <w:rFonts w:hint="eastAsia" w:ascii="仿宋_GB2312" w:hAnsi="仿宋_GB2312" w:eastAsia="仿宋_GB2312" w:cs="仿宋_GB2312"/>
          <w:sz w:val="32"/>
          <w:szCs w:val="32"/>
          <w:highlight w:val="none"/>
          <w:lang w:val="en-US" w:eastAsia="zh-CN"/>
        </w:rPr>
        <w:t>9.13</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rPr>
        <w:t>执行率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项目已全部实施完成。2023年上半年访惠聚工作经费项目，</w:t>
      </w:r>
      <w:r>
        <w:rPr>
          <w:rFonts w:hint="eastAsia" w:ascii="仿宋_GB2312" w:hAnsi="仿宋_GB2312" w:eastAsia="仿宋_GB2312" w:cs="仿宋_GB2312"/>
          <w:sz w:val="32"/>
          <w:szCs w:val="32"/>
        </w:rPr>
        <w:t>预算金额</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万元，执行金额</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万元，执行率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项目已全部实施完成。2023年库鲁斯台草原生态保护引洪灌溉项目，</w:t>
      </w:r>
      <w:r>
        <w:rPr>
          <w:rFonts w:hint="eastAsia" w:ascii="仿宋_GB2312" w:hAnsi="仿宋_GB2312" w:eastAsia="仿宋_GB2312" w:cs="仿宋_GB2312"/>
          <w:sz w:val="32"/>
          <w:szCs w:val="32"/>
        </w:rPr>
        <w:t>预算金额</w:t>
      </w:r>
      <w:r>
        <w:rPr>
          <w:rFonts w:hint="eastAsia" w:ascii="仿宋_GB2312" w:hAnsi="仿宋_GB2312" w:eastAsia="仿宋_GB2312" w:cs="仿宋_GB2312"/>
          <w:sz w:val="32"/>
          <w:szCs w:val="32"/>
          <w:lang w:val="en-US" w:eastAsia="zh-CN"/>
        </w:rPr>
        <w:t>1.2</w:t>
      </w:r>
      <w:r>
        <w:rPr>
          <w:rFonts w:hint="eastAsia" w:ascii="仿宋_GB2312" w:hAnsi="仿宋_GB2312" w:eastAsia="仿宋_GB2312" w:cs="仿宋_GB2312"/>
          <w:sz w:val="32"/>
          <w:szCs w:val="32"/>
        </w:rPr>
        <w:t>万元，执行金额</w:t>
      </w:r>
      <w:r>
        <w:rPr>
          <w:rFonts w:hint="eastAsia" w:ascii="仿宋_GB2312" w:hAnsi="仿宋_GB2312" w:eastAsia="仿宋_GB2312" w:cs="仿宋_GB2312"/>
          <w:sz w:val="32"/>
          <w:szCs w:val="32"/>
          <w:lang w:val="en-US" w:eastAsia="zh-CN"/>
        </w:rPr>
        <w:t>1.2</w:t>
      </w:r>
      <w:r>
        <w:rPr>
          <w:rFonts w:hint="eastAsia" w:ascii="仿宋_GB2312" w:hAnsi="仿宋_GB2312" w:eastAsia="仿宋_GB2312" w:cs="仿宋_GB2312"/>
          <w:sz w:val="32"/>
          <w:szCs w:val="32"/>
        </w:rPr>
        <w:t>万元，执行率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项目已全部实施完成。裕民县吉也克镇哈拉赛村垃圾处理项目216</w:t>
      </w:r>
      <w:r>
        <w:rPr>
          <w:rFonts w:hint="eastAsia" w:ascii="仿宋_GB2312" w:hAnsi="仿宋_GB2312" w:eastAsia="仿宋_GB2312" w:cs="仿宋_GB2312"/>
          <w:sz w:val="32"/>
          <w:szCs w:val="32"/>
        </w:rPr>
        <w:t>预算金额</w:t>
      </w:r>
      <w:r>
        <w:rPr>
          <w:rFonts w:hint="eastAsia" w:ascii="仿宋_GB2312" w:hAnsi="仿宋_GB2312" w:eastAsia="仿宋_GB2312" w:cs="仿宋_GB2312"/>
          <w:sz w:val="32"/>
          <w:szCs w:val="32"/>
          <w:lang w:val="en-US" w:eastAsia="zh-CN"/>
        </w:rPr>
        <w:t>216</w:t>
      </w:r>
      <w:r>
        <w:rPr>
          <w:rFonts w:hint="eastAsia" w:ascii="仿宋_GB2312" w:hAnsi="仿宋_GB2312" w:eastAsia="仿宋_GB2312" w:cs="仿宋_GB2312"/>
          <w:sz w:val="32"/>
          <w:szCs w:val="32"/>
        </w:rPr>
        <w:t>万元，执行金额</w:t>
      </w:r>
      <w:r>
        <w:rPr>
          <w:rFonts w:hint="eastAsia" w:ascii="仿宋_GB2312" w:hAnsi="仿宋_GB2312" w:eastAsia="仿宋_GB2312" w:cs="仿宋_GB2312"/>
          <w:sz w:val="32"/>
          <w:szCs w:val="32"/>
          <w:lang w:val="en-US" w:eastAsia="zh-CN"/>
        </w:rPr>
        <w:t>216</w:t>
      </w:r>
      <w:r>
        <w:rPr>
          <w:rFonts w:hint="eastAsia" w:ascii="仿宋_GB2312" w:hAnsi="仿宋_GB2312" w:eastAsia="仿宋_GB2312" w:cs="仿宋_GB2312"/>
          <w:sz w:val="32"/>
          <w:szCs w:val="32"/>
        </w:rPr>
        <w:t>万元，执行率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项目已全部实施完成；2023年驻村工作队经费项目，</w:t>
      </w:r>
      <w:r>
        <w:rPr>
          <w:rFonts w:hint="eastAsia" w:ascii="仿宋_GB2312" w:hAnsi="仿宋_GB2312" w:eastAsia="仿宋_GB2312" w:cs="仿宋_GB2312"/>
          <w:color w:val="auto"/>
          <w:sz w:val="32"/>
          <w:szCs w:val="32"/>
        </w:rPr>
        <w:t>预算金额</w:t>
      </w:r>
      <w:r>
        <w:rPr>
          <w:rFonts w:hint="eastAsia" w:ascii="仿宋_GB2312" w:hAnsi="仿宋_GB2312" w:eastAsia="仿宋_GB2312" w:cs="仿宋_GB2312"/>
          <w:color w:val="auto"/>
          <w:sz w:val="32"/>
          <w:szCs w:val="32"/>
          <w:lang w:val="en-US" w:eastAsia="zh-CN"/>
        </w:rPr>
        <w:t>19.16</w:t>
      </w:r>
      <w:r>
        <w:rPr>
          <w:rFonts w:hint="eastAsia" w:ascii="仿宋_GB2312" w:hAnsi="仿宋_GB2312" w:eastAsia="仿宋_GB2312" w:cs="仿宋_GB2312"/>
          <w:color w:val="auto"/>
          <w:sz w:val="32"/>
          <w:szCs w:val="32"/>
        </w:rPr>
        <w:t>万元，执行金额</w:t>
      </w:r>
      <w:r>
        <w:rPr>
          <w:rFonts w:hint="eastAsia" w:ascii="仿宋_GB2312" w:hAnsi="仿宋_GB2312" w:eastAsia="仿宋_GB2312" w:cs="仿宋_GB2312"/>
          <w:color w:val="auto"/>
          <w:sz w:val="32"/>
          <w:szCs w:val="32"/>
          <w:lang w:val="en-US" w:eastAsia="zh-CN"/>
        </w:rPr>
        <w:t>19.16</w:t>
      </w:r>
      <w:r>
        <w:rPr>
          <w:rFonts w:hint="eastAsia" w:ascii="仿宋_GB2312" w:hAnsi="仿宋_GB2312" w:eastAsia="仿宋_GB2312" w:cs="仿宋_GB2312"/>
          <w:color w:val="auto"/>
          <w:sz w:val="32"/>
          <w:szCs w:val="32"/>
        </w:rPr>
        <w:t>万元，执行率</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项目已全部实施完成。</w:t>
      </w:r>
      <w:r>
        <w:rPr>
          <w:rFonts w:hint="eastAsia" w:ascii="仿宋_GB2312" w:hAnsi="仿宋_GB2312" w:eastAsia="仿宋_GB2312" w:cs="仿宋_GB2312"/>
          <w:sz w:val="32"/>
          <w:szCs w:val="32"/>
        </w:rPr>
        <w:t>预算金额</w:t>
      </w:r>
      <w:r>
        <w:rPr>
          <w:rFonts w:hint="eastAsia" w:ascii="仿宋_GB2312" w:hAnsi="仿宋_GB2312" w:eastAsia="仿宋_GB2312" w:cs="仿宋_GB2312"/>
          <w:sz w:val="32"/>
          <w:szCs w:val="32"/>
          <w:lang w:val="en-US" w:eastAsia="zh-CN"/>
        </w:rPr>
        <w:t>53.87</w:t>
      </w:r>
      <w:r>
        <w:rPr>
          <w:rFonts w:hint="eastAsia" w:ascii="仿宋_GB2312" w:hAnsi="仿宋_GB2312" w:eastAsia="仿宋_GB2312" w:cs="仿宋_GB2312"/>
          <w:sz w:val="32"/>
          <w:szCs w:val="32"/>
        </w:rPr>
        <w:t>万元，执行金额</w:t>
      </w:r>
      <w:r>
        <w:rPr>
          <w:rFonts w:hint="eastAsia" w:ascii="仿宋_GB2312" w:hAnsi="仿宋_GB2312" w:eastAsia="仿宋_GB2312" w:cs="仿宋_GB2312"/>
          <w:sz w:val="32"/>
          <w:szCs w:val="32"/>
          <w:lang w:val="en-US" w:eastAsia="zh-CN"/>
        </w:rPr>
        <w:t>53.87</w:t>
      </w:r>
      <w:r>
        <w:rPr>
          <w:rFonts w:hint="eastAsia" w:ascii="仿宋_GB2312" w:hAnsi="仿宋_GB2312" w:eastAsia="仿宋_GB2312" w:cs="仿宋_GB2312"/>
          <w:sz w:val="32"/>
          <w:szCs w:val="32"/>
        </w:rPr>
        <w:t>万元，执行率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项目已全部实施完成；裕民县吉也克镇窝尔塔吉也克北村农村道路建设项目，</w:t>
      </w:r>
      <w:r>
        <w:rPr>
          <w:rFonts w:hint="eastAsia" w:ascii="仿宋_GB2312" w:hAnsi="仿宋_GB2312" w:eastAsia="仿宋_GB2312" w:cs="仿宋_GB2312"/>
          <w:sz w:val="32"/>
          <w:szCs w:val="32"/>
        </w:rPr>
        <w:t>预算金额</w:t>
      </w:r>
      <w:r>
        <w:rPr>
          <w:rFonts w:hint="eastAsia" w:ascii="仿宋_GB2312" w:hAnsi="仿宋_GB2312" w:eastAsia="仿宋_GB2312" w:cs="仿宋_GB2312"/>
          <w:sz w:val="32"/>
          <w:szCs w:val="32"/>
          <w:lang w:val="en-US" w:eastAsia="zh-CN"/>
        </w:rPr>
        <w:t>48.12</w:t>
      </w:r>
      <w:r>
        <w:rPr>
          <w:rFonts w:hint="eastAsia" w:ascii="仿宋_GB2312" w:hAnsi="仿宋_GB2312" w:eastAsia="仿宋_GB2312" w:cs="仿宋_GB2312"/>
          <w:sz w:val="32"/>
          <w:szCs w:val="32"/>
        </w:rPr>
        <w:t>万元，执行金额</w:t>
      </w:r>
      <w:r>
        <w:rPr>
          <w:rFonts w:hint="eastAsia" w:ascii="仿宋_GB2312" w:hAnsi="仿宋_GB2312" w:eastAsia="仿宋_GB2312" w:cs="仿宋_GB2312"/>
          <w:sz w:val="32"/>
          <w:szCs w:val="32"/>
          <w:lang w:val="en-US" w:eastAsia="zh-CN"/>
        </w:rPr>
        <w:t>48.12</w:t>
      </w:r>
      <w:r>
        <w:rPr>
          <w:rFonts w:hint="eastAsia" w:ascii="仿宋_GB2312" w:hAnsi="仿宋_GB2312" w:eastAsia="仿宋_GB2312" w:cs="仿宋_GB2312"/>
          <w:sz w:val="32"/>
          <w:szCs w:val="32"/>
        </w:rPr>
        <w:t>万元，执行率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项目已全部实施完成；裕民县吉也克镇哈拉赛村草料棚、青储池建设及设备购置项目</w:t>
      </w:r>
      <w:r>
        <w:rPr>
          <w:rFonts w:hint="eastAsia" w:ascii="仿宋_GB2312" w:hAnsi="仿宋_GB2312" w:eastAsia="仿宋_GB2312" w:cs="仿宋_GB2312"/>
          <w:sz w:val="32"/>
          <w:szCs w:val="32"/>
        </w:rPr>
        <w:t>预算金额</w:t>
      </w:r>
      <w:r>
        <w:rPr>
          <w:rFonts w:hint="eastAsia" w:ascii="仿宋_GB2312" w:hAnsi="仿宋_GB2312" w:eastAsia="仿宋_GB2312" w:cs="仿宋_GB2312"/>
          <w:sz w:val="32"/>
          <w:szCs w:val="32"/>
          <w:lang w:val="en-US" w:eastAsia="zh-CN"/>
        </w:rPr>
        <w:t>276.33</w:t>
      </w:r>
      <w:r>
        <w:rPr>
          <w:rFonts w:hint="eastAsia" w:ascii="仿宋_GB2312" w:hAnsi="仿宋_GB2312" w:eastAsia="仿宋_GB2312" w:cs="仿宋_GB2312"/>
          <w:sz w:val="32"/>
          <w:szCs w:val="32"/>
        </w:rPr>
        <w:t>万元，执行金额</w:t>
      </w:r>
      <w:r>
        <w:rPr>
          <w:rFonts w:hint="eastAsia" w:ascii="仿宋_GB2312" w:hAnsi="仿宋_GB2312" w:eastAsia="仿宋_GB2312" w:cs="仿宋_GB2312"/>
          <w:sz w:val="32"/>
          <w:szCs w:val="32"/>
          <w:lang w:val="en-US" w:eastAsia="zh-CN"/>
        </w:rPr>
        <w:t>276.33</w:t>
      </w:r>
      <w:r>
        <w:rPr>
          <w:rFonts w:hint="eastAsia" w:ascii="仿宋_GB2312" w:hAnsi="仿宋_GB2312" w:eastAsia="仿宋_GB2312" w:cs="仿宋_GB2312"/>
          <w:sz w:val="32"/>
          <w:szCs w:val="32"/>
        </w:rPr>
        <w:t>万元，执行率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项目已全部实施完成；裕民县吉也克镇哈拉赛村农村污水治理项目</w:t>
      </w:r>
      <w:r>
        <w:rPr>
          <w:rFonts w:hint="eastAsia" w:ascii="仿宋_GB2312" w:hAnsi="仿宋_GB2312" w:eastAsia="仿宋_GB2312" w:cs="仿宋_GB2312"/>
          <w:sz w:val="32"/>
          <w:szCs w:val="32"/>
        </w:rPr>
        <w:t>预算金额</w:t>
      </w:r>
      <w:r>
        <w:rPr>
          <w:rFonts w:hint="eastAsia" w:ascii="仿宋_GB2312" w:hAnsi="仿宋_GB2312" w:eastAsia="仿宋_GB2312" w:cs="仿宋_GB2312"/>
          <w:sz w:val="32"/>
          <w:szCs w:val="32"/>
          <w:lang w:val="en-US" w:eastAsia="zh-CN"/>
        </w:rPr>
        <w:t>144.77</w:t>
      </w:r>
      <w:r>
        <w:rPr>
          <w:rFonts w:hint="eastAsia" w:ascii="仿宋_GB2312" w:hAnsi="仿宋_GB2312" w:eastAsia="仿宋_GB2312" w:cs="仿宋_GB2312"/>
          <w:sz w:val="32"/>
          <w:szCs w:val="32"/>
        </w:rPr>
        <w:t>万元，执行金额</w:t>
      </w:r>
      <w:r>
        <w:rPr>
          <w:rFonts w:hint="eastAsia" w:ascii="仿宋_GB2312" w:hAnsi="仿宋_GB2312" w:eastAsia="仿宋_GB2312" w:cs="仿宋_GB2312"/>
          <w:sz w:val="32"/>
          <w:szCs w:val="32"/>
          <w:lang w:val="en-US" w:eastAsia="zh-CN"/>
        </w:rPr>
        <w:t>144.77</w:t>
      </w:r>
      <w:r>
        <w:rPr>
          <w:rFonts w:hint="eastAsia" w:ascii="仿宋_GB2312" w:hAnsi="仿宋_GB2312" w:eastAsia="仿宋_GB2312" w:cs="仿宋_GB2312"/>
          <w:sz w:val="32"/>
          <w:szCs w:val="32"/>
        </w:rPr>
        <w:t>万元，执行率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项目已全部实施完成裕民县吉也克镇哈拉赛村庭院整治及改厕项目</w:t>
      </w:r>
      <w:r>
        <w:rPr>
          <w:rFonts w:hint="eastAsia" w:ascii="仿宋_GB2312" w:hAnsi="仿宋_GB2312" w:eastAsia="仿宋_GB2312" w:cs="仿宋_GB2312"/>
          <w:sz w:val="32"/>
          <w:szCs w:val="32"/>
        </w:rPr>
        <w:t>预算金额</w:t>
      </w:r>
      <w:r>
        <w:rPr>
          <w:rFonts w:hint="eastAsia" w:ascii="仿宋_GB2312" w:hAnsi="仿宋_GB2312" w:eastAsia="仿宋_GB2312" w:cs="仿宋_GB2312"/>
          <w:sz w:val="32"/>
          <w:szCs w:val="32"/>
          <w:lang w:val="en-US" w:eastAsia="zh-CN"/>
        </w:rPr>
        <w:t>114.85</w:t>
      </w:r>
      <w:r>
        <w:rPr>
          <w:rFonts w:hint="eastAsia" w:ascii="仿宋_GB2312" w:hAnsi="仿宋_GB2312" w:eastAsia="仿宋_GB2312" w:cs="仿宋_GB2312"/>
          <w:sz w:val="32"/>
          <w:szCs w:val="32"/>
        </w:rPr>
        <w:t>万元，执行金额</w:t>
      </w:r>
      <w:r>
        <w:rPr>
          <w:rFonts w:hint="eastAsia" w:ascii="仿宋_GB2312" w:hAnsi="仿宋_GB2312" w:eastAsia="仿宋_GB2312" w:cs="仿宋_GB2312"/>
          <w:sz w:val="32"/>
          <w:szCs w:val="32"/>
          <w:lang w:val="en-US" w:eastAsia="zh-CN"/>
        </w:rPr>
        <w:t>114.85</w:t>
      </w:r>
      <w:r>
        <w:rPr>
          <w:rFonts w:hint="eastAsia" w:ascii="仿宋_GB2312" w:hAnsi="仿宋_GB2312" w:eastAsia="仿宋_GB2312" w:cs="仿宋_GB2312"/>
          <w:sz w:val="32"/>
          <w:szCs w:val="32"/>
        </w:rPr>
        <w:t>万元，执行率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项目已全部实施完成；裕民县吉也克镇哈拉赛村道路建设项目，</w:t>
      </w:r>
      <w:r>
        <w:rPr>
          <w:rFonts w:hint="eastAsia" w:ascii="仿宋_GB2312" w:hAnsi="仿宋_GB2312" w:eastAsia="仿宋_GB2312" w:cs="仿宋_GB2312"/>
          <w:sz w:val="32"/>
          <w:szCs w:val="32"/>
        </w:rPr>
        <w:t>预算金额</w:t>
      </w:r>
      <w:r>
        <w:rPr>
          <w:rFonts w:hint="eastAsia" w:ascii="仿宋_GB2312" w:hAnsi="仿宋_GB2312" w:eastAsia="仿宋_GB2312" w:cs="仿宋_GB2312"/>
          <w:sz w:val="32"/>
          <w:szCs w:val="32"/>
          <w:lang w:val="en-US" w:eastAsia="zh-CN"/>
        </w:rPr>
        <w:t>181.52</w:t>
      </w:r>
      <w:r>
        <w:rPr>
          <w:rFonts w:hint="eastAsia" w:ascii="仿宋_GB2312" w:hAnsi="仿宋_GB2312" w:eastAsia="仿宋_GB2312" w:cs="仿宋_GB2312"/>
          <w:sz w:val="32"/>
          <w:szCs w:val="32"/>
        </w:rPr>
        <w:t>万元，执行金额</w:t>
      </w:r>
      <w:r>
        <w:rPr>
          <w:rFonts w:hint="eastAsia" w:ascii="仿宋_GB2312" w:hAnsi="仿宋_GB2312" w:eastAsia="仿宋_GB2312" w:cs="仿宋_GB2312"/>
          <w:sz w:val="32"/>
          <w:szCs w:val="32"/>
          <w:lang w:val="en-US" w:eastAsia="zh-CN"/>
        </w:rPr>
        <w:t>181.52</w:t>
      </w:r>
      <w:r>
        <w:rPr>
          <w:rFonts w:hint="eastAsia" w:ascii="仿宋_GB2312" w:hAnsi="仿宋_GB2312" w:eastAsia="仿宋_GB2312" w:cs="仿宋_GB2312"/>
          <w:sz w:val="32"/>
          <w:szCs w:val="32"/>
        </w:rPr>
        <w:t>万元，执行率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项目已全部实施完成；村干部报酬项目，</w:t>
      </w:r>
      <w:r>
        <w:rPr>
          <w:rFonts w:hint="eastAsia" w:ascii="仿宋_GB2312" w:hAnsi="仿宋_GB2312" w:eastAsia="仿宋_GB2312" w:cs="仿宋_GB2312"/>
          <w:sz w:val="32"/>
          <w:szCs w:val="32"/>
        </w:rPr>
        <w:t>预算金额</w:t>
      </w:r>
      <w:r>
        <w:rPr>
          <w:rFonts w:hint="eastAsia" w:ascii="仿宋_GB2312" w:hAnsi="仿宋_GB2312" w:eastAsia="仿宋_GB2312" w:cs="仿宋_GB2312"/>
          <w:sz w:val="32"/>
          <w:szCs w:val="32"/>
          <w:lang w:val="en-US" w:eastAsia="zh-CN"/>
        </w:rPr>
        <w:t>228.16</w:t>
      </w:r>
      <w:r>
        <w:rPr>
          <w:rFonts w:hint="eastAsia" w:ascii="仿宋_GB2312" w:hAnsi="仿宋_GB2312" w:eastAsia="仿宋_GB2312" w:cs="仿宋_GB2312"/>
          <w:sz w:val="32"/>
          <w:szCs w:val="32"/>
        </w:rPr>
        <w:t>万元，执行金额</w:t>
      </w:r>
      <w:r>
        <w:rPr>
          <w:rFonts w:hint="eastAsia" w:ascii="仿宋_GB2312" w:hAnsi="仿宋_GB2312" w:eastAsia="仿宋_GB2312" w:cs="仿宋_GB2312"/>
          <w:sz w:val="32"/>
          <w:szCs w:val="32"/>
          <w:lang w:val="en-US" w:eastAsia="zh-CN"/>
        </w:rPr>
        <w:t>228.16</w:t>
      </w:r>
      <w:r>
        <w:rPr>
          <w:rFonts w:hint="eastAsia" w:ascii="仿宋_GB2312" w:hAnsi="仿宋_GB2312" w:eastAsia="仿宋_GB2312" w:cs="仿宋_GB2312"/>
          <w:sz w:val="32"/>
          <w:szCs w:val="32"/>
        </w:rPr>
        <w:t>万元，执行率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项目已全部实施完成（在基本支出中支出）；2023年文化活动经费项目，</w:t>
      </w:r>
      <w:r>
        <w:rPr>
          <w:rFonts w:hint="eastAsia" w:ascii="仿宋_GB2312" w:hAnsi="仿宋_GB2312" w:eastAsia="仿宋_GB2312" w:cs="仿宋_GB2312"/>
          <w:sz w:val="32"/>
          <w:szCs w:val="32"/>
        </w:rPr>
        <w:t>预算金额</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万元，执行金额</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万元，执行率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项目已全部实施完成（在基本支出中支出）。</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jc w:val="both"/>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2023年村级组织运转经费和服务群众经费萨村、西村、加村项目，</w:t>
      </w:r>
      <w:r>
        <w:rPr>
          <w:rFonts w:hint="eastAsia" w:ascii="仿宋_GB2312" w:hAnsi="仿宋_GB2312" w:eastAsia="仿宋_GB2312" w:cs="仿宋_GB2312"/>
          <w:color w:val="auto"/>
          <w:sz w:val="32"/>
          <w:szCs w:val="32"/>
        </w:rPr>
        <w:t>预算金额</w:t>
      </w:r>
      <w:r>
        <w:rPr>
          <w:rFonts w:hint="eastAsia" w:ascii="仿宋_GB2312" w:hAnsi="仿宋_GB2312" w:eastAsia="仿宋_GB2312" w:cs="仿宋_GB2312"/>
          <w:color w:val="auto"/>
          <w:sz w:val="32"/>
          <w:szCs w:val="32"/>
          <w:lang w:val="en-US" w:eastAsia="zh-CN"/>
        </w:rPr>
        <w:t>37.58</w:t>
      </w:r>
      <w:r>
        <w:rPr>
          <w:rFonts w:hint="eastAsia" w:ascii="仿宋_GB2312" w:hAnsi="仿宋_GB2312" w:eastAsia="仿宋_GB2312" w:cs="仿宋_GB2312"/>
          <w:color w:val="auto"/>
          <w:sz w:val="32"/>
          <w:szCs w:val="32"/>
        </w:rPr>
        <w:t>万元，执行金额37.5</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万元，执行率</w:t>
      </w:r>
      <w:r>
        <w:rPr>
          <w:rFonts w:hint="eastAsia" w:ascii="仿宋_GB2312" w:hAnsi="仿宋_GB2312" w:eastAsia="仿宋_GB2312" w:cs="仿宋_GB2312"/>
          <w:color w:val="auto"/>
          <w:sz w:val="32"/>
          <w:szCs w:val="32"/>
          <w:lang w:val="en-US" w:eastAsia="zh-CN"/>
        </w:rPr>
        <w:t>99.86</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项目目前已完成萨村、西村、加村村级组织运转经费和服务群众经费支出，因为后期无相关支出，所以有剩余款项。2023年吉镇吉也克窝尔塔西村面粉厂房建设项目</w:t>
      </w:r>
      <w:r>
        <w:rPr>
          <w:rFonts w:hint="eastAsia" w:ascii="仿宋_GB2312" w:hAnsi="仿宋_GB2312" w:eastAsia="仿宋_GB2312" w:cs="仿宋_GB2312"/>
          <w:sz w:val="32"/>
          <w:szCs w:val="32"/>
        </w:rPr>
        <w:t>预算金额</w:t>
      </w:r>
      <w:r>
        <w:rPr>
          <w:rFonts w:hint="eastAsia" w:ascii="仿宋_GB2312" w:hAnsi="仿宋_GB2312" w:eastAsia="仿宋_GB2312" w:cs="仿宋_GB2312"/>
          <w:sz w:val="32"/>
          <w:szCs w:val="32"/>
          <w:lang w:val="en-US" w:eastAsia="zh-CN"/>
        </w:rPr>
        <w:t>442</w:t>
      </w:r>
      <w:r>
        <w:rPr>
          <w:rFonts w:hint="eastAsia" w:ascii="仿宋_GB2312" w:hAnsi="仿宋_GB2312" w:eastAsia="仿宋_GB2312" w:cs="仿宋_GB2312"/>
          <w:sz w:val="32"/>
          <w:szCs w:val="32"/>
        </w:rPr>
        <w:t>万元，执行金额</w:t>
      </w:r>
      <w:r>
        <w:rPr>
          <w:rFonts w:hint="eastAsia" w:ascii="仿宋_GB2312" w:hAnsi="仿宋_GB2312" w:eastAsia="仿宋_GB2312" w:cs="仿宋_GB2312"/>
          <w:sz w:val="32"/>
          <w:szCs w:val="32"/>
          <w:lang w:val="en-US" w:eastAsia="zh-CN"/>
        </w:rPr>
        <w:t>413.92</w:t>
      </w:r>
      <w:r>
        <w:rPr>
          <w:rFonts w:hint="eastAsia" w:ascii="仿宋_GB2312" w:hAnsi="仿宋_GB2312" w:eastAsia="仿宋_GB2312" w:cs="仿宋_GB2312"/>
          <w:sz w:val="32"/>
          <w:szCs w:val="32"/>
        </w:rPr>
        <w:t>万元，执行率</w:t>
      </w:r>
      <w:r>
        <w:rPr>
          <w:rFonts w:hint="eastAsia" w:ascii="仿宋_GB2312" w:hAnsi="仿宋_GB2312" w:eastAsia="仿宋_GB2312" w:cs="仿宋_GB2312"/>
          <w:sz w:val="32"/>
          <w:szCs w:val="32"/>
          <w:lang w:val="en-US" w:eastAsia="zh-CN"/>
        </w:rPr>
        <w:t>93.65</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剩余款项为质保金。2023年吉镇加依勒玛村农副产品加工示范园配套设施建设项目（370万），</w:t>
      </w:r>
      <w:r>
        <w:rPr>
          <w:rFonts w:hint="eastAsia" w:ascii="仿宋_GB2312" w:hAnsi="仿宋_GB2312" w:eastAsia="仿宋_GB2312" w:cs="仿宋_GB2312"/>
          <w:sz w:val="32"/>
          <w:szCs w:val="32"/>
        </w:rPr>
        <w:t>预算金额</w:t>
      </w:r>
      <w:r>
        <w:rPr>
          <w:rFonts w:hint="eastAsia" w:ascii="仿宋_GB2312" w:hAnsi="仿宋_GB2312" w:eastAsia="仿宋_GB2312" w:cs="仿宋_GB2312"/>
          <w:sz w:val="32"/>
          <w:szCs w:val="32"/>
          <w:lang w:val="en-US" w:eastAsia="zh-CN"/>
        </w:rPr>
        <w:t>370</w:t>
      </w:r>
      <w:r>
        <w:rPr>
          <w:rFonts w:hint="eastAsia" w:ascii="仿宋_GB2312" w:hAnsi="仿宋_GB2312" w:eastAsia="仿宋_GB2312" w:cs="仿宋_GB2312"/>
          <w:sz w:val="32"/>
          <w:szCs w:val="32"/>
        </w:rPr>
        <w:t>万元，执行金额</w:t>
      </w:r>
      <w:r>
        <w:rPr>
          <w:rFonts w:hint="eastAsia" w:ascii="仿宋_GB2312" w:hAnsi="仿宋_GB2312" w:eastAsia="仿宋_GB2312" w:cs="仿宋_GB2312"/>
          <w:color w:val="auto"/>
          <w:sz w:val="32"/>
          <w:szCs w:val="32"/>
          <w:lang w:val="en-US" w:eastAsia="zh-CN"/>
        </w:rPr>
        <w:t>357.63</w:t>
      </w:r>
      <w:r>
        <w:rPr>
          <w:rFonts w:hint="eastAsia" w:ascii="仿宋_GB2312" w:hAnsi="仿宋_GB2312" w:eastAsia="仿宋_GB2312" w:cs="仿宋_GB2312"/>
          <w:sz w:val="32"/>
          <w:szCs w:val="32"/>
        </w:rPr>
        <w:t>万元，执行率</w:t>
      </w:r>
      <w:r>
        <w:rPr>
          <w:rFonts w:hint="eastAsia" w:ascii="仿宋_GB2312" w:hAnsi="仿宋_GB2312" w:eastAsia="仿宋_GB2312" w:cs="仿宋_GB2312"/>
          <w:sz w:val="32"/>
          <w:szCs w:val="32"/>
          <w:lang w:val="en-US" w:eastAsia="zh-CN"/>
        </w:rPr>
        <w:t>96.66</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剩余款项为质保金。2023年吉镇庭院经济高质量发展项目（10万），</w:t>
      </w:r>
      <w:r>
        <w:rPr>
          <w:rFonts w:hint="eastAsia" w:ascii="仿宋_GB2312" w:hAnsi="仿宋_GB2312" w:eastAsia="仿宋_GB2312" w:cs="仿宋_GB2312"/>
          <w:sz w:val="32"/>
          <w:szCs w:val="32"/>
        </w:rPr>
        <w:t>预算金额</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万元，执行金额</w:t>
      </w:r>
      <w:r>
        <w:rPr>
          <w:rFonts w:hint="eastAsia" w:ascii="仿宋_GB2312" w:hAnsi="仿宋_GB2312" w:eastAsia="仿宋_GB2312" w:cs="仿宋_GB2312"/>
          <w:sz w:val="32"/>
          <w:szCs w:val="32"/>
          <w:lang w:val="en-US" w:eastAsia="zh-CN"/>
        </w:rPr>
        <w:t>3.24</w:t>
      </w:r>
      <w:r>
        <w:rPr>
          <w:rFonts w:hint="eastAsia" w:ascii="仿宋_GB2312" w:hAnsi="仿宋_GB2312" w:eastAsia="仿宋_GB2312" w:cs="仿宋_GB2312"/>
          <w:sz w:val="32"/>
          <w:szCs w:val="32"/>
        </w:rPr>
        <w:t>万元，执行率</w:t>
      </w:r>
      <w:r>
        <w:rPr>
          <w:rFonts w:hint="eastAsia" w:ascii="仿宋_GB2312" w:hAnsi="仿宋_GB2312" w:eastAsia="仿宋_GB2312" w:cs="仿宋_GB2312"/>
          <w:sz w:val="32"/>
          <w:szCs w:val="32"/>
          <w:lang w:val="en-US" w:eastAsia="zh-CN"/>
        </w:rPr>
        <w:t>32.4</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，剩余工作因冬季气温较低施工不便</w:t>
      </w:r>
      <w:r>
        <w:rPr>
          <w:rFonts w:hint="eastAsia" w:ascii="仿宋_GB2312" w:hAnsi="仿宋_GB2312" w:eastAsia="仿宋_GB2312" w:cs="仿宋_GB2312"/>
          <w:sz w:val="32"/>
          <w:szCs w:val="32"/>
          <w:lang w:val="en-US" w:eastAsia="zh-CN"/>
        </w:rPr>
        <w:t>未能完成。</w:t>
      </w:r>
    </w:p>
    <w:p>
      <w:pPr>
        <w:pageBreakBefore w:val="0"/>
        <w:kinsoku/>
        <w:wordWrap/>
        <w:overflowPunct/>
        <w:topLinePunct w:val="0"/>
        <w:autoSpaceDE/>
        <w:autoSpaceDN/>
        <w:bidi w:val="0"/>
        <w:spacing w:line="57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以上</w:t>
      </w:r>
      <w:r>
        <w:rPr>
          <w:rFonts w:hint="eastAsia" w:ascii="仿宋_GB2312" w:hAnsi="仿宋_GB2312" w:eastAsia="仿宋_GB2312" w:cs="仿宋_GB2312"/>
          <w:sz w:val="32"/>
          <w:szCs w:val="32"/>
          <w:lang w:val="en-US" w:eastAsia="zh-CN"/>
        </w:rPr>
        <w:t>项目是本单位2023年度实施的本级</w:t>
      </w:r>
      <w:r>
        <w:rPr>
          <w:rFonts w:hint="eastAsia" w:ascii="仿宋_GB2312" w:hAnsi="仿宋_GB2312" w:eastAsia="仿宋_GB2312" w:cs="仿宋_GB2312"/>
          <w:sz w:val="32"/>
          <w:szCs w:val="32"/>
        </w:rPr>
        <w:t>专项项目。</w:t>
      </w:r>
    </w:p>
    <w:p>
      <w:pPr>
        <w:pageBreakBefore w:val="0"/>
        <w:kinsoku/>
        <w:wordWrap/>
        <w:overflowPunct/>
        <w:topLinePunct w:val="0"/>
        <w:autoSpaceDE/>
        <w:autoSpaceDN/>
        <w:bidi w:val="0"/>
        <w:spacing w:line="570" w:lineRule="exact"/>
        <w:ind w:firstLine="643" w:firstLineChars="200"/>
        <w:jc w:val="both"/>
        <w:textAlignment w:val="auto"/>
        <w:rPr>
          <w:rFonts w:hint="eastAsia" w:ascii="仿宋_GB2312" w:eastAsia="仿宋_GB2312"/>
          <w:b/>
          <w:bCs/>
          <w:sz w:val="32"/>
          <w:szCs w:val="32"/>
        </w:rPr>
      </w:pPr>
      <w:r>
        <w:rPr>
          <w:rFonts w:hint="eastAsia" w:ascii="仿宋_GB2312" w:eastAsia="仿宋_GB2312"/>
          <w:b/>
          <w:bCs/>
          <w:sz w:val="32"/>
          <w:szCs w:val="32"/>
          <w:lang w:val="en-US" w:eastAsia="zh-CN"/>
        </w:rPr>
        <w:t>2.</w:t>
      </w:r>
      <w:r>
        <w:rPr>
          <w:rFonts w:hint="eastAsia" w:ascii="仿宋_GB2312" w:eastAsia="仿宋_GB2312"/>
          <w:b/>
          <w:bCs/>
          <w:sz w:val="32"/>
          <w:szCs w:val="32"/>
        </w:rPr>
        <w:t>专项资金总投入及实际使用情况分析</w:t>
      </w:r>
    </w:p>
    <w:p>
      <w:pPr>
        <w:pStyle w:val="10"/>
        <w:pageBreakBefore w:val="0"/>
        <w:widowControl/>
        <w:kinsoku/>
        <w:wordWrap/>
        <w:overflowPunct/>
        <w:topLinePunct w:val="0"/>
        <w:autoSpaceDE/>
        <w:autoSpaceDN/>
        <w:bidi w:val="0"/>
        <w:spacing w:before="0" w:beforeAutospacing="0" w:after="0" w:afterAutospacing="0" w:line="570" w:lineRule="exact"/>
        <w:ind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2023年，中央和自治区专项转移支付预算安排专项资金394.92万元，实际使用349.66万元，结转45.26万元。结转项目主要为：</w:t>
      </w:r>
    </w:p>
    <w:p>
      <w:pPr>
        <w:pStyle w:val="10"/>
        <w:pageBreakBefore w:val="0"/>
        <w:widowControl/>
        <w:kinsoku/>
        <w:wordWrap/>
        <w:overflowPunct/>
        <w:topLinePunct w:val="0"/>
        <w:autoSpaceDE/>
        <w:autoSpaceDN/>
        <w:bidi w:val="0"/>
        <w:spacing w:before="0" w:beforeAutospacing="0" w:after="0" w:afterAutospacing="0" w:line="570" w:lineRule="exact"/>
        <w:ind w:left="0" w:leftChars="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1.2022年中央财政衔接推进乡村振兴补助资金吉也克镇库木托别村、加依勒玛供水工程建设项目结转资金0.56万元，结转原因为该项目质保金；</w:t>
      </w:r>
    </w:p>
    <w:p>
      <w:pPr>
        <w:pStyle w:val="10"/>
        <w:pageBreakBefore w:val="0"/>
        <w:widowControl/>
        <w:kinsoku/>
        <w:wordWrap/>
        <w:overflowPunct/>
        <w:topLinePunct w:val="0"/>
        <w:autoSpaceDE/>
        <w:autoSpaceDN/>
        <w:bidi w:val="0"/>
        <w:spacing w:before="0" w:beforeAutospacing="0" w:after="0" w:afterAutospacing="0" w:line="570" w:lineRule="exact"/>
        <w:ind w:left="0" w:leftChars="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2.2022年中央财政衔接推进乡村振兴补助资金哈拉赛村村容村貌提升改造工程380万项目结转资金0.22万元，结转原因为该项目质保金；</w:t>
      </w:r>
    </w:p>
    <w:p>
      <w:pPr>
        <w:pStyle w:val="10"/>
        <w:pageBreakBefore w:val="0"/>
        <w:widowControl/>
        <w:numPr>
          <w:ilvl w:val="0"/>
          <w:numId w:val="0"/>
        </w:numPr>
        <w:kinsoku/>
        <w:wordWrap/>
        <w:overflowPunct/>
        <w:topLinePunct w:val="0"/>
        <w:autoSpaceDE/>
        <w:autoSpaceDN/>
        <w:bidi w:val="0"/>
        <w:spacing w:before="0" w:beforeAutospacing="0" w:after="0" w:afterAutospacing="0" w:line="570" w:lineRule="exact"/>
        <w:ind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3.2023年自治区农村综合改革转移支付资金吉也克镇库萨克北村（农村公益建设）项目结转资金3万元，结转原因为年中资金调整</w:t>
      </w:r>
      <w:r>
        <w:rPr>
          <w:rFonts w:hint="eastAsia" w:ascii="仿宋_GB2312" w:hAnsi="仿宋_GB2312" w:eastAsia="仿宋_GB2312" w:cs="仿宋_GB2312"/>
          <w:kern w:val="2"/>
          <w:sz w:val="32"/>
          <w:szCs w:val="32"/>
          <w:highlight w:val="none"/>
          <w:lang w:val="en-US" w:eastAsia="zh-CN" w:bidi="ar-SA"/>
        </w:rPr>
        <w:t>追减</w:t>
      </w:r>
      <w:r>
        <w:rPr>
          <w:rFonts w:hint="eastAsia" w:ascii="仿宋_GB2312" w:hAnsi="仿宋_GB2312" w:eastAsia="仿宋_GB2312" w:cs="仿宋_GB2312"/>
          <w:kern w:val="2"/>
          <w:sz w:val="32"/>
          <w:szCs w:val="32"/>
          <w:lang w:val="en-US" w:eastAsia="zh-CN" w:bidi="ar-SA"/>
        </w:rPr>
        <w:t>资金；</w:t>
      </w:r>
    </w:p>
    <w:p>
      <w:pPr>
        <w:pStyle w:val="10"/>
        <w:pageBreakBefore w:val="0"/>
        <w:widowControl/>
        <w:numPr>
          <w:ilvl w:val="0"/>
          <w:numId w:val="0"/>
        </w:numPr>
        <w:kinsoku/>
        <w:wordWrap/>
        <w:overflowPunct/>
        <w:topLinePunct w:val="0"/>
        <w:autoSpaceDE/>
        <w:autoSpaceDN/>
        <w:bidi w:val="0"/>
        <w:spacing w:before="0" w:beforeAutospacing="0" w:after="0" w:afterAutospacing="0" w:line="570" w:lineRule="exact"/>
        <w:ind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4.2023年自治区农村综合改革转移支付资金吉也克窝尔塔吉也克西村（农村公益建设）项目结转资金0.1万元，结转原因年中资金调整</w:t>
      </w:r>
      <w:r>
        <w:rPr>
          <w:rFonts w:hint="eastAsia" w:ascii="仿宋_GB2312" w:hAnsi="仿宋_GB2312" w:eastAsia="仿宋_GB2312" w:cs="仿宋_GB2312"/>
          <w:kern w:val="2"/>
          <w:sz w:val="32"/>
          <w:szCs w:val="32"/>
          <w:highlight w:val="none"/>
          <w:lang w:val="en-US" w:eastAsia="zh-CN" w:bidi="ar-SA"/>
        </w:rPr>
        <w:t>追减</w:t>
      </w:r>
      <w:r>
        <w:rPr>
          <w:rFonts w:hint="eastAsia" w:ascii="仿宋_GB2312" w:hAnsi="仿宋_GB2312" w:eastAsia="仿宋_GB2312" w:cs="仿宋_GB2312"/>
          <w:kern w:val="2"/>
          <w:sz w:val="32"/>
          <w:szCs w:val="32"/>
          <w:lang w:val="en-US" w:eastAsia="zh-CN" w:bidi="ar-SA"/>
        </w:rPr>
        <w:t>资金；</w:t>
      </w:r>
    </w:p>
    <w:p>
      <w:pPr>
        <w:pStyle w:val="10"/>
        <w:pageBreakBefore w:val="0"/>
        <w:widowControl/>
        <w:numPr>
          <w:ilvl w:val="0"/>
          <w:numId w:val="0"/>
        </w:numPr>
        <w:kinsoku/>
        <w:wordWrap/>
        <w:overflowPunct/>
        <w:topLinePunct w:val="0"/>
        <w:autoSpaceDE/>
        <w:autoSpaceDN/>
        <w:bidi w:val="0"/>
        <w:spacing w:before="0" w:beforeAutospacing="0" w:after="0" w:afterAutospacing="0" w:line="570" w:lineRule="exact"/>
        <w:ind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5.2023年央农村综合改革转移支付资金吉也克镇哈拉赛村（农村公益建设）项目结转资金3万元，结转原因为年中资金调整追减资金；</w:t>
      </w:r>
    </w:p>
    <w:p>
      <w:pPr>
        <w:pStyle w:val="10"/>
        <w:pageBreakBefore w:val="0"/>
        <w:widowControl/>
        <w:numPr>
          <w:ilvl w:val="0"/>
          <w:numId w:val="0"/>
        </w:numPr>
        <w:kinsoku/>
        <w:wordWrap/>
        <w:overflowPunct/>
        <w:topLinePunct w:val="0"/>
        <w:autoSpaceDE/>
        <w:autoSpaceDN/>
        <w:bidi w:val="0"/>
        <w:spacing w:before="0" w:beforeAutospacing="0" w:after="0" w:afterAutospacing="0" w:line="570" w:lineRule="exact"/>
        <w:ind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6.吉关于提前下达2022年农村综合改革转移支付（美丽乡村建设）库萨克南村塔项目结转资金1.69万元，结转原因为该项目质保金；</w:t>
      </w:r>
    </w:p>
    <w:p>
      <w:pPr>
        <w:pStyle w:val="10"/>
        <w:pageBreakBefore w:val="0"/>
        <w:widowControl/>
        <w:numPr>
          <w:ilvl w:val="0"/>
          <w:numId w:val="0"/>
        </w:numPr>
        <w:kinsoku/>
        <w:wordWrap/>
        <w:overflowPunct/>
        <w:topLinePunct w:val="0"/>
        <w:autoSpaceDE/>
        <w:autoSpaceDN/>
        <w:bidi w:val="0"/>
        <w:spacing w:before="0" w:beforeAutospacing="0" w:after="0" w:afterAutospacing="0" w:line="570" w:lineRule="exact"/>
        <w:ind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7.2022年中央财政衔接推进乡村振兴补助资金小麦原粮库建设220㎡左右470万项目结转资金13.51万元，结转原因为该项目</w:t>
      </w:r>
      <w:r>
        <w:rPr>
          <w:rFonts w:hint="eastAsia" w:ascii="仿宋_GB2312" w:hAnsi="仿宋_GB2312" w:eastAsia="仿宋_GB2312" w:cs="仿宋_GB2312"/>
          <w:kern w:val="2"/>
          <w:sz w:val="32"/>
          <w:szCs w:val="32"/>
          <w:highlight w:val="none"/>
          <w:lang w:val="en-US" w:eastAsia="zh-CN" w:bidi="ar-SA"/>
        </w:rPr>
        <w:t>质保金</w:t>
      </w:r>
      <w:r>
        <w:rPr>
          <w:rFonts w:hint="eastAsia" w:ascii="仿宋_GB2312" w:hAnsi="仿宋_GB2312" w:eastAsia="仿宋_GB2312" w:cs="仿宋_GB2312"/>
          <w:kern w:val="2"/>
          <w:sz w:val="32"/>
          <w:szCs w:val="32"/>
          <w:lang w:val="en-US" w:eastAsia="zh-CN" w:bidi="ar-SA"/>
        </w:rPr>
        <w:t>；</w:t>
      </w:r>
    </w:p>
    <w:p>
      <w:pPr>
        <w:pStyle w:val="10"/>
        <w:pageBreakBefore w:val="0"/>
        <w:widowControl/>
        <w:numPr>
          <w:ilvl w:val="0"/>
          <w:numId w:val="0"/>
        </w:numPr>
        <w:kinsoku/>
        <w:wordWrap/>
        <w:overflowPunct/>
        <w:topLinePunct w:val="0"/>
        <w:autoSpaceDE/>
        <w:autoSpaceDN/>
        <w:bidi w:val="0"/>
        <w:spacing w:before="0" w:beforeAutospacing="0" w:after="0" w:afterAutospacing="0" w:line="570" w:lineRule="exact"/>
        <w:ind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8.裕民县吉也克镇窝尔塔吉也克北村惠民资金项目结转资金10万元，结转原因为该</w:t>
      </w:r>
      <w:r>
        <w:rPr>
          <w:rFonts w:hint="eastAsia" w:ascii="仿宋_GB2312" w:hAnsi="仿宋_GB2312" w:eastAsia="仿宋_GB2312" w:cs="仿宋_GB2312"/>
          <w:kern w:val="2"/>
          <w:sz w:val="32"/>
          <w:szCs w:val="32"/>
          <w:highlight w:val="none"/>
          <w:lang w:val="en-US" w:eastAsia="zh-CN" w:bidi="ar-SA"/>
        </w:rPr>
        <w:t>项目未施工；</w:t>
      </w:r>
    </w:p>
    <w:p>
      <w:pPr>
        <w:pStyle w:val="10"/>
        <w:pageBreakBefore w:val="0"/>
        <w:widowControl/>
        <w:numPr>
          <w:ilvl w:val="0"/>
          <w:numId w:val="0"/>
        </w:numPr>
        <w:kinsoku/>
        <w:wordWrap/>
        <w:overflowPunct/>
        <w:topLinePunct w:val="0"/>
        <w:autoSpaceDE/>
        <w:autoSpaceDN/>
        <w:bidi w:val="0"/>
        <w:spacing w:before="0" w:beforeAutospacing="0" w:after="0" w:afterAutospacing="0" w:line="570" w:lineRule="exact"/>
        <w:ind w:firstLine="640" w:firstLineChars="200"/>
        <w:jc w:val="both"/>
        <w:textAlignment w:val="auto"/>
        <w:rPr>
          <w:rFonts w:hint="default" w:ascii="仿宋_GB2312" w:eastAsia="仿宋_GB2312" w:cs="仿宋"/>
          <w:b/>
          <w:bCs/>
          <w:color w:val="FF0000"/>
          <w:sz w:val="32"/>
          <w:szCs w:val="32"/>
          <w:lang w:val="en-US" w:eastAsia="zh-CN"/>
        </w:rPr>
      </w:pPr>
      <w:r>
        <w:rPr>
          <w:rFonts w:hint="eastAsia" w:ascii="仿宋_GB2312" w:hAnsi="仿宋_GB2312" w:eastAsia="仿宋_GB2312" w:cs="仿宋_GB2312"/>
          <w:kern w:val="2"/>
          <w:sz w:val="32"/>
          <w:szCs w:val="32"/>
          <w:lang w:val="en-US" w:eastAsia="zh-CN" w:bidi="ar-SA"/>
        </w:rPr>
        <w:t>9.裕民县吉也克镇敬老院（幸福大院）建设项目结转资金13.18万元，结转原因为该项</w:t>
      </w:r>
      <w:r>
        <w:rPr>
          <w:rFonts w:hint="eastAsia" w:ascii="仿宋_GB2312" w:hAnsi="仿宋_GB2312" w:eastAsia="仿宋_GB2312" w:cs="仿宋_GB2312"/>
          <w:kern w:val="2"/>
          <w:sz w:val="32"/>
          <w:szCs w:val="32"/>
          <w:highlight w:val="none"/>
          <w:lang w:val="en-US" w:eastAsia="zh-CN" w:bidi="ar-SA"/>
        </w:rPr>
        <w:t>目质保金。</w:t>
      </w:r>
    </w:p>
    <w:p>
      <w:pPr>
        <w:pStyle w:val="3"/>
        <w:pageBreakBefore w:val="0"/>
        <w:kinsoku/>
        <w:wordWrap/>
        <w:overflowPunct/>
        <w:topLinePunct w:val="0"/>
        <w:autoSpaceDE/>
        <w:autoSpaceDN/>
        <w:bidi w:val="0"/>
        <w:spacing w:line="570" w:lineRule="exact"/>
        <w:ind w:firstLine="640" w:firstLineChars="200"/>
        <w:jc w:val="both"/>
        <w:textAlignment w:val="auto"/>
        <w:rPr>
          <w:rFonts w:ascii="仿宋_GB2312" w:eastAsia="仿宋_GB2312"/>
          <w:b/>
          <w:bCs/>
          <w:color w:val="FF0000"/>
          <w:sz w:val="32"/>
          <w:szCs w:val="32"/>
          <w:highlight w:val="none"/>
        </w:rPr>
      </w:pPr>
      <w:r>
        <w:rPr>
          <w:rFonts w:hint="eastAsia" w:ascii="黑体" w:hAnsi="黑体"/>
          <w:b w:val="0"/>
          <w:sz w:val="32"/>
          <w:szCs w:val="32"/>
          <w:lang w:val="en-US" w:eastAsia="zh-CN"/>
        </w:rPr>
        <w:t>三</w:t>
      </w:r>
      <w:r>
        <w:rPr>
          <w:rFonts w:hint="eastAsia" w:ascii="黑体" w:hAnsi="黑体"/>
          <w:b w:val="0"/>
          <w:sz w:val="32"/>
          <w:szCs w:val="32"/>
        </w:rPr>
        <w:t>、部门单位整体支出</w:t>
      </w:r>
      <w:r>
        <w:rPr>
          <w:rFonts w:hint="eastAsia" w:ascii="黑体" w:hAnsi="黑体"/>
          <w:b w:val="0"/>
          <w:sz w:val="32"/>
          <w:szCs w:val="32"/>
          <w:lang w:val="en-US" w:eastAsia="zh-CN"/>
        </w:rPr>
        <w:t>绩效分析</w:t>
      </w:r>
    </w:p>
    <w:p>
      <w:pPr>
        <w:pStyle w:val="4"/>
        <w:pageBreakBefore w:val="0"/>
        <w:kinsoku/>
        <w:wordWrap/>
        <w:overflowPunct/>
        <w:topLinePunct w:val="0"/>
        <w:autoSpaceDE/>
        <w:autoSpaceDN/>
        <w:bidi w:val="0"/>
        <w:spacing w:line="570" w:lineRule="exact"/>
        <w:ind w:firstLine="643" w:firstLineChars="200"/>
        <w:jc w:val="both"/>
        <w:textAlignment w:val="auto"/>
        <w:rPr>
          <w:rFonts w:hint="default" w:ascii="仿宋_GB2312" w:eastAsia="楷体_GB2312"/>
          <w:bCs/>
          <w:spacing w:val="-4"/>
          <w:sz w:val="32"/>
          <w:szCs w:val="32"/>
          <w:highlight w:val="none"/>
          <w:lang w:val="en-US" w:eastAsia="zh-CN"/>
        </w:rPr>
      </w:pPr>
      <w:r>
        <w:rPr>
          <w:rFonts w:hint="eastAsia" w:ascii="楷体_GB2312" w:eastAsia="楷体_GB2312"/>
          <w:color w:val="000000" w:themeColor="text1"/>
          <w:szCs w:val="32"/>
          <w14:textFill>
            <w14:solidFill>
              <w14:schemeClr w14:val="tx1"/>
            </w14:solidFill>
          </w14:textFill>
        </w:rPr>
        <w:t>（一）</w:t>
      </w:r>
      <w:r>
        <w:rPr>
          <w:rFonts w:hint="eastAsia" w:ascii="楷体_GB2312" w:eastAsia="楷体_GB2312"/>
          <w:color w:val="000000" w:themeColor="text1"/>
          <w:szCs w:val="32"/>
          <w:lang w:val="en-US" w:eastAsia="zh-CN"/>
          <w14:textFill>
            <w14:solidFill>
              <w14:schemeClr w14:val="tx1"/>
            </w14:solidFill>
          </w14:textFill>
        </w:rPr>
        <w:t>指标一：</w:t>
      </w:r>
    </w:p>
    <w:p>
      <w:pPr>
        <w:pageBreakBefore w:val="0"/>
        <w:kinsoku/>
        <w:wordWrap/>
        <w:overflowPunct/>
        <w:topLinePunct w:val="0"/>
        <w:autoSpaceDE/>
        <w:autoSpaceDN/>
        <w:bidi w:val="0"/>
        <w:spacing w:line="570" w:lineRule="exact"/>
        <w:ind w:firstLine="640" w:firstLineChars="200"/>
        <w:jc w:val="both"/>
        <w:textAlignment w:val="auto"/>
        <w:rPr>
          <w:rFonts w:hint="eastAsia" w:ascii="仿宋_GB2312" w:eastAsia="仿宋_GB2312"/>
          <w:color w:val="000000" w:themeColor="text1"/>
          <w:sz w:val="32"/>
          <w:szCs w:val="32"/>
          <w:highlight w:val="none"/>
          <w:lang w:val="en-US" w:eastAsia="zh-CN"/>
          <w14:textFill>
            <w14:solidFill>
              <w14:schemeClr w14:val="tx1"/>
            </w14:solidFill>
          </w14:textFill>
        </w:rPr>
      </w:pPr>
      <w:r>
        <w:rPr>
          <w:rFonts w:hint="eastAsia" w:ascii="仿宋_GB2312" w:eastAsia="仿宋_GB2312"/>
          <w:sz w:val="32"/>
          <w:szCs w:val="32"/>
          <w:highlight w:val="none"/>
        </w:rPr>
        <w:t>“</w:t>
      </w:r>
      <w:r>
        <w:rPr>
          <w:rFonts w:hint="eastAsia" w:ascii="仿宋_GB2312" w:eastAsia="仿宋_GB2312"/>
          <w:sz w:val="32"/>
          <w:szCs w:val="32"/>
          <w:highlight w:val="none"/>
          <w:lang w:eastAsia="zh-CN"/>
        </w:rPr>
        <w:t>镇政府在职人数</w:t>
      </w:r>
      <w:r>
        <w:rPr>
          <w:rFonts w:hint="eastAsia" w:ascii="仿宋_GB2312" w:eastAsia="仿宋_GB2312"/>
          <w:sz w:val="32"/>
          <w:szCs w:val="32"/>
          <w:highlight w:val="none"/>
        </w:rPr>
        <w:t>”指标</w:t>
      </w:r>
      <w:r>
        <w:rPr>
          <w:rFonts w:ascii="仿宋_GB2312" w:eastAsia="仿宋_GB2312"/>
          <w:sz w:val="32"/>
          <w:szCs w:val="32"/>
          <w:highlight w:val="none"/>
        </w:rPr>
        <w:t>，</w:t>
      </w:r>
      <w:r>
        <w:rPr>
          <w:rFonts w:hint="eastAsia" w:ascii="仿宋_GB2312" w:eastAsia="仿宋_GB2312"/>
          <w:sz w:val="32"/>
          <w:szCs w:val="32"/>
          <w:highlight w:val="none"/>
        </w:rPr>
        <w:t>预期指标值为“&gt;=</w:t>
      </w:r>
      <w:r>
        <w:rPr>
          <w:rFonts w:hint="eastAsia" w:ascii="仿宋_GB2312" w:eastAsia="仿宋_GB2312"/>
          <w:sz w:val="32"/>
          <w:szCs w:val="32"/>
          <w:highlight w:val="none"/>
          <w:lang w:val="en-US" w:eastAsia="zh-CN"/>
        </w:rPr>
        <w:t>71个</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年中绩效运行监控完成值为“71个”，全年</w:t>
      </w:r>
      <w:r>
        <w:rPr>
          <w:rFonts w:hint="eastAsia" w:ascii="仿宋_GB2312" w:eastAsia="仿宋_GB2312"/>
          <w:sz w:val="32"/>
          <w:szCs w:val="32"/>
          <w:highlight w:val="none"/>
        </w:rPr>
        <w:t>实际完成指标值为“</w:t>
      </w:r>
      <w:r>
        <w:rPr>
          <w:rFonts w:hint="eastAsia" w:ascii="仿宋_GB2312" w:eastAsia="仿宋_GB2312"/>
          <w:sz w:val="32"/>
          <w:szCs w:val="32"/>
          <w:highlight w:val="none"/>
          <w:lang w:val="en-US" w:eastAsia="zh-CN"/>
        </w:rPr>
        <w:t>77个</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全年</w:t>
      </w:r>
      <w:r>
        <w:rPr>
          <w:rFonts w:hint="eastAsia" w:ascii="仿宋_GB2312" w:eastAsia="仿宋_GB2312"/>
          <w:sz w:val="32"/>
          <w:szCs w:val="32"/>
          <w:highlight w:val="none"/>
        </w:rPr>
        <w:t>指标完成率为</w:t>
      </w:r>
      <w:r>
        <w:rPr>
          <w:rFonts w:hint="eastAsia" w:ascii="仿宋_GB2312" w:eastAsia="仿宋_GB2312"/>
          <w:sz w:val="32"/>
          <w:szCs w:val="32"/>
          <w:highlight w:val="none"/>
          <w:lang w:val="en-US" w:eastAsia="zh-CN"/>
        </w:rPr>
        <w:t>100</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年中绩效运行监控完成值与全年</w:t>
      </w:r>
      <w:r>
        <w:rPr>
          <w:rFonts w:hint="eastAsia" w:ascii="仿宋_GB2312" w:eastAsia="仿宋_GB2312"/>
          <w:sz w:val="32"/>
          <w:szCs w:val="32"/>
          <w:highlight w:val="none"/>
        </w:rPr>
        <w:t>指标完成</w:t>
      </w:r>
      <w:r>
        <w:rPr>
          <w:rFonts w:hint="eastAsia" w:ascii="仿宋_GB2312" w:eastAsia="仿宋_GB2312"/>
          <w:sz w:val="32"/>
          <w:szCs w:val="32"/>
          <w:highlight w:val="none"/>
          <w:lang w:val="en-US" w:eastAsia="zh-CN"/>
        </w:rPr>
        <w:t>值均不存在偏差。全年本单位履职尽责，严格贯彻了各项工作要求，各项规章制度，落实了</w:t>
      </w:r>
      <w:r>
        <w:rPr>
          <w:rFonts w:hint="eastAsia" w:ascii="仿宋_GB2312" w:eastAsia="仿宋_GB2312"/>
          <w:color w:val="000000" w:themeColor="text1"/>
          <w:sz w:val="32"/>
          <w:szCs w:val="32"/>
          <w:highlight w:val="none"/>
          <w:lang w:val="en-US" w:eastAsia="zh-CN"/>
          <w14:textFill>
            <w14:solidFill>
              <w14:schemeClr w14:val="tx1"/>
            </w14:solidFill>
          </w14:textFill>
        </w:rPr>
        <w:t>镇政府人员工资及时发放，日常办公活动正常开展任务。通过保障</w:t>
      </w:r>
      <w:r>
        <w:rPr>
          <w:rFonts w:hint="eastAsia" w:ascii="仿宋_GB2312" w:eastAsia="仿宋_GB2312"/>
          <w:color w:val="000000" w:themeColor="text1"/>
          <w:sz w:val="32"/>
          <w:szCs w:val="32"/>
          <w:highlight w:val="none"/>
          <w:lang w:eastAsia="zh-CN"/>
          <w14:textFill>
            <w14:solidFill>
              <w14:schemeClr w14:val="tx1"/>
            </w14:solidFill>
          </w14:textFill>
        </w:rPr>
        <w:t>镇政府在职</w:t>
      </w:r>
      <w:r>
        <w:rPr>
          <w:rFonts w:hint="eastAsia" w:ascii="仿宋_GB2312" w:eastAsia="仿宋_GB2312"/>
          <w:color w:val="000000" w:themeColor="text1"/>
          <w:sz w:val="32"/>
          <w:szCs w:val="32"/>
          <w:highlight w:val="none"/>
          <w:lang w:val="en-US" w:eastAsia="zh-CN"/>
          <w14:textFill>
            <w14:solidFill>
              <w14:schemeClr w14:val="tx1"/>
            </w14:solidFill>
          </w14:textFill>
        </w:rPr>
        <w:t>77人工资及时发放，日常办公活动正常开展工作的有效完成，保证政府正常行政运行能力。</w:t>
      </w:r>
    </w:p>
    <w:p>
      <w:pPr>
        <w:pageBreakBefore w:val="0"/>
        <w:kinsoku/>
        <w:wordWrap/>
        <w:overflowPunct/>
        <w:topLinePunct w:val="0"/>
        <w:autoSpaceDE/>
        <w:autoSpaceDN/>
        <w:bidi w:val="0"/>
        <w:spacing w:line="570" w:lineRule="exact"/>
        <w:ind w:firstLine="640" w:firstLineChars="200"/>
        <w:jc w:val="both"/>
        <w:textAlignment w:val="auto"/>
        <w:rPr>
          <w:rFonts w:hint="default" w:ascii="仿宋_GB2312" w:eastAsia="仿宋_GB2312"/>
          <w:color w:val="000000" w:themeColor="text1"/>
          <w:sz w:val="32"/>
          <w:szCs w:val="32"/>
          <w:highlight w:val="none"/>
          <w:lang w:val="en-US" w:eastAsia="zh-CN"/>
          <w14:textFill>
            <w14:solidFill>
              <w14:schemeClr w14:val="tx1"/>
            </w14:solidFill>
          </w14:textFill>
        </w:rPr>
      </w:pPr>
      <w:r>
        <w:rPr>
          <w:rFonts w:hint="eastAsia" w:ascii="仿宋_GB2312" w:eastAsia="仿宋_GB2312"/>
          <w:color w:val="000000" w:themeColor="text1"/>
          <w:sz w:val="32"/>
          <w:szCs w:val="32"/>
          <w:highlight w:val="none"/>
          <w:lang w:val="en-US" w:eastAsia="zh-CN"/>
          <w14:textFill>
            <w14:solidFill>
              <w14:schemeClr w14:val="tx1"/>
            </w14:solidFill>
          </w14:textFill>
        </w:rPr>
        <w:t>综上，该指标分值15分，得15分。</w:t>
      </w:r>
    </w:p>
    <w:p>
      <w:pPr>
        <w:pStyle w:val="4"/>
        <w:pageBreakBefore w:val="0"/>
        <w:kinsoku/>
        <w:wordWrap/>
        <w:overflowPunct/>
        <w:topLinePunct w:val="0"/>
        <w:autoSpaceDE/>
        <w:autoSpaceDN/>
        <w:bidi w:val="0"/>
        <w:spacing w:line="570" w:lineRule="exact"/>
        <w:ind w:firstLine="643" w:firstLineChars="200"/>
        <w:jc w:val="both"/>
        <w:textAlignment w:val="auto"/>
        <w:rPr>
          <w:rFonts w:hint="default" w:ascii="仿宋_GB2312" w:eastAsia="楷体_GB2312"/>
          <w:bCs/>
          <w:spacing w:val="-4"/>
          <w:sz w:val="32"/>
          <w:szCs w:val="32"/>
          <w:highlight w:val="none"/>
          <w:lang w:val="en-US" w:eastAsia="zh-CN"/>
        </w:rPr>
      </w:pPr>
      <w:r>
        <w:rPr>
          <w:rFonts w:hint="eastAsia" w:ascii="楷体_GB2312" w:eastAsia="楷体_GB2312"/>
          <w:color w:val="000000" w:themeColor="text1"/>
          <w:szCs w:val="32"/>
          <w14:textFill>
            <w14:solidFill>
              <w14:schemeClr w14:val="tx1"/>
            </w14:solidFill>
          </w14:textFill>
        </w:rPr>
        <w:t>（</w:t>
      </w:r>
      <w:r>
        <w:rPr>
          <w:rFonts w:hint="eastAsia" w:ascii="楷体_GB2312" w:eastAsia="楷体_GB2312"/>
          <w:color w:val="000000" w:themeColor="text1"/>
          <w:szCs w:val="32"/>
          <w:lang w:val="en-US" w:eastAsia="zh-CN"/>
          <w14:textFill>
            <w14:solidFill>
              <w14:schemeClr w14:val="tx1"/>
            </w14:solidFill>
          </w14:textFill>
        </w:rPr>
        <w:t>二</w:t>
      </w:r>
      <w:r>
        <w:rPr>
          <w:rFonts w:hint="eastAsia" w:ascii="楷体_GB2312" w:eastAsia="楷体_GB2312"/>
          <w:color w:val="000000" w:themeColor="text1"/>
          <w:szCs w:val="32"/>
          <w14:textFill>
            <w14:solidFill>
              <w14:schemeClr w14:val="tx1"/>
            </w14:solidFill>
          </w14:textFill>
        </w:rPr>
        <w:t>）</w:t>
      </w:r>
      <w:r>
        <w:rPr>
          <w:rFonts w:hint="eastAsia" w:ascii="楷体_GB2312" w:eastAsia="楷体_GB2312"/>
          <w:color w:val="000000" w:themeColor="text1"/>
          <w:szCs w:val="32"/>
          <w:lang w:val="en-US" w:eastAsia="zh-CN"/>
          <w14:textFill>
            <w14:solidFill>
              <w14:schemeClr w14:val="tx1"/>
            </w14:solidFill>
          </w14:textFill>
        </w:rPr>
        <w:t>指标二：</w:t>
      </w:r>
    </w:p>
    <w:p>
      <w:pPr>
        <w:pageBreakBefore w:val="0"/>
        <w:kinsoku/>
        <w:wordWrap/>
        <w:overflowPunct/>
        <w:topLinePunct w:val="0"/>
        <w:autoSpaceDE/>
        <w:autoSpaceDN/>
        <w:bidi w:val="0"/>
        <w:spacing w:line="570" w:lineRule="exact"/>
        <w:ind w:firstLine="640" w:firstLineChars="200"/>
        <w:jc w:val="both"/>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rPr>
        <w:t>“提升村容村貌完成各类项目数量”指标</w:t>
      </w:r>
      <w:r>
        <w:rPr>
          <w:rFonts w:ascii="仿宋_GB2312" w:eastAsia="仿宋_GB2312"/>
          <w:sz w:val="32"/>
          <w:szCs w:val="32"/>
          <w:highlight w:val="none"/>
        </w:rPr>
        <w:t>，</w:t>
      </w:r>
      <w:r>
        <w:rPr>
          <w:rFonts w:hint="eastAsia" w:ascii="仿宋_GB2312" w:eastAsia="仿宋_GB2312"/>
          <w:sz w:val="32"/>
          <w:szCs w:val="32"/>
          <w:highlight w:val="none"/>
        </w:rPr>
        <w:t>预期指标值为“</w:t>
      </w:r>
      <w:r>
        <w:rPr>
          <w:rFonts w:hint="eastAsia" w:ascii="仿宋_GB2312" w:eastAsia="仿宋_GB2312"/>
          <w:sz w:val="32"/>
          <w:szCs w:val="32"/>
          <w:highlight w:val="none"/>
          <w:lang w:val="en-US" w:eastAsia="zh-CN"/>
        </w:rPr>
        <w:t>=26个</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年中绩效运行监控完成值为“4个”，全年</w:t>
      </w:r>
      <w:r>
        <w:rPr>
          <w:rFonts w:hint="eastAsia" w:ascii="仿宋_GB2312" w:eastAsia="仿宋_GB2312"/>
          <w:sz w:val="32"/>
          <w:szCs w:val="32"/>
          <w:highlight w:val="none"/>
        </w:rPr>
        <w:t>实际完成指标值为“</w:t>
      </w:r>
      <w:r>
        <w:rPr>
          <w:rFonts w:hint="eastAsia" w:ascii="仿宋_GB2312" w:eastAsia="仿宋_GB2312"/>
          <w:sz w:val="32"/>
          <w:szCs w:val="32"/>
          <w:highlight w:val="none"/>
          <w:lang w:val="en-US" w:eastAsia="zh-CN"/>
        </w:rPr>
        <w:t>36个</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全年</w:t>
      </w:r>
      <w:r>
        <w:rPr>
          <w:rFonts w:hint="eastAsia" w:ascii="仿宋_GB2312" w:eastAsia="仿宋_GB2312"/>
          <w:sz w:val="32"/>
          <w:szCs w:val="32"/>
          <w:highlight w:val="none"/>
        </w:rPr>
        <w:t>指标完成率为</w:t>
      </w:r>
      <w:r>
        <w:rPr>
          <w:rFonts w:hint="eastAsia" w:ascii="仿宋_GB2312" w:eastAsia="仿宋_GB2312"/>
          <w:sz w:val="32"/>
          <w:szCs w:val="32"/>
          <w:highlight w:val="none"/>
          <w:lang w:val="en-US" w:eastAsia="zh-CN"/>
        </w:rPr>
        <w:t>100</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年中绩效运行监控完成值与全年</w:t>
      </w:r>
      <w:r>
        <w:rPr>
          <w:rFonts w:hint="eastAsia" w:ascii="仿宋_GB2312" w:eastAsia="仿宋_GB2312"/>
          <w:sz w:val="32"/>
          <w:szCs w:val="32"/>
          <w:highlight w:val="none"/>
        </w:rPr>
        <w:t>指标完成</w:t>
      </w:r>
      <w:r>
        <w:rPr>
          <w:rFonts w:hint="eastAsia" w:ascii="仿宋_GB2312" w:eastAsia="仿宋_GB2312"/>
          <w:sz w:val="32"/>
          <w:szCs w:val="32"/>
          <w:highlight w:val="none"/>
          <w:lang w:val="en-US" w:eastAsia="zh-CN"/>
        </w:rPr>
        <w:t>值均不存在偏差。全年本单位履职尽责，严格贯彻了各项工作要求，各项规章制度，落实了</w:t>
      </w:r>
      <w:r>
        <w:rPr>
          <w:rFonts w:hint="eastAsia" w:ascii="仿宋_GB2312" w:eastAsia="仿宋_GB2312"/>
          <w:color w:val="000000" w:themeColor="text1"/>
          <w:sz w:val="32"/>
          <w:szCs w:val="32"/>
          <w:highlight w:val="none"/>
          <w:lang w:val="en-US" w:eastAsia="zh-CN"/>
          <w14:textFill>
            <w14:solidFill>
              <w14:schemeClr w14:val="tx1"/>
            </w14:solidFill>
          </w14:textFill>
        </w:rPr>
        <w:t>项目资金及时发放，日常项目正常开展任务。通过</w:t>
      </w:r>
      <w:r>
        <w:rPr>
          <w:rFonts w:hint="eastAsia" w:ascii="仿宋_GB2312" w:eastAsia="仿宋_GB2312"/>
          <w:sz w:val="32"/>
          <w:szCs w:val="32"/>
          <w:highlight w:val="none"/>
        </w:rPr>
        <w:t>提升村容村貌完成各类项目数量</w:t>
      </w:r>
      <w:r>
        <w:rPr>
          <w:rFonts w:hint="eastAsia" w:ascii="仿宋_GB2312" w:eastAsia="仿宋_GB2312"/>
          <w:color w:val="000000" w:themeColor="text1"/>
          <w:sz w:val="32"/>
          <w:szCs w:val="32"/>
          <w:highlight w:val="none"/>
          <w:lang w:val="en-US" w:eastAsia="zh-CN"/>
          <w14:textFill>
            <w14:solidFill>
              <w14:schemeClr w14:val="tx1"/>
            </w14:solidFill>
          </w14:textFill>
        </w:rPr>
        <w:t>，解决了吉镇村容村貌差的形象，提升了乡政府基层政权建设，改善了群众生活环境。</w:t>
      </w:r>
    </w:p>
    <w:p>
      <w:pPr>
        <w:pageBreakBefore w:val="0"/>
        <w:kinsoku/>
        <w:wordWrap/>
        <w:overflowPunct/>
        <w:topLinePunct w:val="0"/>
        <w:autoSpaceDE/>
        <w:autoSpaceDN/>
        <w:bidi w:val="0"/>
        <w:spacing w:line="570" w:lineRule="exact"/>
        <w:ind w:firstLine="640" w:firstLineChars="200"/>
        <w:jc w:val="both"/>
        <w:textAlignment w:val="auto"/>
        <w:rPr>
          <w:rFonts w:hint="default" w:ascii="仿宋_GB2312" w:eastAsia="仿宋_GB2312"/>
          <w:color w:val="FF0000"/>
          <w:sz w:val="32"/>
          <w:szCs w:val="32"/>
          <w:highlight w:val="none"/>
          <w:lang w:val="en-US" w:eastAsia="zh-CN"/>
        </w:rPr>
      </w:pPr>
      <w:r>
        <w:rPr>
          <w:rFonts w:hint="eastAsia" w:ascii="仿宋_GB2312" w:eastAsia="仿宋_GB2312"/>
          <w:color w:val="000000" w:themeColor="text1"/>
          <w:sz w:val="32"/>
          <w:szCs w:val="32"/>
          <w:highlight w:val="none"/>
          <w:lang w:val="en-US" w:eastAsia="zh-CN"/>
          <w14:textFill>
            <w14:solidFill>
              <w14:schemeClr w14:val="tx1"/>
            </w14:solidFill>
          </w14:textFill>
        </w:rPr>
        <w:t>综上，该指标分值20分，得20分。</w:t>
      </w:r>
    </w:p>
    <w:p>
      <w:pPr>
        <w:pStyle w:val="4"/>
        <w:pageBreakBefore w:val="0"/>
        <w:kinsoku/>
        <w:wordWrap/>
        <w:overflowPunct/>
        <w:topLinePunct w:val="0"/>
        <w:autoSpaceDE/>
        <w:autoSpaceDN/>
        <w:bidi w:val="0"/>
        <w:spacing w:line="570" w:lineRule="exact"/>
        <w:ind w:firstLine="643" w:firstLineChars="200"/>
        <w:jc w:val="both"/>
        <w:textAlignment w:val="auto"/>
        <w:rPr>
          <w:rFonts w:hint="default" w:ascii="仿宋_GB2312" w:eastAsia="楷体_GB2312"/>
          <w:bCs/>
          <w:spacing w:val="-4"/>
          <w:sz w:val="32"/>
          <w:szCs w:val="32"/>
          <w:highlight w:val="none"/>
          <w:lang w:val="en-US" w:eastAsia="zh-CN"/>
        </w:rPr>
      </w:pPr>
      <w:r>
        <w:rPr>
          <w:rFonts w:hint="eastAsia" w:ascii="楷体_GB2312" w:eastAsia="楷体_GB2312"/>
          <w:color w:val="000000" w:themeColor="text1"/>
          <w:szCs w:val="32"/>
          <w14:textFill>
            <w14:solidFill>
              <w14:schemeClr w14:val="tx1"/>
            </w14:solidFill>
          </w14:textFill>
        </w:rPr>
        <w:t>（</w:t>
      </w:r>
      <w:r>
        <w:rPr>
          <w:rFonts w:hint="eastAsia" w:ascii="楷体_GB2312" w:eastAsia="楷体_GB2312"/>
          <w:color w:val="000000" w:themeColor="text1"/>
          <w:szCs w:val="32"/>
          <w:lang w:val="en-US" w:eastAsia="zh-CN"/>
          <w14:textFill>
            <w14:solidFill>
              <w14:schemeClr w14:val="tx1"/>
            </w14:solidFill>
          </w14:textFill>
        </w:rPr>
        <w:t>三</w:t>
      </w:r>
      <w:r>
        <w:rPr>
          <w:rFonts w:hint="eastAsia" w:ascii="楷体_GB2312" w:eastAsia="楷体_GB2312"/>
          <w:color w:val="000000" w:themeColor="text1"/>
          <w:szCs w:val="32"/>
          <w14:textFill>
            <w14:solidFill>
              <w14:schemeClr w14:val="tx1"/>
            </w14:solidFill>
          </w14:textFill>
        </w:rPr>
        <w:t>）</w:t>
      </w:r>
      <w:r>
        <w:rPr>
          <w:rFonts w:hint="eastAsia" w:ascii="楷体_GB2312" w:eastAsia="楷体_GB2312"/>
          <w:color w:val="000000" w:themeColor="text1"/>
          <w:szCs w:val="32"/>
          <w:lang w:val="en-US" w:eastAsia="zh-CN"/>
          <w14:textFill>
            <w14:solidFill>
              <w14:schemeClr w14:val="tx1"/>
            </w14:solidFill>
          </w14:textFill>
        </w:rPr>
        <w:t>指标三：</w:t>
      </w:r>
    </w:p>
    <w:p>
      <w:pPr>
        <w:pageBreakBefore w:val="0"/>
        <w:kinsoku/>
        <w:wordWrap/>
        <w:overflowPunct/>
        <w:topLinePunct w:val="0"/>
        <w:autoSpaceDE/>
        <w:autoSpaceDN/>
        <w:bidi w:val="0"/>
        <w:spacing w:line="570" w:lineRule="exact"/>
        <w:ind w:firstLine="640" w:firstLineChars="200"/>
        <w:jc w:val="both"/>
        <w:textAlignment w:val="auto"/>
        <w:rPr>
          <w:rFonts w:hint="eastAsia" w:ascii="仿宋_GB2312" w:eastAsia="仿宋_GB2312"/>
          <w:color w:val="000000" w:themeColor="text1"/>
          <w:sz w:val="32"/>
          <w:szCs w:val="32"/>
          <w:highlight w:val="none"/>
          <w:lang w:val="en-US" w:eastAsia="zh-CN"/>
          <w14:textFill>
            <w14:solidFill>
              <w14:schemeClr w14:val="tx1"/>
            </w14:solidFill>
          </w14:textFill>
        </w:rPr>
      </w:pPr>
      <w:r>
        <w:rPr>
          <w:rFonts w:hint="eastAsia" w:ascii="仿宋_GB2312" w:eastAsia="仿宋_GB2312"/>
          <w:sz w:val="32"/>
          <w:szCs w:val="32"/>
          <w:highlight w:val="none"/>
        </w:rPr>
        <w:t>“</w:t>
      </w:r>
      <w:r>
        <w:rPr>
          <w:rFonts w:hint="eastAsia" w:ascii="仿宋_GB2312" w:eastAsia="仿宋_GB2312"/>
          <w:color w:val="000000" w:themeColor="text1"/>
          <w:sz w:val="32"/>
          <w:szCs w:val="32"/>
          <w:highlight w:val="none"/>
          <w14:textFill>
            <w14:solidFill>
              <w14:schemeClr w14:val="tx1"/>
            </w14:solidFill>
          </w14:textFill>
        </w:rPr>
        <w:t>服务行政村对数量</w:t>
      </w:r>
      <w:r>
        <w:rPr>
          <w:rFonts w:hint="eastAsia" w:ascii="仿宋_GB2312" w:eastAsia="仿宋_GB2312"/>
          <w:sz w:val="32"/>
          <w:szCs w:val="32"/>
          <w:highlight w:val="none"/>
        </w:rPr>
        <w:t>”指标</w:t>
      </w:r>
      <w:r>
        <w:rPr>
          <w:rFonts w:ascii="仿宋_GB2312" w:eastAsia="仿宋_GB2312"/>
          <w:sz w:val="32"/>
          <w:szCs w:val="32"/>
          <w:highlight w:val="none"/>
        </w:rPr>
        <w:t>，</w:t>
      </w:r>
      <w:r>
        <w:rPr>
          <w:rFonts w:hint="eastAsia" w:ascii="仿宋_GB2312" w:eastAsia="仿宋_GB2312"/>
          <w:sz w:val="32"/>
          <w:szCs w:val="32"/>
          <w:highlight w:val="none"/>
        </w:rPr>
        <w:t>预期指标值为“</w:t>
      </w:r>
      <w:r>
        <w:rPr>
          <w:rFonts w:hint="eastAsia" w:ascii="仿宋_GB2312" w:eastAsia="仿宋_GB2312"/>
          <w:sz w:val="32"/>
          <w:szCs w:val="32"/>
          <w:highlight w:val="none"/>
          <w:lang w:val="en-US" w:eastAsia="zh-CN"/>
        </w:rPr>
        <w:t>=</w:t>
      </w:r>
      <w:r>
        <w:rPr>
          <w:rFonts w:hint="eastAsia" w:ascii="仿宋_GB2312" w:eastAsia="仿宋_GB2312"/>
          <w:color w:val="000000" w:themeColor="text1"/>
          <w:sz w:val="32"/>
          <w:szCs w:val="32"/>
          <w:highlight w:val="none"/>
          <w:lang w:val="en-US" w:eastAsia="zh-CN"/>
          <w14:textFill>
            <w14:solidFill>
              <w14:schemeClr w14:val="tx1"/>
            </w14:solidFill>
          </w14:textFill>
        </w:rPr>
        <w:t>12个</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年中绩效运行监控完成值为“12个”，全年</w:t>
      </w:r>
      <w:r>
        <w:rPr>
          <w:rFonts w:hint="eastAsia" w:ascii="仿宋_GB2312" w:eastAsia="仿宋_GB2312"/>
          <w:sz w:val="32"/>
          <w:szCs w:val="32"/>
          <w:highlight w:val="none"/>
        </w:rPr>
        <w:t>实际完成指标值为“</w:t>
      </w:r>
      <w:r>
        <w:rPr>
          <w:rFonts w:hint="eastAsia" w:ascii="仿宋_GB2312" w:eastAsia="仿宋_GB2312"/>
          <w:sz w:val="32"/>
          <w:szCs w:val="32"/>
          <w:highlight w:val="none"/>
          <w:lang w:val="en-US" w:eastAsia="zh-CN"/>
        </w:rPr>
        <w:t>12个</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全年</w:t>
      </w:r>
      <w:r>
        <w:rPr>
          <w:rFonts w:hint="eastAsia" w:ascii="仿宋_GB2312" w:eastAsia="仿宋_GB2312"/>
          <w:sz w:val="32"/>
          <w:szCs w:val="32"/>
          <w:highlight w:val="none"/>
        </w:rPr>
        <w:t>指标完成率为</w:t>
      </w:r>
      <w:r>
        <w:rPr>
          <w:rFonts w:hint="eastAsia" w:ascii="仿宋_GB2312" w:eastAsia="仿宋_GB2312"/>
          <w:sz w:val="32"/>
          <w:szCs w:val="32"/>
          <w:highlight w:val="none"/>
          <w:lang w:val="en-US" w:eastAsia="zh-CN"/>
        </w:rPr>
        <w:t>100</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年中绩效运行监控完成值与全年</w:t>
      </w:r>
      <w:r>
        <w:rPr>
          <w:rFonts w:hint="eastAsia" w:ascii="仿宋_GB2312" w:eastAsia="仿宋_GB2312"/>
          <w:sz w:val="32"/>
          <w:szCs w:val="32"/>
          <w:highlight w:val="none"/>
        </w:rPr>
        <w:t>指标完成</w:t>
      </w:r>
      <w:r>
        <w:rPr>
          <w:rFonts w:hint="eastAsia" w:ascii="仿宋_GB2312" w:eastAsia="仿宋_GB2312"/>
          <w:sz w:val="32"/>
          <w:szCs w:val="32"/>
          <w:highlight w:val="none"/>
          <w:lang w:val="en-US" w:eastAsia="zh-CN"/>
        </w:rPr>
        <w:t>值均不存在偏差。全年本单位履职尽责，严格贯彻了各项工作要求，各项规章制度，落实了</w:t>
      </w:r>
      <w:r>
        <w:rPr>
          <w:rFonts w:hint="eastAsia" w:ascii="仿宋_GB2312" w:eastAsia="仿宋_GB2312"/>
          <w:color w:val="000000" w:themeColor="text1"/>
          <w:sz w:val="32"/>
          <w:szCs w:val="32"/>
          <w:highlight w:val="none"/>
          <w:lang w:val="en-US" w:eastAsia="zh-CN"/>
          <w14:textFill>
            <w14:solidFill>
              <w14:schemeClr w14:val="tx1"/>
            </w14:solidFill>
          </w14:textFill>
        </w:rPr>
        <w:t>镇政府人员工资及时发放，日常办公活动正常开展任务。通过保障</w:t>
      </w:r>
      <w:r>
        <w:rPr>
          <w:rFonts w:hint="eastAsia" w:ascii="仿宋_GB2312" w:eastAsia="仿宋_GB2312"/>
          <w:color w:val="000000" w:themeColor="text1"/>
          <w:sz w:val="32"/>
          <w:szCs w:val="32"/>
          <w:highlight w:val="none"/>
          <w:lang w:eastAsia="zh-CN"/>
          <w14:textFill>
            <w14:solidFill>
              <w14:schemeClr w14:val="tx1"/>
            </w14:solidFill>
          </w14:textFill>
        </w:rPr>
        <w:t>镇政府在职</w:t>
      </w:r>
      <w:r>
        <w:rPr>
          <w:rFonts w:hint="eastAsia" w:ascii="仿宋_GB2312" w:eastAsia="仿宋_GB2312"/>
          <w:color w:val="000000" w:themeColor="text1"/>
          <w:sz w:val="32"/>
          <w:szCs w:val="32"/>
          <w:highlight w:val="none"/>
          <w:lang w:val="en-US" w:eastAsia="zh-CN"/>
          <w14:textFill>
            <w14:solidFill>
              <w14:schemeClr w14:val="tx1"/>
            </w14:solidFill>
          </w14:textFill>
        </w:rPr>
        <w:t>工资及时发放，日常办公活动正常开展工作的有效完成，有效帮助12个村队更好的服务群众。</w:t>
      </w:r>
    </w:p>
    <w:p>
      <w:pPr>
        <w:pageBreakBefore w:val="0"/>
        <w:kinsoku/>
        <w:wordWrap/>
        <w:overflowPunct/>
        <w:topLinePunct w:val="0"/>
        <w:autoSpaceDE/>
        <w:autoSpaceDN/>
        <w:bidi w:val="0"/>
        <w:spacing w:line="570" w:lineRule="exact"/>
        <w:ind w:firstLine="640" w:firstLineChars="200"/>
        <w:jc w:val="both"/>
        <w:textAlignment w:val="auto"/>
        <w:rPr>
          <w:rFonts w:hint="eastAsia"/>
          <w:lang w:val="en-US" w:eastAsia="zh-CN"/>
        </w:rPr>
      </w:pPr>
      <w:r>
        <w:rPr>
          <w:rFonts w:hint="eastAsia" w:ascii="仿宋_GB2312" w:eastAsia="仿宋_GB2312"/>
          <w:color w:val="auto"/>
          <w:sz w:val="32"/>
          <w:szCs w:val="32"/>
          <w:highlight w:val="none"/>
          <w:lang w:val="en-US" w:eastAsia="zh-CN"/>
        </w:rPr>
        <w:t>综上，该指标分值20分，</w:t>
      </w:r>
      <w:r>
        <w:rPr>
          <w:rFonts w:hint="eastAsia" w:ascii="仿宋_GB2312" w:eastAsia="仿宋_GB2312"/>
          <w:color w:val="000000" w:themeColor="text1"/>
          <w:sz w:val="32"/>
          <w:szCs w:val="32"/>
          <w:highlight w:val="none"/>
          <w:lang w:val="en-US" w:eastAsia="zh-CN"/>
          <w14:textFill>
            <w14:solidFill>
              <w14:schemeClr w14:val="tx1"/>
            </w14:solidFill>
          </w14:textFill>
        </w:rPr>
        <w:t>得20</w:t>
      </w:r>
      <w:r>
        <w:rPr>
          <w:rFonts w:hint="eastAsia" w:ascii="仿宋_GB2312" w:eastAsia="仿宋_GB2312"/>
          <w:color w:val="auto"/>
          <w:sz w:val="32"/>
          <w:szCs w:val="32"/>
          <w:highlight w:val="none"/>
          <w:lang w:val="en-US" w:eastAsia="zh-CN"/>
        </w:rPr>
        <w:t>分。</w:t>
      </w:r>
    </w:p>
    <w:p>
      <w:pPr>
        <w:pStyle w:val="4"/>
        <w:pageBreakBefore w:val="0"/>
        <w:kinsoku/>
        <w:wordWrap/>
        <w:overflowPunct/>
        <w:topLinePunct w:val="0"/>
        <w:autoSpaceDE/>
        <w:autoSpaceDN/>
        <w:bidi w:val="0"/>
        <w:spacing w:line="570" w:lineRule="exact"/>
        <w:ind w:firstLine="643" w:firstLineChars="200"/>
        <w:jc w:val="both"/>
        <w:textAlignment w:val="auto"/>
        <w:rPr>
          <w:rFonts w:hint="default" w:ascii="仿宋_GB2312" w:eastAsia="楷体_GB2312"/>
          <w:bCs/>
          <w:spacing w:val="-4"/>
          <w:sz w:val="32"/>
          <w:szCs w:val="32"/>
          <w:highlight w:val="none"/>
          <w:lang w:val="en-US" w:eastAsia="zh-CN"/>
        </w:rPr>
      </w:pPr>
      <w:r>
        <w:rPr>
          <w:rFonts w:hint="eastAsia" w:ascii="楷体_GB2312" w:eastAsia="楷体_GB2312"/>
          <w:color w:val="000000" w:themeColor="text1"/>
          <w:szCs w:val="32"/>
          <w14:textFill>
            <w14:solidFill>
              <w14:schemeClr w14:val="tx1"/>
            </w14:solidFill>
          </w14:textFill>
        </w:rPr>
        <w:t>（</w:t>
      </w:r>
      <w:r>
        <w:rPr>
          <w:rFonts w:hint="eastAsia" w:ascii="楷体_GB2312" w:eastAsia="楷体_GB2312"/>
          <w:color w:val="000000" w:themeColor="text1"/>
          <w:szCs w:val="32"/>
          <w:lang w:val="en-US" w:eastAsia="zh-CN"/>
          <w14:textFill>
            <w14:solidFill>
              <w14:schemeClr w14:val="tx1"/>
            </w14:solidFill>
          </w14:textFill>
        </w:rPr>
        <w:t>四</w:t>
      </w:r>
      <w:r>
        <w:rPr>
          <w:rFonts w:hint="eastAsia" w:ascii="楷体_GB2312" w:eastAsia="楷体_GB2312"/>
          <w:color w:val="000000" w:themeColor="text1"/>
          <w:szCs w:val="32"/>
          <w14:textFill>
            <w14:solidFill>
              <w14:schemeClr w14:val="tx1"/>
            </w14:solidFill>
          </w14:textFill>
        </w:rPr>
        <w:t>）</w:t>
      </w:r>
      <w:r>
        <w:rPr>
          <w:rFonts w:hint="eastAsia" w:ascii="楷体_GB2312" w:eastAsia="楷体_GB2312"/>
          <w:color w:val="000000" w:themeColor="text1"/>
          <w:szCs w:val="32"/>
          <w:lang w:val="en-US" w:eastAsia="zh-CN"/>
          <w14:textFill>
            <w14:solidFill>
              <w14:schemeClr w14:val="tx1"/>
            </w14:solidFill>
          </w14:textFill>
        </w:rPr>
        <w:t>指标四：</w:t>
      </w:r>
    </w:p>
    <w:p>
      <w:pPr>
        <w:pStyle w:val="2"/>
        <w:pageBreakBefore w:val="0"/>
        <w:kinsoku/>
        <w:wordWrap/>
        <w:overflowPunct/>
        <w:topLinePunct w:val="0"/>
        <w:autoSpaceDE/>
        <w:autoSpaceDN/>
        <w:bidi w:val="0"/>
        <w:spacing w:line="570" w:lineRule="exact"/>
        <w:ind w:firstLine="640" w:firstLineChars="200"/>
        <w:jc w:val="both"/>
        <w:textAlignment w:val="auto"/>
        <w:rPr>
          <w:rFonts w:hint="eastAsia"/>
          <w:color w:val="FF0000"/>
          <w:highlight w:val="none"/>
          <w:lang w:val="en-US" w:eastAsia="zh-CN"/>
        </w:rPr>
      </w:pPr>
      <w:r>
        <w:rPr>
          <w:rFonts w:hint="eastAsia" w:ascii="仿宋_GB2312" w:eastAsia="仿宋_GB2312"/>
          <w:b w:val="0"/>
          <w:bCs w:val="0"/>
          <w:sz w:val="32"/>
          <w:szCs w:val="32"/>
          <w:highlight w:val="none"/>
        </w:rPr>
        <w:t>“</w:t>
      </w:r>
      <w:r>
        <w:rPr>
          <w:rFonts w:hint="eastAsia" w:ascii="仿宋_GB2312" w:eastAsia="仿宋_GB2312"/>
          <w:b w:val="0"/>
          <w:bCs w:val="0"/>
          <w:color w:val="000000" w:themeColor="text1"/>
          <w:sz w:val="32"/>
          <w:szCs w:val="32"/>
          <w:highlight w:val="none"/>
          <w14:textFill>
            <w14:solidFill>
              <w14:schemeClr w14:val="tx1"/>
            </w14:solidFill>
          </w14:textFill>
        </w:rPr>
        <w:t>保障镇政府各项工作正常运转，高效发挥镇政府各项职能</w:t>
      </w:r>
      <w:r>
        <w:rPr>
          <w:rFonts w:hint="eastAsia" w:ascii="仿宋_GB2312" w:eastAsia="仿宋_GB2312"/>
          <w:b w:val="0"/>
          <w:bCs w:val="0"/>
          <w:sz w:val="32"/>
          <w:szCs w:val="32"/>
          <w:highlight w:val="none"/>
        </w:rPr>
        <w:t>”指标</w:t>
      </w:r>
      <w:r>
        <w:rPr>
          <w:rFonts w:ascii="仿宋_GB2312" w:eastAsia="仿宋_GB2312"/>
          <w:b w:val="0"/>
          <w:bCs w:val="0"/>
          <w:sz w:val="32"/>
          <w:szCs w:val="32"/>
          <w:highlight w:val="none"/>
        </w:rPr>
        <w:t>，</w:t>
      </w:r>
      <w:r>
        <w:rPr>
          <w:rFonts w:hint="eastAsia" w:ascii="仿宋_GB2312" w:eastAsia="仿宋_GB2312"/>
          <w:b w:val="0"/>
          <w:bCs w:val="0"/>
          <w:sz w:val="32"/>
          <w:szCs w:val="32"/>
          <w:highlight w:val="none"/>
        </w:rPr>
        <w:t>预期指标值为“</w:t>
      </w:r>
      <w:r>
        <w:rPr>
          <w:rFonts w:hint="eastAsia" w:ascii="仿宋_GB2312" w:eastAsia="仿宋_GB2312"/>
          <w:b w:val="0"/>
          <w:bCs w:val="0"/>
          <w:color w:val="000000" w:themeColor="text1"/>
          <w:sz w:val="32"/>
          <w:szCs w:val="32"/>
          <w:highlight w:val="none"/>
          <w:lang w:val="en-US" w:eastAsia="zh-CN"/>
          <w14:textFill>
            <w14:solidFill>
              <w14:schemeClr w14:val="tx1"/>
            </w14:solidFill>
          </w14:textFill>
        </w:rPr>
        <w:t>&gt;=9</w:t>
      </w:r>
      <w:r>
        <w:rPr>
          <w:rFonts w:hint="eastAsia"/>
          <w:b w:val="0"/>
          <w:bCs w:val="0"/>
          <w:color w:val="000000" w:themeColor="text1"/>
          <w:sz w:val="32"/>
          <w:szCs w:val="32"/>
          <w:highlight w:val="none"/>
          <w:lang w:val="en-US" w:eastAsia="zh-CN"/>
          <w14:textFill>
            <w14:solidFill>
              <w14:schemeClr w14:val="tx1"/>
            </w14:solidFill>
          </w14:textFill>
        </w:rPr>
        <w:t>8</w:t>
      </w:r>
      <w:r>
        <w:rPr>
          <w:rFonts w:hint="eastAsia" w:ascii="仿宋_GB2312" w:eastAsia="仿宋_GB2312"/>
          <w:b w:val="0"/>
          <w:bCs w:val="0"/>
          <w:color w:val="000000" w:themeColor="text1"/>
          <w:sz w:val="32"/>
          <w:szCs w:val="32"/>
          <w:highlight w:val="none"/>
          <w:lang w:val="en-US" w:eastAsia="zh-CN"/>
          <w14:textFill>
            <w14:solidFill>
              <w14:schemeClr w14:val="tx1"/>
            </w14:solidFill>
          </w14:textFill>
        </w:rPr>
        <w:t xml:space="preserve">% </w:t>
      </w:r>
      <w:r>
        <w:rPr>
          <w:rFonts w:hint="eastAsia" w:ascii="仿宋_GB2312" w:eastAsia="仿宋_GB2312"/>
          <w:b w:val="0"/>
          <w:bCs w:val="0"/>
          <w:sz w:val="32"/>
          <w:szCs w:val="32"/>
          <w:highlight w:val="none"/>
        </w:rPr>
        <w:t>”，</w:t>
      </w:r>
      <w:r>
        <w:rPr>
          <w:rFonts w:hint="eastAsia" w:ascii="仿宋_GB2312" w:eastAsia="仿宋_GB2312"/>
          <w:b w:val="0"/>
          <w:bCs w:val="0"/>
          <w:sz w:val="32"/>
          <w:szCs w:val="32"/>
          <w:highlight w:val="none"/>
          <w:lang w:val="en-US" w:eastAsia="zh-CN"/>
        </w:rPr>
        <w:t>年中绩效运行监控完成值为“&gt;=9</w:t>
      </w:r>
      <w:r>
        <w:rPr>
          <w:rFonts w:hint="eastAsia"/>
          <w:b w:val="0"/>
          <w:bCs w:val="0"/>
          <w:sz w:val="32"/>
          <w:szCs w:val="32"/>
          <w:highlight w:val="none"/>
          <w:lang w:val="en-US" w:eastAsia="zh-CN"/>
        </w:rPr>
        <w:t>8</w:t>
      </w:r>
      <w:r>
        <w:rPr>
          <w:rFonts w:hint="eastAsia" w:ascii="仿宋_GB2312" w:eastAsia="仿宋_GB2312"/>
          <w:b w:val="0"/>
          <w:bCs w:val="0"/>
          <w:sz w:val="32"/>
          <w:szCs w:val="32"/>
          <w:highlight w:val="none"/>
          <w:lang w:val="en-US" w:eastAsia="zh-CN"/>
        </w:rPr>
        <w:t>% ”，全年</w:t>
      </w:r>
      <w:r>
        <w:rPr>
          <w:rFonts w:hint="eastAsia" w:ascii="仿宋_GB2312" w:eastAsia="仿宋_GB2312"/>
          <w:b w:val="0"/>
          <w:bCs w:val="0"/>
          <w:sz w:val="32"/>
          <w:szCs w:val="32"/>
          <w:highlight w:val="none"/>
        </w:rPr>
        <w:t>实际完成指标值为“</w:t>
      </w:r>
      <w:r>
        <w:rPr>
          <w:rFonts w:hint="eastAsia"/>
          <w:b w:val="0"/>
          <w:bCs w:val="0"/>
          <w:sz w:val="32"/>
          <w:szCs w:val="32"/>
          <w:highlight w:val="none"/>
          <w:lang w:val="en-US" w:eastAsia="zh-CN"/>
        </w:rPr>
        <w:t>100</w:t>
      </w:r>
      <w:r>
        <w:rPr>
          <w:rFonts w:hint="eastAsia" w:ascii="仿宋_GB2312" w:eastAsia="仿宋_GB2312"/>
          <w:b w:val="0"/>
          <w:bCs w:val="0"/>
          <w:sz w:val="32"/>
          <w:szCs w:val="32"/>
          <w:highlight w:val="none"/>
          <w:lang w:val="en-US" w:eastAsia="zh-CN"/>
        </w:rPr>
        <w:t xml:space="preserve">% </w:t>
      </w:r>
      <w:r>
        <w:rPr>
          <w:rFonts w:hint="eastAsia" w:ascii="仿宋_GB2312" w:eastAsia="仿宋_GB2312"/>
          <w:b w:val="0"/>
          <w:bCs w:val="0"/>
          <w:sz w:val="32"/>
          <w:szCs w:val="32"/>
          <w:highlight w:val="none"/>
        </w:rPr>
        <w:t>”，</w:t>
      </w:r>
      <w:r>
        <w:rPr>
          <w:rFonts w:hint="eastAsia" w:ascii="仿宋_GB2312" w:eastAsia="仿宋_GB2312"/>
          <w:b w:val="0"/>
          <w:bCs w:val="0"/>
          <w:sz w:val="32"/>
          <w:szCs w:val="32"/>
          <w:highlight w:val="none"/>
          <w:lang w:val="en-US" w:eastAsia="zh-CN"/>
        </w:rPr>
        <w:t>全年</w:t>
      </w:r>
      <w:r>
        <w:rPr>
          <w:rFonts w:hint="eastAsia" w:ascii="仿宋_GB2312" w:eastAsia="仿宋_GB2312"/>
          <w:b w:val="0"/>
          <w:bCs w:val="0"/>
          <w:sz w:val="32"/>
          <w:szCs w:val="32"/>
          <w:highlight w:val="none"/>
        </w:rPr>
        <w:t>指标完成率为</w:t>
      </w:r>
      <w:r>
        <w:rPr>
          <w:rFonts w:hint="eastAsia"/>
          <w:b w:val="0"/>
          <w:bCs w:val="0"/>
          <w:sz w:val="32"/>
          <w:szCs w:val="32"/>
          <w:highlight w:val="none"/>
          <w:lang w:val="en-US" w:eastAsia="zh-CN"/>
        </w:rPr>
        <w:t>100</w:t>
      </w:r>
      <w:r>
        <w:rPr>
          <w:rFonts w:hint="eastAsia" w:ascii="仿宋_GB2312" w:eastAsia="仿宋_GB2312"/>
          <w:b w:val="0"/>
          <w:bCs w:val="0"/>
          <w:sz w:val="32"/>
          <w:szCs w:val="32"/>
          <w:highlight w:val="none"/>
        </w:rPr>
        <w:t>%</w:t>
      </w:r>
      <w:r>
        <w:rPr>
          <w:rFonts w:hint="eastAsia" w:ascii="仿宋_GB2312" w:eastAsia="仿宋_GB2312"/>
          <w:b w:val="0"/>
          <w:bCs w:val="0"/>
          <w:sz w:val="32"/>
          <w:szCs w:val="32"/>
          <w:highlight w:val="none"/>
          <w:lang w:eastAsia="zh-CN"/>
        </w:rPr>
        <w:t>。</w:t>
      </w:r>
      <w:r>
        <w:rPr>
          <w:rFonts w:hint="eastAsia" w:ascii="仿宋_GB2312" w:eastAsia="仿宋_GB2312"/>
          <w:b w:val="0"/>
          <w:bCs w:val="0"/>
          <w:sz w:val="32"/>
          <w:szCs w:val="32"/>
          <w:highlight w:val="none"/>
          <w:lang w:val="en-US" w:eastAsia="zh-CN"/>
        </w:rPr>
        <w:t>年中绩效运行监控完成值与全年</w:t>
      </w:r>
      <w:r>
        <w:rPr>
          <w:rFonts w:hint="eastAsia" w:ascii="仿宋_GB2312" w:eastAsia="仿宋_GB2312"/>
          <w:b w:val="0"/>
          <w:bCs w:val="0"/>
          <w:sz w:val="32"/>
          <w:szCs w:val="32"/>
          <w:highlight w:val="none"/>
        </w:rPr>
        <w:t>指标完成</w:t>
      </w:r>
      <w:r>
        <w:rPr>
          <w:rFonts w:hint="eastAsia" w:ascii="仿宋_GB2312" w:eastAsia="仿宋_GB2312"/>
          <w:b w:val="0"/>
          <w:bCs w:val="0"/>
          <w:sz w:val="32"/>
          <w:szCs w:val="32"/>
          <w:highlight w:val="none"/>
          <w:lang w:val="en-US" w:eastAsia="zh-CN"/>
        </w:rPr>
        <w:t>值均不存在偏差。全年本单位履职尽责，严格贯彻了各项工作要求，各项规章制度，落实了</w:t>
      </w:r>
      <w:r>
        <w:rPr>
          <w:rFonts w:hint="eastAsia" w:ascii="仿宋_GB2312" w:eastAsia="仿宋_GB2312"/>
          <w:b w:val="0"/>
          <w:bCs w:val="0"/>
          <w:color w:val="000000" w:themeColor="text1"/>
          <w:sz w:val="32"/>
          <w:szCs w:val="32"/>
          <w:highlight w:val="none"/>
          <w:lang w:val="en-US" w:eastAsia="zh-CN"/>
          <w14:textFill>
            <w14:solidFill>
              <w14:schemeClr w14:val="tx1"/>
            </w14:solidFill>
          </w14:textFill>
        </w:rPr>
        <w:t>镇政府人员工资及时发放，日常办公活动正常开展任务。通过保障</w:t>
      </w:r>
      <w:r>
        <w:rPr>
          <w:rFonts w:hint="eastAsia" w:ascii="仿宋_GB2312" w:eastAsia="仿宋_GB2312"/>
          <w:b w:val="0"/>
          <w:bCs w:val="0"/>
          <w:color w:val="000000" w:themeColor="text1"/>
          <w:sz w:val="32"/>
          <w:szCs w:val="32"/>
          <w:highlight w:val="none"/>
          <w:lang w:eastAsia="zh-CN"/>
          <w14:textFill>
            <w14:solidFill>
              <w14:schemeClr w14:val="tx1"/>
            </w14:solidFill>
          </w14:textFill>
        </w:rPr>
        <w:t>保障镇政府各项工作正常运转</w:t>
      </w:r>
      <w:r>
        <w:rPr>
          <w:rFonts w:hint="eastAsia" w:ascii="仿宋_GB2312" w:eastAsia="仿宋_GB2312"/>
          <w:b w:val="0"/>
          <w:bCs w:val="0"/>
          <w:color w:val="000000" w:themeColor="text1"/>
          <w:sz w:val="32"/>
          <w:szCs w:val="32"/>
          <w:highlight w:val="none"/>
          <w:lang w:val="en-US" w:eastAsia="zh-CN"/>
          <w14:textFill>
            <w14:solidFill>
              <w14:schemeClr w14:val="tx1"/>
            </w14:solidFill>
          </w14:textFill>
        </w:rPr>
        <w:t>，日常办公活动正常开展工作的有效完成，高效发挥镇政府各项职能</w:t>
      </w:r>
      <w:r>
        <w:rPr>
          <w:rFonts w:hint="eastAsia"/>
          <w:b w:val="0"/>
          <w:bCs w:val="0"/>
          <w:color w:val="000000" w:themeColor="text1"/>
          <w:sz w:val="32"/>
          <w:szCs w:val="32"/>
          <w:highlight w:val="none"/>
          <w:lang w:val="en-US" w:eastAsia="zh-CN"/>
          <w14:textFill>
            <w14:solidFill>
              <w14:schemeClr w14:val="tx1"/>
            </w14:solidFill>
          </w14:textFill>
        </w:rPr>
        <w:t>，</w:t>
      </w:r>
      <w:r>
        <w:rPr>
          <w:rFonts w:hint="eastAsia" w:ascii="仿宋_GB2312" w:eastAsia="仿宋_GB2312"/>
          <w:b w:val="0"/>
          <w:bCs w:val="0"/>
          <w:color w:val="000000" w:themeColor="text1"/>
          <w:sz w:val="32"/>
          <w:szCs w:val="32"/>
          <w:highlight w:val="none"/>
          <w:lang w:val="en-US" w:eastAsia="zh-CN"/>
          <w14:textFill>
            <w14:solidFill>
              <w14:schemeClr w14:val="tx1"/>
            </w14:solidFill>
          </w14:textFill>
        </w:rPr>
        <w:t>解决了政府正常行政运行能力，</w:t>
      </w:r>
      <w:r>
        <w:rPr>
          <w:rFonts w:hint="eastAsia" w:ascii="仿宋_GB2312" w:eastAsia="仿宋_GB2312"/>
          <w:b w:val="0"/>
          <w:bCs w:val="0"/>
          <w:color w:val="auto"/>
          <w:sz w:val="32"/>
          <w:szCs w:val="32"/>
          <w:highlight w:val="none"/>
          <w:lang w:val="en-US" w:eastAsia="zh-CN"/>
        </w:rPr>
        <w:t>提升了乡政府基层政权建设。</w:t>
      </w:r>
    </w:p>
    <w:p>
      <w:pPr>
        <w:pageBreakBefore w:val="0"/>
        <w:kinsoku/>
        <w:wordWrap/>
        <w:overflowPunct/>
        <w:topLinePunct w:val="0"/>
        <w:autoSpaceDE/>
        <w:autoSpaceDN/>
        <w:bidi w:val="0"/>
        <w:spacing w:line="570" w:lineRule="exact"/>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综上，该指标分值20分，</w:t>
      </w:r>
      <w:r>
        <w:rPr>
          <w:rFonts w:hint="eastAsia" w:ascii="仿宋_GB2312" w:eastAsia="仿宋_GB2312"/>
          <w:color w:val="000000" w:themeColor="text1"/>
          <w:sz w:val="32"/>
          <w:szCs w:val="32"/>
          <w:highlight w:val="none"/>
          <w:lang w:val="en-US" w:eastAsia="zh-CN"/>
          <w14:textFill>
            <w14:solidFill>
              <w14:schemeClr w14:val="tx1"/>
            </w14:solidFill>
          </w14:textFill>
        </w:rPr>
        <w:t>得20</w:t>
      </w:r>
      <w:r>
        <w:rPr>
          <w:rFonts w:hint="eastAsia" w:ascii="仿宋_GB2312" w:eastAsia="仿宋_GB2312"/>
          <w:color w:val="auto"/>
          <w:sz w:val="32"/>
          <w:szCs w:val="32"/>
          <w:highlight w:val="none"/>
          <w:lang w:val="en-US" w:eastAsia="zh-CN"/>
        </w:rPr>
        <w:t>分。</w:t>
      </w:r>
    </w:p>
    <w:p>
      <w:pPr>
        <w:pStyle w:val="4"/>
        <w:pageBreakBefore w:val="0"/>
        <w:kinsoku/>
        <w:wordWrap/>
        <w:overflowPunct/>
        <w:topLinePunct w:val="0"/>
        <w:autoSpaceDE/>
        <w:autoSpaceDN/>
        <w:bidi w:val="0"/>
        <w:spacing w:line="570" w:lineRule="exact"/>
        <w:ind w:firstLine="643" w:firstLineChars="200"/>
        <w:jc w:val="both"/>
        <w:textAlignment w:val="auto"/>
        <w:rPr>
          <w:rFonts w:hint="default" w:ascii="仿宋_GB2312" w:eastAsia="楷体_GB2312"/>
          <w:bCs/>
          <w:spacing w:val="-4"/>
          <w:sz w:val="32"/>
          <w:szCs w:val="32"/>
          <w:highlight w:val="none"/>
          <w:lang w:val="en-US" w:eastAsia="zh-CN"/>
        </w:rPr>
      </w:pPr>
      <w:r>
        <w:rPr>
          <w:rFonts w:hint="eastAsia" w:ascii="楷体_GB2312" w:eastAsia="楷体_GB2312"/>
          <w:color w:val="000000" w:themeColor="text1"/>
          <w:szCs w:val="32"/>
          <w14:textFill>
            <w14:solidFill>
              <w14:schemeClr w14:val="tx1"/>
            </w14:solidFill>
          </w14:textFill>
        </w:rPr>
        <w:t>（</w:t>
      </w:r>
      <w:r>
        <w:rPr>
          <w:rFonts w:hint="eastAsia" w:ascii="楷体_GB2312" w:eastAsia="楷体_GB2312"/>
          <w:color w:val="000000" w:themeColor="text1"/>
          <w:szCs w:val="32"/>
          <w:lang w:val="en-US" w:eastAsia="zh-CN"/>
          <w14:textFill>
            <w14:solidFill>
              <w14:schemeClr w14:val="tx1"/>
            </w14:solidFill>
          </w14:textFill>
        </w:rPr>
        <w:t>五</w:t>
      </w:r>
      <w:r>
        <w:rPr>
          <w:rFonts w:hint="eastAsia" w:ascii="楷体_GB2312" w:eastAsia="楷体_GB2312"/>
          <w:color w:val="000000" w:themeColor="text1"/>
          <w:szCs w:val="32"/>
          <w14:textFill>
            <w14:solidFill>
              <w14:schemeClr w14:val="tx1"/>
            </w14:solidFill>
          </w14:textFill>
        </w:rPr>
        <w:t>）</w:t>
      </w:r>
      <w:r>
        <w:rPr>
          <w:rFonts w:hint="eastAsia" w:ascii="楷体_GB2312" w:eastAsia="楷体_GB2312"/>
          <w:color w:val="000000" w:themeColor="text1"/>
          <w:szCs w:val="32"/>
          <w:lang w:val="en-US" w:eastAsia="zh-CN"/>
          <w14:textFill>
            <w14:solidFill>
              <w14:schemeClr w14:val="tx1"/>
            </w14:solidFill>
          </w14:textFill>
        </w:rPr>
        <w:t>指标五：</w:t>
      </w:r>
    </w:p>
    <w:p>
      <w:pPr>
        <w:pageBreakBefore w:val="0"/>
        <w:kinsoku/>
        <w:wordWrap/>
        <w:overflowPunct/>
        <w:topLinePunct w:val="0"/>
        <w:autoSpaceDE/>
        <w:autoSpaceDN/>
        <w:bidi w:val="0"/>
        <w:spacing w:line="570" w:lineRule="exact"/>
        <w:ind w:firstLine="640" w:firstLineChars="200"/>
        <w:jc w:val="both"/>
        <w:textAlignment w:val="auto"/>
        <w:rPr>
          <w:rFonts w:hint="eastAsia" w:ascii="仿宋_GB2312" w:eastAsia="仿宋_GB2312"/>
          <w:b w:val="0"/>
          <w:bCs w:val="0"/>
          <w:color w:val="000000" w:themeColor="text1"/>
          <w:sz w:val="32"/>
          <w:szCs w:val="32"/>
          <w:highlight w:val="yellow"/>
          <w:lang w:val="en-US" w:eastAsia="zh-CN"/>
          <w14:textFill>
            <w14:solidFill>
              <w14:schemeClr w14:val="tx1"/>
            </w14:solidFill>
          </w14:textFill>
        </w:rPr>
      </w:pPr>
      <w:r>
        <w:rPr>
          <w:rFonts w:hint="eastAsia" w:ascii="仿宋_GB2312" w:eastAsia="仿宋_GB2312"/>
          <w:b w:val="0"/>
          <w:bCs w:val="0"/>
          <w:sz w:val="32"/>
          <w:szCs w:val="32"/>
          <w:highlight w:val="none"/>
        </w:rPr>
        <w:t>“</w:t>
      </w:r>
      <w:r>
        <w:rPr>
          <w:rFonts w:hint="eastAsia" w:ascii="仿宋_GB2312" w:eastAsia="仿宋_GB2312"/>
          <w:b w:val="0"/>
          <w:bCs w:val="0"/>
          <w:color w:val="000000" w:themeColor="text1"/>
          <w:sz w:val="32"/>
          <w:szCs w:val="32"/>
          <w:highlight w:val="none"/>
          <w14:textFill>
            <w14:solidFill>
              <w14:schemeClr w14:val="tx1"/>
            </w14:solidFill>
          </w14:textFill>
        </w:rPr>
        <w:t>提升服务群众满意度，项目受益对象满意度</w:t>
      </w:r>
      <w:r>
        <w:rPr>
          <w:rFonts w:hint="eastAsia" w:ascii="仿宋_GB2312" w:eastAsia="仿宋_GB2312"/>
          <w:b w:val="0"/>
          <w:bCs w:val="0"/>
          <w:sz w:val="32"/>
          <w:szCs w:val="32"/>
          <w:highlight w:val="none"/>
        </w:rPr>
        <w:t>”指标</w:t>
      </w:r>
      <w:r>
        <w:rPr>
          <w:rFonts w:ascii="仿宋_GB2312" w:eastAsia="仿宋_GB2312"/>
          <w:b w:val="0"/>
          <w:bCs w:val="0"/>
          <w:sz w:val="32"/>
          <w:szCs w:val="32"/>
          <w:highlight w:val="none"/>
        </w:rPr>
        <w:t>，</w:t>
      </w:r>
      <w:r>
        <w:rPr>
          <w:rFonts w:hint="eastAsia" w:ascii="仿宋_GB2312" w:eastAsia="仿宋_GB2312"/>
          <w:b w:val="0"/>
          <w:bCs w:val="0"/>
          <w:sz w:val="32"/>
          <w:szCs w:val="32"/>
          <w:highlight w:val="none"/>
        </w:rPr>
        <w:t>预期指标值为“</w:t>
      </w:r>
      <w:r>
        <w:rPr>
          <w:rFonts w:hint="eastAsia" w:ascii="仿宋_GB2312" w:eastAsia="仿宋_GB2312"/>
          <w:b w:val="0"/>
          <w:bCs w:val="0"/>
          <w:color w:val="000000" w:themeColor="text1"/>
          <w:sz w:val="32"/>
          <w:szCs w:val="32"/>
          <w:highlight w:val="none"/>
          <w:lang w:val="en-US" w:eastAsia="zh-CN"/>
          <w14:textFill>
            <w14:solidFill>
              <w14:schemeClr w14:val="tx1"/>
            </w14:solidFill>
          </w14:textFill>
        </w:rPr>
        <w:t xml:space="preserve">&gt;=95% </w:t>
      </w:r>
      <w:r>
        <w:rPr>
          <w:rFonts w:hint="eastAsia" w:ascii="仿宋_GB2312" w:eastAsia="仿宋_GB2312"/>
          <w:b w:val="0"/>
          <w:bCs w:val="0"/>
          <w:sz w:val="32"/>
          <w:szCs w:val="32"/>
          <w:highlight w:val="none"/>
        </w:rPr>
        <w:t>”，</w:t>
      </w:r>
      <w:r>
        <w:rPr>
          <w:rFonts w:hint="eastAsia" w:ascii="仿宋_GB2312" w:eastAsia="仿宋_GB2312"/>
          <w:b w:val="0"/>
          <w:bCs w:val="0"/>
          <w:sz w:val="32"/>
          <w:szCs w:val="32"/>
          <w:highlight w:val="none"/>
          <w:lang w:val="en-US" w:eastAsia="zh-CN"/>
        </w:rPr>
        <w:t>年中绩效运行监控完成值为“50% ”，全年</w:t>
      </w:r>
      <w:r>
        <w:rPr>
          <w:rFonts w:hint="eastAsia" w:ascii="仿宋_GB2312" w:eastAsia="仿宋_GB2312"/>
          <w:b w:val="0"/>
          <w:bCs w:val="0"/>
          <w:sz w:val="32"/>
          <w:szCs w:val="32"/>
          <w:highlight w:val="none"/>
        </w:rPr>
        <w:t>实际完成指标值为“</w:t>
      </w:r>
      <w:r>
        <w:rPr>
          <w:rFonts w:hint="eastAsia" w:ascii="仿宋_GB2312" w:eastAsia="仿宋_GB2312"/>
          <w:b w:val="0"/>
          <w:bCs w:val="0"/>
          <w:sz w:val="32"/>
          <w:szCs w:val="32"/>
          <w:highlight w:val="none"/>
          <w:lang w:val="en-US" w:eastAsia="zh-CN"/>
        </w:rPr>
        <w:t xml:space="preserve">100% </w:t>
      </w:r>
      <w:r>
        <w:rPr>
          <w:rFonts w:hint="eastAsia" w:ascii="仿宋_GB2312" w:eastAsia="仿宋_GB2312"/>
          <w:b w:val="0"/>
          <w:bCs w:val="0"/>
          <w:sz w:val="32"/>
          <w:szCs w:val="32"/>
          <w:highlight w:val="none"/>
        </w:rPr>
        <w:t>”，</w:t>
      </w:r>
      <w:r>
        <w:rPr>
          <w:rFonts w:hint="eastAsia" w:ascii="仿宋_GB2312" w:eastAsia="仿宋_GB2312"/>
          <w:b w:val="0"/>
          <w:bCs w:val="0"/>
          <w:sz w:val="32"/>
          <w:szCs w:val="32"/>
          <w:highlight w:val="none"/>
          <w:lang w:val="en-US" w:eastAsia="zh-CN"/>
        </w:rPr>
        <w:t>全年</w:t>
      </w:r>
      <w:r>
        <w:rPr>
          <w:rFonts w:hint="eastAsia" w:ascii="仿宋_GB2312" w:eastAsia="仿宋_GB2312"/>
          <w:b w:val="0"/>
          <w:bCs w:val="0"/>
          <w:sz w:val="32"/>
          <w:szCs w:val="32"/>
          <w:highlight w:val="none"/>
        </w:rPr>
        <w:t>指标完成率为</w:t>
      </w:r>
      <w:r>
        <w:rPr>
          <w:rFonts w:hint="eastAsia"/>
          <w:b w:val="0"/>
          <w:bCs w:val="0"/>
          <w:sz w:val="32"/>
          <w:szCs w:val="32"/>
          <w:highlight w:val="none"/>
          <w:lang w:val="en-US" w:eastAsia="zh-CN"/>
        </w:rPr>
        <w:t>100</w:t>
      </w:r>
      <w:r>
        <w:rPr>
          <w:rFonts w:hint="eastAsia" w:ascii="仿宋_GB2312" w:eastAsia="仿宋_GB2312"/>
          <w:b w:val="0"/>
          <w:bCs w:val="0"/>
          <w:sz w:val="32"/>
          <w:szCs w:val="32"/>
          <w:highlight w:val="none"/>
        </w:rPr>
        <w:t>%</w:t>
      </w:r>
      <w:r>
        <w:rPr>
          <w:rFonts w:hint="eastAsia" w:ascii="仿宋_GB2312" w:eastAsia="仿宋_GB2312"/>
          <w:b w:val="0"/>
          <w:bCs w:val="0"/>
          <w:sz w:val="32"/>
          <w:szCs w:val="32"/>
          <w:highlight w:val="none"/>
          <w:lang w:eastAsia="zh-CN"/>
        </w:rPr>
        <w:t>。</w:t>
      </w:r>
      <w:r>
        <w:rPr>
          <w:rFonts w:hint="eastAsia" w:ascii="仿宋_GB2312" w:eastAsia="仿宋_GB2312"/>
          <w:b w:val="0"/>
          <w:bCs w:val="0"/>
          <w:sz w:val="32"/>
          <w:szCs w:val="32"/>
          <w:highlight w:val="none"/>
          <w:lang w:val="en-US" w:eastAsia="zh-CN"/>
        </w:rPr>
        <w:t>年中绩效运行监控完成值与全年</w:t>
      </w:r>
      <w:r>
        <w:rPr>
          <w:rFonts w:hint="eastAsia" w:ascii="仿宋_GB2312" w:eastAsia="仿宋_GB2312"/>
          <w:b w:val="0"/>
          <w:bCs w:val="0"/>
          <w:sz w:val="32"/>
          <w:szCs w:val="32"/>
          <w:highlight w:val="none"/>
        </w:rPr>
        <w:t>指标完成</w:t>
      </w:r>
      <w:r>
        <w:rPr>
          <w:rFonts w:hint="eastAsia" w:ascii="仿宋_GB2312" w:eastAsia="仿宋_GB2312"/>
          <w:b w:val="0"/>
          <w:bCs w:val="0"/>
          <w:sz w:val="32"/>
          <w:szCs w:val="32"/>
          <w:highlight w:val="none"/>
          <w:lang w:val="en-US" w:eastAsia="zh-CN"/>
        </w:rPr>
        <w:t>值均不存在偏差。全年本单位履职尽责，严格贯彻了各项工作要求，各项规章制度，落实了</w:t>
      </w:r>
      <w:r>
        <w:rPr>
          <w:rFonts w:hint="eastAsia" w:ascii="仿宋_GB2312" w:eastAsia="仿宋_GB2312"/>
          <w:b w:val="0"/>
          <w:bCs w:val="0"/>
          <w:color w:val="000000" w:themeColor="text1"/>
          <w:sz w:val="32"/>
          <w:szCs w:val="32"/>
          <w:highlight w:val="none"/>
          <w:lang w:val="en-US" w:eastAsia="zh-CN"/>
          <w14:textFill>
            <w14:solidFill>
              <w14:schemeClr w14:val="tx1"/>
            </w14:solidFill>
          </w14:textFill>
        </w:rPr>
        <w:t>镇政府人员工资及时发放，日常办公活动正常开展任务。高效发挥镇政府各项职能</w:t>
      </w:r>
      <w:r>
        <w:rPr>
          <w:rFonts w:hint="eastAsia"/>
          <w:b w:val="0"/>
          <w:bCs w:val="0"/>
          <w:color w:val="000000" w:themeColor="text1"/>
          <w:sz w:val="32"/>
          <w:szCs w:val="32"/>
          <w:highlight w:val="none"/>
          <w:lang w:val="en-US" w:eastAsia="zh-CN"/>
          <w14:textFill>
            <w14:solidFill>
              <w14:schemeClr w14:val="tx1"/>
            </w14:solidFill>
          </w14:textFill>
        </w:rPr>
        <w:t>，提升政府在职工作人员及村干部人员业务水平、工作能力，更好的服务群众，提高</w:t>
      </w:r>
      <w:r>
        <w:rPr>
          <w:rFonts w:hint="eastAsia" w:ascii="仿宋_GB2312" w:eastAsia="仿宋_GB2312"/>
          <w:b w:val="0"/>
          <w:bCs w:val="0"/>
          <w:color w:val="000000" w:themeColor="text1"/>
          <w:sz w:val="32"/>
          <w:szCs w:val="32"/>
          <w:highlight w:val="none"/>
          <w:lang w:val="en-US" w:eastAsia="zh-CN"/>
          <w14:textFill>
            <w14:solidFill>
              <w14:schemeClr w14:val="tx1"/>
            </w14:solidFill>
          </w14:textFill>
        </w:rPr>
        <w:t>群众幸福感。</w:t>
      </w:r>
    </w:p>
    <w:p>
      <w:pPr>
        <w:pageBreakBefore w:val="0"/>
        <w:kinsoku/>
        <w:wordWrap/>
        <w:overflowPunct/>
        <w:topLinePunct w:val="0"/>
        <w:autoSpaceDE/>
        <w:autoSpaceDN/>
        <w:bidi w:val="0"/>
        <w:spacing w:line="570" w:lineRule="exact"/>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综上，该指标分值15分</w:t>
      </w:r>
      <w:r>
        <w:rPr>
          <w:rFonts w:hint="eastAsia" w:ascii="仿宋_GB2312" w:eastAsia="仿宋_GB2312"/>
          <w:color w:val="000000" w:themeColor="text1"/>
          <w:sz w:val="32"/>
          <w:szCs w:val="32"/>
          <w:highlight w:val="none"/>
          <w:lang w:val="en-US" w:eastAsia="zh-CN"/>
          <w14:textFill>
            <w14:solidFill>
              <w14:schemeClr w14:val="tx1"/>
            </w14:solidFill>
          </w14:textFill>
        </w:rPr>
        <w:t>，得15</w:t>
      </w:r>
      <w:r>
        <w:rPr>
          <w:rFonts w:hint="eastAsia" w:ascii="仿宋_GB2312" w:eastAsia="仿宋_GB2312"/>
          <w:color w:val="auto"/>
          <w:sz w:val="32"/>
          <w:szCs w:val="32"/>
          <w:highlight w:val="none"/>
          <w:lang w:val="en-US" w:eastAsia="zh-CN"/>
        </w:rPr>
        <w:t>分。</w:t>
      </w:r>
    </w:p>
    <w:p>
      <w:pPr>
        <w:pStyle w:val="3"/>
        <w:pageBreakBefore w:val="0"/>
        <w:numPr>
          <w:ilvl w:val="0"/>
          <w:numId w:val="4"/>
        </w:numPr>
        <w:kinsoku/>
        <w:wordWrap/>
        <w:overflowPunct/>
        <w:topLinePunct w:val="0"/>
        <w:autoSpaceDE/>
        <w:autoSpaceDN/>
        <w:bidi w:val="0"/>
        <w:spacing w:line="570" w:lineRule="exact"/>
        <w:ind w:firstLine="640" w:firstLineChars="200"/>
        <w:jc w:val="both"/>
        <w:textAlignment w:val="auto"/>
        <w:rPr>
          <w:rFonts w:hint="eastAsia" w:ascii="黑体" w:hAnsi="黑体"/>
          <w:b w:val="0"/>
          <w:sz w:val="32"/>
          <w:szCs w:val="32"/>
          <w:lang w:val="en-US" w:eastAsia="zh-CN"/>
        </w:rPr>
      </w:pPr>
      <w:r>
        <w:rPr>
          <w:rFonts w:hint="eastAsia" w:ascii="黑体" w:hAnsi="黑体"/>
          <w:b w:val="0"/>
          <w:sz w:val="32"/>
          <w:szCs w:val="32"/>
          <w:lang w:val="en-US" w:eastAsia="zh-CN"/>
        </w:rPr>
        <w:t>评价结论</w:t>
      </w:r>
    </w:p>
    <w:p>
      <w:pPr>
        <w:pageBreakBefore w:val="0"/>
        <w:kinsoku/>
        <w:wordWrap/>
        <w:overflowPunct/>
        <w:topLinePunct w:val="0"/>
        <w:autoSpaceDE/>
        <w:autoSpaceDN/>
        <w:bidi w:val="0"/>
        <w:spacing w:line="570" w:lineRule="exact"/>
        <w:ind w:firstLine="640" w:firstLineChars="200"/>
        <w:jc w:val="both"/>
        <w:textAlignment w:val="auto"/>
        <w:rPr>
          <w:rFonts w:hint="default"/>
          <w:lang w:val="en-US" w:eastAsia="zh-CN"/>
        </w:rPr>
      </w:pPr>
      <w:r>
        <w:rPr>
          <w:rFonts w:hint="eastAsia" w:ascii="仿宋_GB2312" w:eastAsia="仿宋_GB2312"/>
          <w:sz w:val="32"/>
          <w:szCs w:val="32"/>
          <w:highlight w:val="none"/>
          <w:lang w:val="en-US" w:eastAsia="zh-CN"/>
        </w:rPr>
        <w:t>2023年度裕民县吉也克镇人民政府</w:t>
      </w:r>
      <w:r>
        <w:rPr>
          <w:rFonts w:hint="eastAsia" w:ascii="仿宋_GB2312" w:eastAsia="仿宋_GB2312"/>
          <w:color w:val="auto"/>
          <w:sz w:val="32"/>
          <w:szCs w:val="32"/>
          <w:highlight w:val="none"/>
          <w:lang w:val="en-US" w:eastAsia="zh-CN"/>
        </w:rPr>
        <w:t>部门整体支出绩效自评综合得分100分</w:t>
      </w:r>
      <w:r>
        <w:rPr>
          <w:rFonts w:hint="eastAsia" w:ascii="仿宋_GB2312" w:eastAsia="仿宋_GB2312"/>
          <w:color w:val="auto"/>
          <w:sz w:val="32"/>
          <w:szCs w:val="32"/>
          <w:highlight w:val="none"/>
        </w:rPr>
        <w:t>，</w:t>
      </w:r>
      <w:r>
        <w:rPr>
          <w:rFonts w:hint="eastAsia" w:ascii="仿宋_GB2312" w:eastAsia="仿宋_GB2312"/>
          <w:sz w:val="32"/>
          <w:szCs w:val="32"/>
          <w:highlight w:val="none"/>
          <w:lang w:val="en-US" w:eastAsia="zh-CN"/>
        </w:rPr>
        <w:t>评价结果为“优”。</w:t>
      </w:r>
    </w:p>
    <w:p>
      <w:pPr>
        <w:pStyle w:val="3"/>
        <w:pageBreakBefore w:val="0"/>
        <w:kinsoku/>
        <w:wordWrap/>
        <w:overflowPunct/>
        <w:topLinePunct w:val="0"/>
        <w:autoSpaceDE/>
        <w:autoSpaceDN/>
        <w:bidi w:val="0"/>
        <w:spacing w:line="570" w:lineRule="exact"/>
        <w:ind w:firstLine="640" w:firstLineChars="200"/>
        <w:jc w:val="both"/>
        <w:textAlignment w:val="auto"/>
        <w:rPr>
          <w:rFonts w:hint="default" w:ascii="仿宋_GB2312" w:eastAsia="仿宋_GB2312"/>
          <w:color w:val="FF0000"/>
          <w:spacing w:val="-4"/>
          <w:sz w:val="32"/>
          <w:szCs w:val="32"/>
          <w:highlight w:val="yellow"/>
          <w:lang w:val="en-US" w:eastAsia="zh-CN"/>
        </w:rPr>
      </w:pPr>
      <w:r>
        <w:rPr>
          <w:rFonts w:hint="eastAsia" w:ascii="黑体" w:hAnsi="黑体"/>
          <w:b w:val="0"/>
          <w:sz w:val="32"/>
          <w:szCs w:val="32"/>
          <w:lang w:val="en-US" w:eastAsia="zh-CN"/>
        </w:rPr>
        <w:t>五</w:t>
      </w:r>
      <w:r>
        <w:rPr>
          <w:rFonts w:hint="eastAsia" w:ascii="黑体" w:hAnsi="黑体"/>
          <w:b w:val="0"/>
          <w:sz w:val="32"/>
          <w:szCs w:val="32"/>
        </w:rPr>
        <w:t>、存在的主要问题</w:t>
      </w:r>
      <w:r>
        <w:rPr>
          <w:rFonts w:hint="eastAsia" w:ascii="黑体" w:hAnsi="黑体"/>
          <w:b w:val="0"/>
          <w:sz w:val="32"/>
          <w:szCs w:val="32"/>
          <w:lang w:val="en-US" w:eastAsia="zh-CN"/>
        </w:rPr>
        <w:t>及原因分析</w:t>
      </w:r>
    </w:p>
    <w:p>
      <w:pPr>
        <w:pStyle w:val="4"/>
        <w:pageBreakBefore w:val="0"/>
        <w:kinsoku/>
        <w:wordWrap/>
        <w:overflowPunct/>
        <w:topLinePunct w:val="0"/>
        <w:autoSpaceDE/>
        <w:autoSpaceDN/>
        <w:bidi w:val="0"/>
        <w:spacing w:line="570" w:lineRule="exact"/>
        <w:ind w:firstLine="643" w:firstLineChars="200"/>
        <w:jc w:val="both"/>
        <w:textAlignment w:val="auto"/>
        <w:rPr>
          <w:rFonts w:hint="default" w:ascii="楷体_GB2312" w:eastAsia="楷体_GB2312"/>
          <w:color w:val="000000" w:themeColor="text1"/>
          <w:szCs w:val="32"/>
          <w:lang w:val="en-US" w:eastAsia="zh-CN"/>
          <w14:textFill>
            <w14:solidFill>
              <w14:schemeClr w14:val="tx1"/>
            </w14:solidFill>
          </w14:textFill>
        </w:rPr>
      </w:pPr>
      <w:r>
        <w:rPr>
          <w:rFonts w:hint="eastAsia" w:ascii="楷体_GB2312" w:eastAsia="楷体_GB2312"/>
          <w:color w:val="000000" w:themeColor="text1"/>
          <w:szCs w:val="32"/>
          <w:lang w:val="en-US" w:eastAsia="zh-CN"/>
          <w14:textFill>
            <w14:solidFill>
              <w14:schemeClr w14:val="tx1"/>
            </w14:solidFill>
          </w14:textFill>
        </w:rPr>
        <w:t>（一）绩效管理方面</w:t>
      </w:r>
    </w:p>
    <w:p>
      <w:pPr>
        <w:pageBreakBefore w:val="0"/>
        <w:numPr>
          <w:ilvl w:val="0"/>
          <w:numId w:val="5"/>
        </w:numPr>
        <w:kinsoku/>
        <w:wordWrap/>
        <w:overflowPunct/>
        <w:topLinePunct w:val="0"/>
        <w:autoSpaceDE/>
        <w:autoSpaceDN/>
        <w:bidi w:val="0"/>
        <w:spacing w:line="570" w:lineRule="exact"/>
        <w:ind w:firstLine="640" w:firstLineChars="200"/>
        <w:jc w:val="both"/>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预算绩效管理工作时间紧、任务重、专业性强，我单位的预算绩效存在一些不足之处需要完善。</w:t>
      </w:r>
    </w:p>
    <w:p>
      <w:pPr>
        <w:pageBreakBefore w:val="0"/>
        <w:numPr>
          <w:ilvl w:val="0"/>
          <w:numId w:val="5"/>
        </w:numPr>
        <w:kinsoku/>
        <w:wordWrap/>
        <w:overflowPunct/>
        <w:topLinePunct w:val="0"/>
        <w:autoSpaceDE/>
        <w:autoSpaceDN/>
        <w:bidi w:val="0"/>
        <w:spacing w:line="570" w:lineRule="exact"/>
        <w:ind w:firstLine="640" w:firstLineChars="200"/>
        <w:jc w:val="both"/>
        <w:textAlignment w:val="auto"/>
        <w:rPr>
          <w:rFonts w:hint="eastAsia" w:ascii="楷体_GB2312" w:eastAsia="楷体_GB2312"/>
          <w:color w:val="000000" w:themeColor="text1"/>
          <w:szCs w:val="32"/>
          <w:lang w:val="en-US" w:eastAsia="zh-CN"/>
          <w14:textFill>
            <w14:solidFill>
              <w14:schemeClr w14:val="tx1"/>
            </w14:solidFill>
          </w14:textFill>
        </w:rPr>
      </w:pPr>
      <w:r>
        <w:rPr>
          <w:rFonts w:hint="eastAsia" w:ascii="仿宋_GB2312" w:eastAsia="仿宋_GB2312"/>
          <w:sz w:val="32"/>
          <w:szCs w:val="32"/>
          <w:highlight w:val="none"/>
          <w:lang w:val="en-US" w:eastAsia="zh-CN"/>
        </w:rPr>
        <w:t>预算绩效管理缺乏系统的培训，造成预算绩效管理指导不到位、认识不到位，理解不充分，对预算绩效管理工作重点把握不到位。</w:t>
      </w:r>
    </w:p>
    <w:p>
      <w:pPr>
        <w:pageBreakBefore w:val="0"/>
        <w:numPr>
          <w:ilvl w:val="0"/>
          <w:numId w:val="6"/>
        </w:numPr>
        <w:kinsoku/>
        <w:wordWrap/>
        <w:overflowPunct/>
        <w:topLinePunct w:val="0"/>
        <w:autoSpaceDE/>
        <w:autoSpaceDN/>
        <w:bidi w:val="0"/>
        <w:spacing w:line="570" w:lineRule="exact"/>
        <w:ind w:firstLine="643" w:firstLineChars="200"/>
        <w:jc w:val="both"/>
        <w:textAlignment w:val="auto"/>
        <w:rPr>
          <w:rFonts w:hint="eastAsia" w:ascii="楷体_GB2312" w:eastAsia="楷体_GB2312"/>
          <w:b/>
          <w:bCs/>
          <w:color w:val="000000" w:themeColor="text1"/>
          <w:szCs w:val="32"/>
          <w:lang w:val="en-US" w:eastAsia="zh-CN"/>
          <w14:textFill>
            <w14:solidFill>
              <w14:schemeClr w14:val="tx1"/>
            </w14:solidFill>
          </w14:textFill>
        </w:rPr>
      </w:pPr>
      <w:r>
        <w:rPr>
          <w:rFonts w:hint="eastAsia" w:ascii="仿宋_GB2312" w:eastAsia="仿宋_GB2312"/>
          <w:b/>
          <w:bCs/>
          <w:sz w:val="32"/>
          <w:szCs w:val="32"/>
          <w:highlight w:val="none"/>
          <w:lang w:val="en-US" w:eastAsia="zh-CN"/>
        </w:rPr>
        <w:t>资产管理制度不</w:t>
      </w:r>
      <w:r>
        <w:rPr>
          <w:rFonts w:hint="eastAsia" w:ascii="楷体_GB2312" w:eastAsia="楷体_GB2312"/>
          <w:b/>
          <w:bCs/>
          <w:color w:val="000000" w:themeColor="text1"/>
          <w:szCs w:val="32"/>
          <w:lang w:val="en-US" w:eastAsia="zh-CN"/>
          <w14:textFill>
            <w14:solidFill>
              <w14:schemeClr w14:val="tx1"/>
            </w14:solidFill>
          </w14:textFill>
        </w:rPr>
        <w:t>资产管理方面</w:t>
      </w:r>
    </w:p>
    <w:p>
      <w:pPr>
        <w:pageBreakBefore w:val="0"/>
        <w:numPr>
          <w:ilvl w:val="0"/>
          <w:numId w:val="7"/>
        </w:numPr>
        <w:kinsoku/>
        <w:wordWrap/>
        <w:overflowPunct/>
        <w:topLinePunct w:val="0"/>
        <w:autoSpaceDE/>
        <w:autoSpaceDN/>
        <w:bidi w:val="0"/>
        <w:spacing w:line="570" w:lineRule="exact"/>
        <w:ind w:firstLine="640" w:firstLineChars="200"/>
        <w:jc w:val="both"/>
        <w:textAlignment w:val="auto"/>
        <w:rPr>
          <w:rFonts w:hint="eastAsia" w:ascii="仿宋_GB2312" w:eastAsia="仿宋_GB2312"/>
          <w:b w:val="0"/>
          <w:bCs/>
          <w:sz w:val="32"/>
          <w:szCs w:val="32"/>
          <w:highlight w:val="none"/>
          <w:lang w:val="en-US" w:eastAsia="zh-CN"/>
        </w:rPr>
      </w:pPr>
      <w:r>
        <w:rPr>
          <w:rFonts w:hint="eastAsia" w:ascii="仿宋_GB2312" w:eastAsia="仿宋_GB2312"/>
          <w:b w:val="0"/>
          <w:bCs/>
          <w:sz w:val="32"/>
          <w:szCs w:val="32"/>
          <w:highlight w:val="none"/>
          <w:lang w:val="en-US" w:eastAsia="zh-CN"/>
        </w:rPr>
        <w:t>规范、不完整。例如资产出租出借资产未履行报批手续、未委托第三方中介机构进行租金评估、未通过合法的交易机构进行公开招租。</w:t>
      </w:r>
    </w:p>
    <w:p>
      <w:pPr>
        <w:pageBreakBefore w:val="0"/>
        <w:numPr>
          <w:ilvl w:val="0"/>
          <w:numId w:val="0"/>
        </w:numPr>
        <w:kinsoku/>
        <w:wordWrap/>
        <w:overflowPunct/>
        <w:topLinePunct w:val="0"/>
        <w:autoSpaceDE/>
        <w:autoSpaceDN/>
        <w:bidi w:val="0"/>
        <w:spacing w:line="570" w:lineRule="exact"/>
        <w:ind w:firstLine="640" w:firstLineChars="200"/>
        <w:jc w:val="both"/>
        <w:textAlignment w:val="auto"/>
        <w:rPr>
          <w:rFonts w:hint="eastAsia" w:ascii="仿宋_GB2312" w:eastAsia="仿宋_GB2312"/>
          <w:b w:val="0"/>
          <w:bCs/>
          <w:sz w:val="32"/>
          <w:szCs w:val="32"/>
          <w:highlight w:val="none"/>
          <w:lang w:val="en-US" w:eastAsia="zh-CN"/>
        </w:rPr>
      </w:pPr>
      <w:r>
        <w:rPr>
          <w:rFonts w:hint="eastAsia" w:ascii="仿宋_GB2312" w:eastAsia="仿宋_GB2312"/>
          <w:b w:val="0"/>
          <w:bCs/>
          <w:sz w:val="32"/>
          <w:szCs w:val="32"/>
          <w:highlight w:val="none"/>
          <w:lang w:val="en-US" w:eastAsia="zh-CN"/>
        </w:rPr>
        <w:t>2.</w:t>
      </w:r>
      <w:r>
        <w:rPr>
          <w:rFonts w:hint="eastAsia" w:ascii="仿宋_GB2312" w:hAnsi="Arial" w:eastAsia="仿宋_GB2312" w:cs="Times New Roman"/>
          <w:b w:val="0"/>
          <w:bCs/>
          <w:kern w:val="2"/>
          <w:sz w:val="32"/>
          <w:szCs w:val="32"/>
          <w:highlight w:val="none"/>
          <w:lang w:val="en-US" w:eastAsia="zh-CN" w:bidi="ar-SA"/>
        </w:rPr>
        <w:t>固定资产日常管理不够规范。没有安排专门的固定资产管理人员。</w:t>
      </w:r>
    </w:p>
    <w:p>
      <w:pPr>
        <w:pStyle w:val="4"/>
        <w:pageBreakBefore w:val="0"/>
        <w:numPr>
          <w:ilvl w:val="0"/>
          <w:numId w:val="8"/>
        </w:numPr>
        <w:kinsoku/>
        <w:wordWrap/>
        <w:overflowPunct/>
        <w:topLinePunct w:val="0"/>
        <w:autoSpaceDE/>
        <w:autoSpaceDN/>
        <w:bidi w:val="0"/>
        <w:spacing w:line="570" w:lineRule="exact"/>
        <w:ind w:firstLine="643" w:firstLineChars="200"/>
        <w:jc w:val="both"/>
        <w:textAlignment w:val="auto"/>
        <w:rPr>
          <w:rFonts w:hint="eastAsia" w:ascii="楷体_GB2312" w:eastAsia="楷体_GB2312"/>
          <w:color w:val="000000" w:themeColor="text1"/>
          <w:szCs w:val="32"/>
          <w:lang w:val="en-US" w:eastAsia="zh-CN"/>
          <w14:textFill>
            <w14:solidFill>
              <w14:schemeClr w14:val="tx1"/>
            </w14:solidFill>
          </w14:textFill>
        </w:rPr>
      </w:pPr>
      <w:r>
        <w:rPr>
          <w:rFonts w:hint="eastAsia" w:ascii="楷体_GB2312" w:eastAsia="楷体_GB2312"/>
          <w:color w:val="000000" w:themeColor="text1"/>
          <w:szCs w:val="32"/>
          <w:lang w:val="en-US" w:eastAsia="zh-CN"/>
          <w14:textFill>
            <w14:solidFill>
              <w14:schemeClr w14:val="tx1"/>
            </w14:solidFill>
          </w14:textFill>
        </w:rPr>
        <w:t>业务管理方面</w:t>
      </w:r>
    </w:p>
    <w:p>
      <w:pPr>
        <w:pageBreakBefore w:val="0"/>
        <w:kinsoku/>
        <w:wordWrap/>
        <w:overflowPunct/>
        <w:topLinePunct w:val="0"/>
        <w:autoSpaceDE/>
        <w:autoSpaceDN/>
        <w:bidi w:val="0"/>
        <w:spacing w:line="570" w:lineRule="exact"/>
        <w:ind w:firstLine="640" w:firstLineChars="200"/>
        <w:jc w:val="both"/>
        <w:textAlignment w:val="auto"/>
        <w:rPr>
          <w:rFonts w:hint="default" w:ascii="仿宋_GB2312" w:eastAsia="仿宋_GB2312"/>
          <w:b w:val="0"/>
          <w:bCs/>
          <w:sz w:val="32"/>
          <w:szCs w:val="32"/>
          <w:highlight w:val="none"/>
          <w:lang w:val="en-US" w:eastAsia="zh-CN"/>
        </w:rPr>
      </w:pPr>
      <w:r>
        <w:rPr>
          <w:rFonts w:hint="eastAsia" w:ascii="仿宋_GB2312" w:eastAsia="仿宋_GB2312"/>
          <w:b w:val="0"/>
          <w:bCs/>
          <w:sz w:val="32"/>
          <w:szCs w:val="32"/>
          <w:highlight w:val="none"/>
          <w:lang w:val="en-US" w:eastAsia="zh-CN"/>
        </w:rPr>
        <w:t>1.</w:t>
      </w:r>
      <w:r>
        <w:rPr>
          <w:rFonts w:hint="eastAsia" w:ascii="仿宋_GB2312" w:hAnsi="宋体" w:eastAsia="仿宋_GB2312"/>
          <w:b w:val="0"/>
          <w:bCs/>
          <w:sz w:val="32"/>
          <w:szCs w:val="32"/>
        </w:rPr>
        <w:t>财政年初公用经费不足。如：无预算招待费，实际会产生招待费支出；年初预算的车辆运行维护费，不能满足实际公用车辆运行维护费支出。</w:t>
      </w:r>
    </w:p>
    <w:p>
      <w:pPr>
        <w:pStyle w:val="4"/>
        <w:keepNext/>
        <w:keepLines/>
        <w:pageBreakBefore w:val="0"/>
        <w:widowControl w:val="0"/>
        <w:numPr>
          <w:ilvl w:val="0"/>
          <w:numId w:val="7"/>
        </w:numPr>
        <w:kinsoku/>
        <w:wordWrap/>
        <w:overflowPunct/>
        <w:topLinePunct w:val="0"/>
        <w:autoSpaceDE/>
        <w:autoSpaceDN/>
        <w:bidi w:val="0"/>
        <w:adjustRightInd/>
        <w:snapToGrid/>
        <w:spacing w:line="570" w:lineRule="exact"/>
        <w:ind w:left="0" w:leftChars="0" w:firstLine="640" w:firstLineChars="200"/>
        <w:jc w:val="both"/>
        <w:textAlignment w:val="auto"/>
        <w:rPr>
          <w:rFonts w:hint="eastAsia" w:ascii="仿宋_GB2312" w:eastAsia="仿宋_GB2312"/>
          <w:b w:val="0"/>
          <w:bCs/>
          <w:sz w:val="32"/>
          <w:szCs w:val="32"/>
          <w:highlight w:val="none"/>
          <w:lang w:val="en-US" w:eastAsia="zh-CN"/>
        </w:rPr>
      </w:pPr>
      <w:r>
        <w:rPr>
          <w:rFonts w:hint="eastAsia" w:ascii="仿宋_GB2312" w:eastAsia="仿宋_GB2312"/>
          <w:b w:val="0"/>
          <w:bCs/>
          <w:sz w:val="32"/>
          <w:szCs w:val="32"/>
          <w:highlight w:val="none"/>
          <w:lang w:val="en-US" w:eastAsia="zh-CN"/>
        </w:rPr>
        <w:t>项目管理制度不健全。</w:t>
      </w:r>
    </w:p>
    <w:p>
      <w:pPr>
        <w:pageBreakBefore w:val="0"/>
        <w:kinsoku/>
        <w:wordWrap/>
        <w:overflowPunct/>
        <w:topLinePunct w:val="0"/>
        <w:autoSpaceDE/>
        <w:autoSpaceDN/>
        <w:bidi w:val="0"/>
        <w:spacing w:line="570" w:lineRule="exact"/>
        <w:ind w:firstLine="640" w:firstLineChars="200"/>
        <w:jc w:val="both"/>
        <w:textAlignment w:val="auto"/>
        <w:rPr>
          <w:rFonts w:hint="default"/>
          <w:lang w:val="en-US" w:eastAsia="zh-CN"/>
        </w:rPr>
      </w:pPr>
      <w:r>
        <w:rPr>
          <w:rFonts w:hint="eastAsia" w:ascii="仿宋_GB2312" w:hAnsi="宋体" w:eastAsia="仿宋_GB2312"/>
          <w:b w:val="0"/>
          <w:bCs/>
          <w:sz w:val="32"/>
          <w:szCs w:val="32"/>
          <w:lang w:val="en-US" w:eastAsia="zh-CN"/>
        </w:rPr>
        <w:t>3.</w:t>
      </w:r>
      <w:r>
        <w:rPr>
          <w:rFonts w:hint="eastAsia" w:ascii="仿宋_GB2312" w:hAnsi="宋体" w:eastAsia="仿宋_GB2312"/>
          <w:b w:val="0"/>
          <w:bCs/>
          <w:sz w:val="32"/>
          <w:szCs w:val="32"/>
        </w:rPr>
        <w:t>项目实施具有极强的政府行为并依据政策推进，政策的执行风险和裕民县政府各相关职能部门的配合风险，对本项目建设有重大影响。</w:t>
      </w:r>
    </w:p>
    <w:p>
      <w:pPr>
        <w:pStyle w:val="4"/>
        <w:pageBreakBefore w:val="0"/>
        <w:numPr>
          <w:ilvl w:val="0"/>
          <w:numId w:val="8"/>
        </w:numPr>
        <w:kinsoku/>
        <w:wordWrap/>
        <w:overflowPunct/>
        <w:topLinePunct w:val="0"/>
        <w:autoSpaceDE/>
        <w:autoSpaceDN/>
        <w:bidi w:val="0"/>
        <w:spacing w:line="570" w:lineRule="exact"/>
        <w:ind w:firstLine="643" w:firstLineChars="200"/>
        <w:jc w:val="both"/>
        <w:textAlignment w:val="auto"/>
        <w:rPr>
          <w:rFonts w:hint="eastAsia" w:ascii="楷体_GB2312" w:eastAsia="楷体_GB2312"/>
          <w:color w:val="000000" w:themeColor="text1"/>
          <w:szCs w:val="32"/>
          <w:lang w:val="en-US" w:eastAsia="zh-CN"/>
          <w14:textFill>
            <w14:solidFill>
              <w14:schemeClr w14:val="tx1"/>
            </w14:solidFill>
          </w14:textFill>
        </w:rPr>
      </w:pPr>
      <w:r>
        <w:rPr>
          <w:rFonts w:hint="eastAsia" w:ascii="楷体_GB2312" w:eastAsia="楷体_GB2312"/>
          <w:color w:val="000000" w:themeColor="text1"/>
          <w:szCs w:val="32"/>
          <w:lang w:val="en-US" w:eastAsia="zh-CN"/>
          <w14:textFill>
            <w14:solidFill>
              <w14:schemeClr w14:val="tx1"/>
            </w14:solidFill>
          </w14:textFill>
        </w:rPr>
        <w:t>预算管理方面</w:t>
      </w:r>
    </w:p>
    <w:p>
      <w:pPr>
        <w:pStyle w:val="4"/>
        <w:keepNext/>
        <w:keepLines/>
        <w:pageBreakBefore w:val="0"/>
        <w:widowControl w:val="0"/>
        <w:numPr>
          <w:ilvl w:val="0"/>
          <w:numId w:val="0"/>
        </w:numPr>
        <w:kinsoku/>
        <w:wordWrap/>
        <w:overflowPunct/>
        <w:topLinePunct w:val="0"/>
        <w:autoSpaceDE/>
        <w:autoSpaceDN/>
        <w:bidi w:val="0"/>
        <w:adjustRightInd/>
        <w:snapToGrid/>
        <w:spacing w:line="570" w:lineRule="exact"/>
        <w:ind w:firstLine="640" w:firstLineChars="200"/>
        <w:jc w:val="both"/>
        <w:textAlignment w:val="auto"/>
        <w:rPr>
          <w:rFonts w:hint="eastAsia" w:ascii="仿宋_GB2312" w:eastAsia="仿宋_GB2312"/>
          <w:b w:val="0"/>
          <w:bCs/>
          <w:sz w:val="32"/>
          <w:szCs w:val="32"/>
          <w:highlight w:val="none"/>
          <w:lang w:val="en-US" w:eastAsia="zh-CN"/>
        </w:rPr>
      </w:pPr>
      <w:r>
        <w:rPr>
          <w:rFonts w:hint="eastAsia" w:ascii="仿宋_GB2312" w:eastAsia="仿宋_GB2312"/>
          <w:b w:val="0"/>
          <w:bCs/>
          <w:sz w:val="32"/>
          <w:szCs w:val="32"/>
          <w:highlight w:val="none"/>
          <w:lang w:val="en-US" w:eastAsia="zh-CN"/>
        </w:rPr>
        <w:t>1.经费预算编制精准度有待提高。由于预算执行中的不确定性，实际经费核算的科目、支出内容与预算会出现一定偏差。</w:t>
      </w:r>
    </w:p>
    <w:p>
      <w:pPr>
        <w:pageBreakBefore w:val="0"/>
        <w:widowControl w:val="0"/>
        <w:numPr>
          <w:ilvl w:val="0"/>
          <w:numId w:val="0"/>
        </w:numPr>
        <w:kinsoku/>
        <w:wordWrap/>
        <w:overflowPunct/>
        <w:topLinePunct w:val="0"/>
        <w:autoSpaceDE/>
        <w:autoSpaceDN/>
        <w:bidi w:val="0"/>
        <w:adjustRightInd/>
        <w:snapToGrid/>
        <w:spacing w:line="570" w:lineRule="exact"/>
        <w:ind w:firstLine="640" w:firstLineChars="200"/>
        <w:jc w:val="both"/>
        <w:textAlignment w:val="auto"/>
        <w:rPr>
          <w:rFonts w:hint="eastAsia" w:ascii="仿宋_GB2312" w:hAnsi="Arial" w:eastAsia="仿宋_GB2312" w:cs="Times New Roman"/>
          <w:b w:val="0"/>
          <w:bCs/>
          <w:kern w:val="2"/>
          <w:sz w:val="32"/>
          <w:szCs w:val="32"/>
          <w:highlight w:val="none"/>
          <w:lang w:val="en-US" w:eastAsia="zh-CN" w:bidi="ar-SA"/>
        </w:rPr>
      </w:pPr>
      <w:r>
        <w:rPr>
          <w:rFonts w:hint="eastAsia" w:ascii="仿宋_GB2312" w:eastAsia="仿宋_GB2312"/>
          <w:b w:val="0"/>
          <w:bCs/>
          <w:sz w:val="32"/>
          <w:szCs w:val="32"/>
          <w:highlight w:val="none"/>
          <w:lang w:val="en-US" w:eastAsia="zh-CN"/>
        </w:rPr>
        <w:t>2.财务人员业务素质有待进一步提高。由于缺乏系统学习，财务人员对预算绩效管理认识不到位、理解不充分，对预算绩效管理业务不了解、不熟悉，对工作重点把握不到位，由此造成绩效评价工作还未摆脱财务考评或验收的影响。</w:t>
      </w:r>
    </w:p>
    <w:p>
      <w:pPr>
        <w:pStyle w:val="3"/>
        <w:pageBreakBefore w:val="0"/>
        <w:kinsoku/>
        <w:wordWrap/>
        <w:overflowPunct/>
        <w:topLinePunct w:val="0"/>
        <w:autoSpaceDE/>
        <w:autoSpaceDN/>
        <w:bidi w:val="0"/>
        <w:spacing w:line="570" w:lineRule="exact"/>
        <w:ind w:firstLine="640" w:firstLineChars="200"/>
        <w:jc w:val="both"/>
        <w:textAlignment w:val="auto"/>
        <w:rPr>
          <w:rFonts w:ascii="仿宋_GB2312" w:eastAsia="仿宋_GB2312"/>
          <w:bCs/>
          <w:color w:val="FF0000"/>
          <w:spacing w:val="-4"/>
          <w:sz w:val="32"/>
          <w:szCs w:val="32"/>
          <w:lang w:eastAsia="zh-Hans"/>
        </w:rPr>
      </w:pPr>
      <w:r>
        <w:rPr>
          <w:rFonts w:hint="eastAsia" w:ascii="黑体" w:hAnsi="黑体"/>
          <w:b w:val="0"/>
          <w:sz w:val="32"/>
          <w:szCs w:val="32"/>
          <w:lang w:val="en-US" w:eastAsia="zh-CN"/>
        </w:rPr>
        <w:t>六</w:t>
      </w:r>
      <w:r>
        <w:rPr>
          <w:rFonts w:hint="eastAsia" w:ascii="黑体" w:hAnsi="黑体"/>
          <w:b w:val="0"/>
          <w:sz w:val="32"/>
          <w:szCs w:val="32"/>
        </w:rPr>
        <w:t>、改进措施和建议</w:t>
      </w:r>
    </w:p>
    <w:p>
      <w:pPr>
        <w:pStyle w:val="2"/>
        <w:pageBreakBefore w:val="0"/>
        <w:numPr>
          <w:ilvl w:val="0"/>
          <w:numId w:val="9"/>
        </w:numPr>
        <w:kinsoku/>
        <w:wordWrap/>
        <w:overflowPunct/>
        <w:topLinePunct w:val="0"/>
        <w:autoSpaceDE/>
        <w:autoSpaceDN/>
        <w:bidi w:val="0"/>
        <w:spacing w:line="570" w:lineRule="exact"/>
        <w:ind w:firstLine="643" w:firstLineChars="200"/>
        <w:jc w:val="both"/>
        <w:textAlignment w:val="auto"/>
        <w:rPr>
          <w:rFonts w:ascii="楷体_GB2312" w:hAnsi="楷体_GB2312" w:eastAsia="楷体_GB2312" w:cs="楷体_GB2312"/>
          <w:sz w:val="32"/>
          <w:lang w:eastAsia="zh-Hans"/>
        </w:rPr>
      </w:pPr>
      <w:r>
        <w:rPr>
          <w:rFonts w:hint="eastAsia" w:ascii="楷体_GB2312" w:hAnsi="楷体_GB2312" w:eastAsia="楷体_GB2312" w:cs="楷体_GB2312"/>
          <w:sz w:val="32"/>
          <w:lang w:eastAsia="zh-Hans"/>
        </w:rPr>
        <w:t>改进措施</w:t>
      </w:r>
    </w:p>
    <w:p>
      <w:pPr>
        <w:pageBreakBefore w:val="0"/>
        <w:kinsoku/>
        <w:wordWrap/>
        <w:overflowPunct/>
        <w:topLinePunct w:val="0"/>
        <w:autoSpaceDE/>
        <w:autoSpaceDN/>
        <w:bidi w:val="0"/>
        <w:spacing w:line="570" w:lineRule="exact"/>
        <w:ind w:left="0" w:leftChars="0" w:firstLine="640" w:firstLineChars="200"/>
        <w:jc w:val="both"/>
        <w:textAlignment w:val="auto"/>
        <w:rPr>
          <w:rStyle w:val="14"/>
          <w:rFonts w:ascii="仿宋_GB2312" w:hAnsi="仿宋_GB2312" w:eastAsia="仿宋_GB2312" w:cs="仿宋_GB2312"/>
          <w:b w:val="0"/>
          <w:bCs/>
          <w:color w:val="FF0000"/>
          <w:spacing w:val="-4"/>
          <w:sz w:val="32"/>
          <w:szCs w:val="32"/>
        </w:rPr>
      </w:pPr>
      <w:r>
        <w:rPr>
          <w:rFonts w:hint="eastAsia" w:ascii="仿宋_GB2312" w:hAnsi="宋体" w:eastAsia="仿宋_GB2312"/>
          <w:b w:val="0"/>
          <w:bCs/>
          <w:sz w:val="32"/>
          <w:szCs w:val="32"/>
          <w:lang w:val="en-US" w:eastAsia="zh-CN"/>
        </w:rPr>
        <w:t>1.</w:t>
      </w:r>
      <w:r>
        <w:rPr>
          <w:rFonts w:hint="eastAsia" w:ascii="仿宋_GB2312" w:hAnsi="宋体" w:eastAsia="仿宋_GB2312"/>
          <w:b w:val="0"/>
          <w:bCs/>
          <w:sz w:val="32"/>
          <w:szCs w:val="32"/>
        </w:rPr>
        <w:t>高度重视财政预决算工作，加强预算的约束力。加强内部管理，严格执行预算，坚持厉行节约，进一步降低财务支出，严格财务管理，提高工作效率。改进措施：进一步提高了农牧民群众的生活水平，提升了农牧民群众的幸福感、获得感及满意度。进一步提升了村“两委”为村民办好事办实事的能力和基础，促进了农牧民群众安居乐业，对发展现代农牧业、农业产业化、实现农牧民群众稳得住、能致富有着积极的促进作用。</w:t>
      </w:r>
    </w:p>
    <w:p>
      <w:pPr>
        <w:pStyle w:val="16"/>
        <w:pageBreakBefore w:val="0"/>
        <w:kinsoku/>
        <w:wordWrap/>
        <w:overflowPunct/>
        <w:topLinePunct w:val="0"/>
        <w:autoSpaceDE/>
        <w:autoSpaceDN/>
        <w:bidi w:val="0"/>
        <w:snapToGrid w:val="0"/>
        <w:spacing w:line="570" w:lineRule="exact"/>
        <w:ind w:firstLine="624" w:firstLineChars="200"/>
        <w:jc w:val="both"/>
        <w:textAlignment w:val="auto"/>
        <w:rPr>
          <w:rStyle w:val="14"/>
          <w:rFonts w:hint="eastAsia" w:ascii="仿宋_GB2312" w:hAnsi="仿宋_GB2312" w:eastAsia="仿宋_GB2312" w:cs="仿宋_GB2312"/>
          <w:b w:val="0"/>
          <w:bCs w:val="0"/>
          <w:color w:val="000000" w:themeColor="text1"/>
          <w:spacing w:val="-4"/>
          <w:sz w:val="32"/>
          <w:szCs w:val="32"/>
          <w14:textFill>
            <w14:solidFill>
              <w14:schemeClr w14:val="tx1"/>
            </w14:solidFill>
          </w14:textFill>
        </w:rPr>
      </w:pPr>
      <w:r>
        <w:rPr>
          <w:rStyle w:val="14"/>
          <w:rFonts w:hint="eastAsia" w:ascii="仿宋_GB2312" w:hAnsi="仿宋_GB2312" w:eastAsia="仿宋_GB2312" w:cs="仿宋_GB2312"/>
          <w:b w:val="0"/>
          <w:bCs w:val="0"/>
          <w:color w:val="000000" w:themeColor="text1"/>
          <w:spacing w:val="-4"/>
          <w:sz w:val="32"/>
          <w:szCs w:val="32"/>
          <w:lang w:val="en-US" w:eastAsia="zh-CN"/>
          <w14:textFill>
            <w14:solidFill>
              <w14:schemeClr w14:val="tx1"/>
            </w14:solidFill>
          </w14:textFill>
        </w:rPr>
        <w:t>2.</w:t>
      </w:r>
      <w:r>
        <w:rPr>
          <w:rStyle w:val="14"/>
          <w:rFonts w:hint="eastAsia" w:ascii="仿宋_GB2312" w:hAnsi="仿宋_GB2312" w:eastAsia="仿宋_GB2312" w:cs="仿宋_GB2312"/>
          <w:b w:val="0"/>
          <w:bCs w:val="0"/>
          <w:color w:val="000000" w:themeColor="text1"/>
          <w:spacing w:val="-4"/>
          <w:sz w:val="32"/>
          <w:szCs w:val="32"/>
          <w14:textFill>
            <w14:solidFill>
              <w14:schemeClr w14:val="tx1"/>
            </w14:solidFill>
          </w14:textFill>
        </w:rPr>
        <w:t>.树立绩效理念。通过设定明确可衡量的绩效目标，更清楚地了解资金支出所要取得的社会和经济效益，根据预算绩效管理制度和预算绩效管理指标跟踪预算的执行情况，以“细”为起点，做到细致入微，定期对预算执行情况进行分析，准确做好各项资金测算，合理安排收支预算，逐步形成以结果为导向的管理理念。</w:t>
      </w:r>
    </w:p>
    <w:p>
      <w:pPr>
        <w:pStyle w:val="16"/>
        <w:pageBreakBefore w:val="0"/>
        <w:kinsoku/>
        <w:wordWrap/>
        <w:overflowPunct/>
        <w:topLinePunct w:val="0"/>
        <w:autoSpaceDE/>
        <w:autoSpaceDN/>
        <w:bidi w:val="0"/>
        <w:snapToGrid w:val="0"/>
        <w:spacing w:line="570" w:lineRule="exact"/>
        <w:ind w:firstLine="624" w:firstLineChars="200"/>
        <w:jc w:val="both"/>
        <w:textAlignment w:val="auto"/>
        <w:rPr>
          <w:rStyle w:val="14"/>
          <w:rFonts w:hint="eastAsia" w:ascii="仿宋_GB2312" w:hAnsi="仿宋_GB2312" w:eastAsia="仿宋_GB2312" w:cs="仿宋_GB2312"/>
          <w:b w:val="0"/>
          <w:bCs w:val="0"/>
          <w:color w:val="000000" w:themeColor="text1"/>
          <w:spacing w:val="-4"/>
          <w:sz w:val="32"/>
          <w:szCs w:val="32"/>
          <w14:textFill>
            <w14:solidFill>
              <w14:schemeClr w14:val="tx1"/>
            </w14:solidFill>
          </w14:textFill>
        </w:rPr>
      </w:pPr>
      <w:r>
        <w:rPr>
          <w:rStyle w:val="14"/>
          <w:rFonts w:hint="eastAsia" w:ascii="仿宋_GB2312" w:hAnsi="仿宋_GB2312" w:eastAsia="仿宋_GB2312" w:cs="仿宋_GB2312"/>
          <w:b w:val="0"/>
          <w:bCs w:val="0"/>
          <w:color w:val="000000" w:themeColor="text1"/>
          <w:spacing w:val="-4"/>
          <w:sz w:val="32"/>
          <w:szCs w:val="32"/>
          <w:lang w:val="en-US" w:eastAsia="zh-CN"/>
          <w14:textFill>
            <w14:solidFill>
              <w14:schemeClr w14:val="tx1"/>
            </w14:solidFill>
          </w14:textFill>
        </w:rPr>
        <w:t>3</w:t>
      </w:r>
      <w:r>
        <w:rPr>
          <w:rStyle w:val="14"/>
          <w:rFonts w:hint="eastAsia" w:ascii="仿宋_GB2312" w:hAnsi="仿宋_GB2312" w:eastAsia="仿宋_GB2312" w:cs="仿宋_GB2312"/>
          <w:b w:val="0"/>
          <w:bCs w:val="0"/>
          <w:color w:val="000000" w:themeColor="text1"/>
          <w:spacing w:val="-4"/>
          <w:sz w:val="32"/>
          <w:szCs w:val="32"/>
          <w14:textFill>
            <w14:solidFill>
              <w14:schemeClr w14:val="tx1"/>
            </w14:solidFill>
          </w14:textFill>
        </w:rPr>
        <w:t>.强化责任意识。通过绩效评价，考核各处室绩效目标实际完成情况和取得的成效，并与下年度预算安排挂钩，用财要问效，无效要问责，在一定程度上强化了单位整体和各部门的自我约束意识和责任意识。</w:t>
      </w:r>
    </w:p>
    <w:p>
      <w:pPr>
        <w:pStyle w:val="16"/>
        <w:pageBreakBefore w:val="0"/>
        <w:kinsoku/>
        <w:wordWrap/>
        <w:overflowPunct/>
        <w:topLinePunct w:val="0"/>
        <w:autoSpaceDE/>
        <w:autoSpaceDN/>
        <w:bidi w:val="0"/>
        <w:snapToGrid w:val="0"/>
        <w:spacing w:line="570" w:lineRule="exact"/>
        <w:ind w:firstLine="624" w:firstLineChars="200"/>
        <w:jc w:val="both"/>
        <w:textAlignment w:val="auto"/>
        <w:rPr>
          <w:rStyle w:val="14"/>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14"/>
          <w:rFonts w:hint="eastAsia" w:ascii="仿宋_GB2312" w:hAnsi="仿宋_GB2312" w:eastAsia="仿宋_GB2312" w:cs="仿宋_GB2312"/>
          <w:b w:val="0"/>
          <w:bCs w:val="0"/>
          <w:color w:val="000000" w:themeColor="text1"/>
          <w:spacing w:val="-4"/>
          <w:sz w:val="32"/>
          <w:szCs w:val="32"/>
          <w:lang w:val="en-US" w:eastAsia="zh-CN"/>
          <w14:textFill>
            <w14:solidFill>
              <w14:schemeClr w14:val="tx1"/>
            </w14:solidFill>
          </w14:textFill>
        </w:rPr>
        <w:t>4</w:t>
      </w:r>
      <w:r>
        <w:rPr>
          <w:rStyle w:val="14"/>
          <w:rFonts w:hint="eastAsia" w:ascii="仿宋_GB2312" w:hAnsi="仿宋_GB2312" w:eastAsia="仿宋_GB2312" w:cs="仿宋_GB2312"/>
          <w:b w:val="0"/>
          <w:bCs w:val="0"/>
          <w:color w:val="000000" w:themeColor="text1"/>
          <w:spacing w:val="-4"/>
          <w:sz w:val="32"/>
          <w:szCs w:val="32"/>
          <w14:textFill>
            <w14:solidFill>
              <w14:schemeClr w14:val="tx1"/>
            </w14:solidFill>
          </w14:textFill>
        </w:rPr>
        <w:t>.提高资金的使用效益。</w:t>
      </w:r>
      <w:r>
        <w:rPr>
          <w:rStyle w:val="14"/>
          <w:rFonts w:hint="eastAsia" w:ascii="仿宋_GB2312" w:hAnsi="仿宋_GB2312" w:eastAsia="仿宋_GB2312" w:cs="仿宋_GB2312"/>
          <w:b w:val="0"/>
          <w:bCs w:val="0"/>
          <w:color w:val="000000" w:themeColor="text1"/>
          <w:spacing w:val="-4"/>
          <w:sz w:val="32"/>
          <w:szCs w:val="32"/>
          <w:lang w:val="en-US" w:eastAsia="zh-CN"/>
          <w14:textFill>
            <w14:solidFill>
              <w14:schemeClr w14:val="tx1"/>
            </w14:solidFill>
          </w14:textFill>
        </w:rPr>
        <w:t>本单位将</w:t>
      </w:r>
      <w:r>
        <w:rPr>
          <w:rStyle w:val="14"/>
          <w:rFonts w:hint="eastAsia" w:ascii="仿宋_GB2312" w:hAnsi="仿宋_GB2312" w:eastAsia="仿宋_GB2312" w:cs="仿宋_GB2312"/>
          <w:b w:val="0"/>
          <w:bCs w:val="0"/>
          <w:color w:val="000000" w:themeColor="text1"/>
          <w:spacing w:val="-4"/>
          <w:sz w:val="32"/>
          <w:szCs w:val="32"/>
          <w14:textFill>
            <w14:solidFill>
              <w14:schemeClr w14:val="tx1"/>
            </w14:solidFill>
          </w14:textFill>
        </w:rPr>
        <w:t>以工作实际需求为依据，预算编制与工作实际相结合，按照规定的开支范围与开支标准，科学合理预测各项内容并按经济用途逐级细化分类，提高预算编制的科学性和准确性，优化支出结构，减少支出的随意性和盲目性，最大限度地将有限资源配置到效益最佳的部门并发挥最大效益。</w:t>
      </w:r>
    </w:p>
    <w:p>
      <w:pPr>
        <w:pStyle w:val="16"/>
        <w:pageBreakBefore w:val="0"/>
        <w:kinsoku/>
        <w:wordWrap/>
        <w:overflowPunct/>
        <w:topLinePunct w:val="0"/>
        <w:autoSpaceDE/>
        <w:autoSpaceDN/>
        <w:bidi w:val="0"/>
        <w:snapToGrid w:val="0"/>
        <w:spacing w:line="570" w:lineRule="exact"/>
        <w:ind w:firstLine="624" w:firstLineChars="200"/>
        <w:jc w:val="both"/>
        <w:textAlignment w:val="auto"/>
        <w:rPr>
          <w:rStyle w:val="14"/>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14"/>
          <w:rFonts w:hint="eastAsia" w:ascii="仿宋_GB2312" w:hAnsi="仿宋_GB2312" w:eastAsia="仿宋_GB2312" w:cs="仿宋_GB2312"/>
          <w:b w:val="0"/>
          <w:bCs w:val="0"/>
          <w:color w:val="000000" w:themeColor="text1"/>
          <w:spacing w:val="-4"/>
          <w:sz w:val="32"/>
          <w:szCs w:val="32"/>
          <w:lang w:val="en-US" w:eastAsia="zh-CN"/>
          <w14:textFill>
            <w14:solidFill>
              <w14:schemeClr w14:val="tx1"/>
            </w14:solidFill>
          </w14:textFill>
        </w:rPr>
        <w:t>5</w:t>
      </w:r>
      <w:r>
        <w:rPr>
          <w:rStyle w:val="14"/>
          <w:rFonts w:ascii="仿宋_GB2312" w:hAnsi="仿宋_GB2312" w:eastAsia="仿宋_GB2312" w:cs="仿宋_GB2312"/>
          <w:b w:val="0"/>
          <w:bCs w:val="0"/>
          <w:color w:val="000000" w:themeColor="text1"/>
          <w:spacing w:val="-4"/>
          <w:sz w:val="32"/>
          <w:szCs w:val="32"/>
          <w14:textFill>
            <w14:solidFill>
              <w14:schemeClr w14:val="tx1"/>
            </w14:solidFill>
          </w14:textFill>
        </w:rPr>
        <w:t>.</w:t>
      </w:r>
      <w:r>
        <w:rPr>
          <w:rStyle w:val="14"/>
          <w:rFonts w:hint="eastAsia" w:ascii="仿宋_GB2312" w:hAnsi="仿宋_GB2312" w:eastAsia="仿宋_GB2312" w:cs="仿宋_GB2312"/>
          <w:b w:val="0"/>
          <w:bCs w:val="0"/>
          <w:color w:val="000000" w:themeColor="text1"/>
          <w:spacing w:val="-4"/>
          <w:sz w:val="32"/>
          <w:szCs w:val="32"/>
          <w14:textFill>
            <w14:solidFill>
              <w14:schemeClr w14:val="tx1"/>
            </w14:solidFill>
          </w14:textFill>
        </w:rPr>
        <w:t xml:space="preserve"> 提高资金使用效益。在遵守法律法规的前提下，统筹兼</w:t>
      </w:r>
    </w:p>
    <w:p>
      <w:pPr>
        <w:pStyle w:val="16"/>
        <w:pageBreakBefore w:val="0"/>
        <w:kinsoku/>
        <w:wordWrap/>
        <w:overflowPunct/>
        <w:topLinePunct w:val="0"/>
        <w:autoSpaceDE/>
        <w:autoSpaceDN/>
        <w:bidi w:val="0"/>
        <w:snapToGrid w:val="0"/>
        <w:spacing w:line="570" w:lineRule="exact"/>
        <w:ind w:firstLine="624" w:firstLineChars="200"/>
        <w:jc w:val="both"/>
        <w:textAlignment w:val="auto"/>
        <w:rPr>
          <w:rStyle w:val="14"/>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14"/>
          <w:rFonts w:hint="eastAsia" w:ascii="仿宋_GB2312" w:hAnsi="仿宋_GB2312" w:eastAsia="仿宋_GB2312" w:cs="仿宋_GB2312"/>
          <w:b w:val="0"/>
          <w:bCs w:val="0"/>
          <w:color w:val="000000" w:themeColor="text1"/>
          <w:spacing w:val="-4"/>
          <w:sz w:val="32"/>
          <w:szCs w:val="32"/>
          <w14:textFill>
            <w14:solidFill>
              <w14:schemeClr w14:val="tx1"/>
            </w14:solidFill>
          </w14:textFill>
        </w:rPr>
        <w:t>顾、量力而行、讲求绩效，圆满完成党中央、自治区和地区决策部署提出的各项要求。</w:t>
      </w:r>
    </w:p>
    <w:p>
      <w:pPr>
        <w:pStyle w:val="16"/>
        <w:pageBreakBefore w:val="0"/>
        <w:kinsoku/>
        <w:wordWrap/>
        <w:overflowPunct/>
        <w:topLinePunct w:val="0"/>
        <w:autoSpaceDE/>
        <w:autoSpaceDN/>
        <w:bidi w:val="0"/>
        <w:snapToGrid w:val="0"/>
        <w:spacing w:line="570" w:lineRule="exact"/>
        <w:ind w:firstLine="624" w:firstLineChars="200"/>
        <w:jc w:val="both"/>
        <w:textAlignment w:val="auto"/>
        <w:rPr>
          <w:rStyle w:val="14"/>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14"/>
          <w:rFonts w:hint="eastAsia" w:ascii="仿宋_GB2312" w:hAnsi="仿宋_GB2312" w:eastAsia="仿宋_GB2312" w:cs="仿宋_GB2312"/>
          <w:b w:val="0"/>
          <w:bCs w:val="0"/>
          <w:color w:val="000000" w:themeColor="text1"/>
          <w:spacing w:val="-4"/>
          <w:sz w:val="32"/>
          <w:szCs w:val="32"/>
          <w:lang w:val="en-US" w:eastAsia="zh-CN"/>
          <w14:textFill>
            <w14:solidFill>
              <w14:schemeClr w14:val="tx1"/>
            </w14:solidFill>
          </w14:textFill>
        </w:rPr>
        <w:t>6</w:t>
      </w:r>
      <w:r>
        <w:rPr>
          <w:rStyle w:val="14"/>
          <w:rFonts w:ascii="仿宋_GB2312" w:hAnsi="仿宋_GB2312" w:eastAsia="仿宋_GB2312" w:cs="仿宋_GB2312"/>
          <w:b w:val="0"/>
          <w:bCs w:val="0"/>
          <w:color w:val="000000" w:themeColor="text1"/>
          <w:spacing w:val="-4"/>
          <w:sz w:val="32"/>
          <w:szCs w:val="32"/>
          <w14:textFill>
            <w14:solidFill>
              <w14:schemeClr w14:val="tx1"/>
            </w14:solidFill>
          </w14:textFill>
        </w:rPr>
        <w:t>.</w:t>
      </w:r>
      <w:r>
        <w:rPr>
          <w:rStyle w:val="14"/>
          <w:rFonts w:hint="eastAsia" w:ascii="仿宋_GB2312" w:hAnsi="仿宋_GB2312" w:eastAsia="仿宋_GB2312" w:cs="仿宋_GB2312"/>
          <w:b w:val="0"/>
          <w:bCs w:val="0"/>
          <w:color w:val="000000" w:themeColor="text1"/>
          <w:spacing w:val="-4"/>
          <w:sz w:val="32"/>
          <w:szCs w:val="32"/>
          <w14:textFill>
            <w14:solidFill>
              <w14:schemeClr w14:val="tx1"/>
            </w14:solidFill>
          </w14:textFill>
        </w:rPr>
        <w:t>不断完善预算绩效管理相关工作制度，建立全过程预算绩效管理链条，有效贯彻落实全面实施绩效管理的精神。</w:t>
      </w:r>
    </w:p>
    <w:p>
      <w:pPr>
        <w:pStyle w:val="16"/>
        <w:pageBreakBefore w:val="0"/>
        <w:kinsoku/>
        <w:wordWrap/>
        <w:overflowPunct/>
        <w:topLinePunct w:val="0"/>
        <w:autoSpaceDE/>
        <w:autoSpaceDN/>
        <w:bidi w:val="0"/>
        <w:snapToGrid w:val="0"/>
        <w:spacing w:line="570" w:lineRule="exact"/>
        <w:ind w:firstLine="624" w:firstLineChars="200"/>
        <w:jc w:val="both"/>
        <w:textAlignment w:val="auto"/>
        <w:rPr>
          <w:rStyle w:val="14"/>
          <w:rFonts w:hint="default" w:ascii="仿宋_GB2312" w:hAnsi="仿宋_GB2312" w:eastAsia="仿宋_GB2312" w:cs="仿宋_GB2312"/>
          <w:b w:val="0"/>
          <w:bCs w:val="0"/>
          <w:color w:val="000000" w:themeColor="text1"/>
          <w:spacing w:val="-4"/>
          <w:sz w:val="32"/>
          <w:szCs w:val="32"/>
          <w:lang w:val="en-US" w:eastAsia="zh-CN"/>
          <w14:textFill>
            <w14:solidFill>
              <w14:schemeClr w14:val="tx1"/>
            </w14:solidFill>
          </w14:textFill>
        </w:rPr>
      </w:pPr>
      <w:r>
        <w:rPr>
          <w:rStyle w:val="14"/>
          <w:rFonts w:hint="eastAsia" w:ascii="仿宋_GB2312" w:hAnsi="仿宋_GB2312" w:eastAsia="仿宋_GB2312" w:cs="仿宋_GB2312"/>
          <w:b w:val="0"/>
          <w:bCs w:val="0"/>
          <w:color w:val="000000" w:themeColor="text1"/>
          <w:spacing w:val="-4"/>
          <w:sz w:val="32"/>
          <w:szCs w:val="32"/>
          <w:lang w:val="en-US" w:eastAsia="zh-CN"/>
          <w14:textFill>
            <w14:solidFill>
              <w14:schemeClr w14:val="tx1"/>
            </w14:solidFill>
          </w14:textFill>
        </w:rPr>
        <w:t>7.不断完善会计人员继续教育管理机制，灵活继续教育方式，不断组织开展业务技能和会计职业道德的培训；建立会计基础工作规范管理机制，保障会计基础工作顺利开展；组织开展法律法规、职业道德及会计相关知识等方面的培训，切实提高单位会计人员的能力。</w:t>
      </w:r>
    </w:p>
    <w:p>
      <w:pPr>
        <w:pStyle w:val="2"/>
        <w:pageBreakBefore w:val="0"/>
        <w:numPr>
          <w:ilvl w:val="0"/>
          <w:numId w:val="9"/>
        </w:numPr>
        <w:kinsoku/>
        <w:wordWrap/>
        <w:overflowPunct/>
        <w:topLinePunct w:val="0"/>
        <w:autoSpaceDE/>
        <w:autoSpaceDN/>
        <w:bidi w:val="0"/>
        <w:spacing w:line="570" w:lineRule="exact"/>
        <w:ind w:firstLine="643" w:firstLineChars="200"/>
        <w:jc w:val="both"/>
        <w:textAlignment w:val="auto"/>
        <w:rPr>
          <w:rFonts w:ascii="楷体_GB2312" w:hAnsi="楷体_GB2312" w:eastAsia="楷体_GB2312" w:cs="楷体_GB2312"/>
          <w:sz w:val="32"/>
          <w:lang w:eastAsia="zh-Hans"/>
        </w:rPr>
      </w:pPr>
      <w:r>
        <w:rPr>
          <w:rFonts w:hint="eastAsia" w:ascii="楷体_GB2312" w:hAnsi="楷体_GB2312" w:eastAsia="楷体_GB2312" w:cs="楷体_GB2312"/>
          <w:sz w:val="32"/>
          <w:lang w:eastAsia="zh-Hans"/>
        </w:rPr>
        <w:t>建议</w:t>
      </w:r>
    </w:p>
    <w:p>
      <w:pPr>
        <w:pageBreakBefore w:val="0"/>
        <w:kinsoku/>
        <w:wordWrap/>
        <w:overflowPunct/>
        <w:topLinePunct w:val="0"/>
        <w:autoSpaceDE/>
        <w:autoSpaceDN/>
        <w:bidi w:val="0"/>
        <w:spacing w:line="570" w:lineRule="exact"/>
        <w:ind w:firstLine="640" w:firstLineChars="200"/>
        <w:jc w:val="both"/>
        <w:textAlignment w:val="auto"/>
        <w:rPr>
          <w:b w:val="0"/>
          <w:bCs/>
          <w:lang w:eastAsia="zh-Hans"/>
        </w:rPr>
      </w:pPr>
      <w:r>
        <w:rPr>
          <w:rFonts w:hint="eastAsia" w:ascii="仿宋_GB2312" w:hAnsi="宋体" w:eastAsia="仿宋_GB2312"/>
          <w:b w:val="0"/>
          <w:bCs/>
          <w:sz w:val="32"/>
          <w:szCs w:val="32"/>
          <w:lang w:val="en-US" w:eastAsia="zh-CN"/>
        </w:rPr>
        <w:t>1.</w:t>
      </w:r>
      <w:r>
        <w:rPr>
          <w:rFonts w:hint="eastAsia" w:ascii="仿宋_GB2312" w:hAnsi="宋体" w:eastAsia="仿宋_GB2312"/>
          <w:b w:val="0"/>
          <w:bCs/>
          <w:sz w:val="32"/>
          <w:szCs w:val="32"/>
        </w:rPr>
        <w:t>项目参与方众多，各方动机和目的不一致导致项目合作的风险，可能影响项目目标和进展的实现，项目组织内部各部门对项目的理解、态度和行动的不一致而产生风险。完善项目各参与方的合同，加强合同管理，可以降低项目的组织风险。</w:t>
      </w:r>
    </w:p>
    <w:p>
      <w:pPr>
        <w:pStyle w:val="16"/>
        <w:pageBreakBefore w:val="0"/>
        <w:kinsoku/>
        <w:wordWrap/>
        <w:overflowPunct/>
        <w:topLinePunct w:val="0"/>
        <w:autoSpaceDE/>
        <w:autoSpaceDN/>
        <w:bidi w:val="0"/>
        <w:snapToGrid w:val="0"/>
        <w:spacing w:line="570" w:lineRule="exact"/>
        <w:ind w:firstLine="624" w:firstLineChars="200"/>
        <w:jc w:val="both"/>
        <w:textAlignment w:val="auto"/>
        <w:rPr>
          <w:rStyle w:val="14"/>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14"/>
          <w:rFonts w:hint="eastAsia" w:ascii="仿宋_GB2312" w:hAnsi="仿宋_GB2312" w:eastAsia="仿宋_GB2312" w:cs="仿宋_GB2312"/>
          <w:b w:val="0"/>
          <w:bCs w:val="0"/>
          <w:color w:val="000000" w:themeColor="text1"/>
          <w:spacing w:val="-4"/>
          <w:sz w:val="32"/>
          <w:szCs w:val="32"/>
          <w:lang w:val="en-US" w:eastAsia="zh-CN"/>
          <w14:textFill>
            <w14:solidFill>
              <w14:schemeClr w14:val="tx1"/>
            </w14:solidFill>
          </w14:textFill>
        </w:rPr>
        <w:t>2</w:t>
      </w:r>
      <w:r>
        <w:rPr>
          <w:rStyle w:val="14"/>
          <w:rFonts w:ascii="仿宋_GB2312" w:hAnsi="仿宋_GB2312" w:eastAsia="仿宋_GB2312" w:cs="仿宋_GB2312"/>
          <w:b w:val="0"/>
          <w:bCs w:val="0"/>
          <w:color w:val="000000" w:themeColor="text1"/>
          <w:spacing w:val="-4"/>
          <w:sz w:val="32"/>
          <w:szCs w:val="32"/>
          <w14:textFill>
            <w14:solidFill>
              <w14:schemeClr w14:val="tx1"/>
            </w14:solidFill>
          </w14:textFill>
        </w:rPr>
        <w:t>.</w:t>
      </w:r>
      <w:r>
        <w:rPr>
          <w:rStyle w:val="14"/>
          <w:rFonts w:hint="eastAsia" w:ascii="仿宋_GB2312" w:hAnsi="仿宋_GB2312" w:eastAsia="仿宋_GB2312" w:cs="仿宋_GB2312"/>
          <w:b w:val="0"/>
          <w:bCs w:val="0"/>
          <w:color w:val="000000" w:themeColor="text1"/>
          <w:spacing w:val="-4"/>
          <w:sz w:val="32"/>
          <w:szCs w:val="32"/>
          <w14:textFill>
            <w14:solidFill>
              <w14:schemeClr w14:val="tx1"/>
            </w14:solidFill>
          </w14:textFill>
        </w:rPr>
        <w:t>加强预算绩效目标管理工作，明确预算项目绩效目标编制要求，分类别建立科学合理、细化量化、可比可测预算绩效指标体系，突出结果导向，重点考核实绩。</w:t>
      </w:r>
    </w:p>
    <w:p>
      <w:pPr>
        <w:pStyle w:val="16"/>
        <w:pageBreakBefore w:val="0"/>
        <w:kinsoku/>
        <w:wordWrap/>
        <w:overflowPunct/>
        <w:topLinePunct w:val="0"/>
        <w:autoSpaceDE/>
        <w:autoSpaceDN/>
        <w:bidi w:val="0"/>
        <w:snapToGrid w:val="0"/>
        <w:spacing w:line="570" w:lineRule="exact"/>
        <w:ind w:firstLine="624" w:firstLineChars="200"/>
        <w:jc w:val="both"/>
        <w:textAlignment w:val="auto"/>
        <w:rPr>
          <w:rStyle w:val="14"/>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14"/>
          <w:rFonts w:hint="eastAsia" w:ascii="仿宋_GB2312" w:hAnsi="仿宋_GB2312" w:eastAsia="仿宋_GB2312" w:cs="仿宋_GB2312"/>
          <w:b w:val="0"/>
          <w:bCs w:val="0"/>
          <w:color w:val="000000" w:themeColor="text1"/>
          <w:spacing w:val="-4"/>
          <w:sz w:val="32"/>
          <w:szCs w:val="32"/>
          <w:lang w:val="en-US" w:eastAsia="zh-CN"/>
          <w14:textFill>
            <w14:solidFill>
              <w14:schemeClr w14:val="tx1"/>
            </w14:solidFill>
          </w14:textFill>
        </w:rPr>
        <w:t>3</w:t>
      </w:r>
      <w:r>
        <w:rPr>
          <w:rStyle w:val="14"/>
          <w:rFonts w:ascii="仿宋_GB2312" w:hAnsi="仿宋_GB2312" w:eastAsia="仿宋_GB2312" w:cs="仿宋_GB2312"/>
          <w:b w:val="0"/>
          <w:bCs w:val="0"/>
          <w:color w:val="000000" w:themeColor="text1"/>
          <w:spacing w:val="-4"/>
          <w:sz w:val="32"/>
          <w:szCs w:val="32"/>
          <w14:textFill>
            <w14:solidFill>
              <w14:schemeClr w14:val="tx1"/>
            </w14:solidFill>
          </w14:textFill>
        </w:rPr>
        <w:t>.</w:t>
      </w:r>
      <w:r>
        <w:rPr>
          <w:rStyle w:val="14"/>
          <w:rFonts w:hint="eastAsia" w:ascii="仿宋_GB2312" w:hAnsi="仿宋_GB2312" w:eastAsia="仿宋_GB2312" w:cs="仿宋_GB2312"/>
          <w:b w:val="0"/>
          <w:bCs w:val="0"/>
          <w:color w:val="000000" w:themeColor="text1"/>
          <w:spacing w:val="-4"/>
          <w:sz w:val="32"/>
          <w:szCs w:val="32"/>
          <w14:textFill>
            <w14:solidFill>
              <w14:schemeClr w14:val="tx1"/>
            </w14:solidFill>
          </w14:textFill>
        </w:rPr>
        <w:t>采取多种培训形式对单位财务人员、业务科室人员进行集中培训，进一步树牢绩效观念，提高本单位工作人员的绩效管理能力和工作水平，为预算绩效管理相关工作的顺利开展提供保障。 同时，强化预算绩效执行工作，指定专人负责预算执行监督管理，进一步推动预算绩效管理工作。</w:t>
      </w:r>
    </w:p>
    <w:p>
      <w:pPr>
        <w:pStyle w:val="16"/>
        <w:pageBreakBefore w:val="0"/>
        <w:kinsoku/>
        <w:wordWrap/>
        <w:overflowPunct/>
        <w:topLinePunct w:val="0"/>
        <w:autoSpaceDE/>
        <w:autoSpaceDN/>
        <w:bidi w:val="0"/>
        <w:snapToGrid w:val="0"/>
        <w:spacing w:line="570" w:lineRule="exact"/>
        <w:ind w:firstLine="624" w:firstLineChars="200"/>
        <w:jc w:val="both"/>
        <w:textAlignment w:val="auto"/>
        <w:rPr>
          <w:rStyle w:val="14"/>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14"/>
          <w:rFonts w:ascii="仿宋_GB2312" w:hAnsi="仿宋_GB2312" w:eastAsia="仿宋_GB2312" w:cs="仿宋_GB2312"/>
          <w:b w:val="0"/>
          <w:bCs w:val="0"/>
          <w:color w:val="000000" w:themeColor="text1"/>
          <w:spacing w:val="-4"/>
          <w:sz w:val="32"/>
          <w:szCs w:val="32"/>
          <w14:textFill>
            <w14:solidFill>
              <w14:schemeClr w14:val="tx1"/>
            </w14:solidFill>
          </w14:textFill>
        </w:rPr>
        <w:t>4.</w:t>
      </w:r>
      <w:r>
        <w:rPr>
          <w:rStyle w:val="14"/>
          <w:rFonts w:hint="eastAsia" w:ascii="仿宋_GB2312" w:hAnsi="仿宋_GB2312" w:eastAsia="仿宋_GB2312" w:cs="仿宋_GB2312"/>
          <w:b w:val="0"/>
          <w:bCs w:val="0"/>
          <w:color w:val="000000" w:themeColor="text1"/>
          <w:spacing w:val="-4"/>
          <w:sz w:val="32"/>
          <w:szCs w:val="32"/>
          <w14:textFill>
            <w14:solidFill>
              <w14:schemeClr w14:val="tx1"/>
            </w14:solidFill>
          </w14:textFill>
        </w:rPr>
        <w:t>在保证资金安全的前提下加快资金支出进度，支出条件已经成熟的项目，抓紧报销，尽快形成有效支出。</w:t>
      </w:r>
    </w:p>
    <w:p>
      <w:pPr>
        <w:pStyle w:val="16"/>
        <w:pageBreakBefore w:val="0"/>
        <w:kinsoku/>
        <w:wordWrap/>
        <w:overflowPunct/>
        <w:topLinePunct w:val="0"/>
        <w:autoSpaceDE/>
        <w:autoSpaceDN/>
        <w:bidi w:val="0"/>
        <w:snapToGrid w:val="0"/>
        <w:spacing w:line="570" w:lineRule="exact"/>
        <w:ind w:firstLine="624" w:firstLineChars="200"/>
        <w:jc w:val="both"/>
        <w:textAlignment w:val="auto"/>
        <w:rPr>
          <w:rStyle w:val="14"/>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14"/>
          <w:rFonts w:ascii="仿宋_GB2312" w:hAnsi="仿宋_GB2312" w:eastAsia="仿宋_GB2312" w:cs="仿宋_GB2312"/>
          <w:b w:val="0"/>
          <w:bCs w:val="0"/>
          <w:color w:val="000000" w:themeColor="text1"/>
          <w:spacing w:val="-4"/>
          <w:sz w:val="32"/>
          <w:szCs w:val="32"/>
          <w14:textFill>
            <w14:solidFill>
              <w14:schemeClr w14:val="tx1"/>
            </w14:solidFill>
          </w14:textFill>
        </w:rPr>
        <w:t>5.</w:t>
      </w:r>
      <w:r>
        <w:rPr>
          <w:rStyle w:val="14"/>
          <w:rFonts w:hint="eastAsia" w:ascii="仿宋_GB2312" w:hAnsi="仿宋_GB2312" w:eastAsia="仿宋_GB2312" w:cs="仿宋_GB2312"/>
          <w:b w:val="0"/>
          <w:bCs w:val="0"/>
          <w:color w:val="000000" w:themeColor="text1"/>
          <w:spacing w:val="-4"/>
          <w:sz w:val="32"/>
          <w:szCs w:val="32"/>
          <w14:textFill>
            <w14:solidFill>
              <w14:schemeClr w14:val="tx1"/>
            </w14:solidFill>
          </w14:textFill>
        </w:rPr>
        <w:t xml:space="preserve"> 压实责任，加强监督监管。要求项目建设单位切实履行主体责任，倒排工期，列出时间表，加快推进项目建设，使项目尽早建成投入使用；项目主管部门要加强监管，建立项目建设进度台账，定期跟踪项目实施情况，定期督查项目建设进度，对确因客观原因无法按期动工的项目资金，及时申请退回同级财政，以减少和防范资金管理风险。</w:t>
      </w:r>
    </w:p>
    <w:p>
      <w:pPr>
        <w:pStyle w:val="3"/>
        <w:pageBreakBefore w:val="0"/>
        <w:kinsoku/>
        <w:wordWrap/>
        <w:overflowPunct/>
        <w:topLinePunct w:val="0"/>
        <w:autoSpaceDE/>
        <w:autoSpaceDN/>
        <w:bidi w:val="0"/>
        <w:spacing w:line="570" w:lineRule="exact"/>
        <w:ind w:firstLine="640" w:firstLineChars="200"/>
        <w:jc w:val="both"/>
        <w:textAlignment w:val="auto"/>
        <w:rPr>
          <w:rFonts w:ascii="黑体" w:hAnsi="黑体"/>
          <w:b w:val="0"/>
          <w:sz w:val="32"/>
          <w:szCs w:val="32"/>
        </w:rPr>
      </w:pPr>
      <w:r>
        <w:rPr>
          <w:rFonts w:hint="eastAsia" w:ascii="黑体" w:hAnsi="黑体"/>
          <w:b w:val="0"/>
          <w:sz w:val="32"/>
          <w:szCs w:val="32"/>
          <w:lang w:val="en-US" w:eastAsia="zh-CN"/>
        </w:rPr>
        <w:t>七</w:t>
      </w:r>
      <w:r>
        <w:rPr>
          <w:rFonts w:hint="eastAsia" w:ascii="黑体" w:hAnsi="黑体"/>
          <w:b w:val="0"/>
          <w:sz w:val="32"/>
          <w:szCs w:val="32"/>
        </w:rPr>
        <w:t>、附表</w:t>
      </w:r>
    </w:p>
    <w:p>
      <w:pPr>
        <w:pageBreakBefore w:val="0"/>
        <w:kinsoku/>
        <w:wordWrap/>
        <w:overflowPunct/>
        <w:topLinePunct w:val="0"/>
        <w:autoSpaceDE/>
        <w:autoSpaceDN/>
        <w:bidi w:val="0"/>
        <w:spacing w:line="570" w:lineRule="exact"/>
        <w:ind w:firstLine="640" w:firstLineChars="200"/>
        <w:jc w:val="both"/>
        <w:textAlignment w:val="auto"/>
        <w:rPr>
          <w:rFonts w:ascii="仿宋_GB2312" w:eastAsia="仿宋_GB2312"/>
          <w:sz w:val="32"/>
          <w:szCs w:val="32"/>
        </w:rPr>
      </w:pPr>
      <w:r>
        <w:rPr>
          <w:rFonts w:hint="eastAsia" w:ascii="仿宋_GB2312" w:eastAsia="仿宋_GB2312"/>
          <w:sz w:val="32"/>
          <w:szCs w:val="32"/>
        </w:rPr>
        <w:t>《部门整体支出绩效目标自评表》</w:t>
      </w:r>
    </w:p>
    <w:p>
      <w:pPr>
        <w:pageBreakBefore w:val="0"/>
        <w:kinsoku/>
        <w:wordWrap/>
        <w:overflowPunct/>
        <w:topLinePunct w:val="0"/>
        <w:autoSpaceDE/>
        <w:autoSpaceDN/>
        <w:bidi w:val="0"/>
        <w:spacing w:line="570" w:lineRule="exact"/>
        <w:ind w:firstLine="640" w:firstLineChars="200"/>
        <w:jc w:val="both"/>
        <w:textAlignment w:val="auto"/>
        <w:rPr>
          <w:rFonts w:ascii="仿宋_GB2312" w:eastAsia="仿宋_GB2312"/>
          <w:sz w:val="32"/>
          <w:szCs w:val="32"/>
        </w:rPr>
      </w:pPr>
    </w:p>
    <w:sectPr>
      <w:headerReference r:id="rId5" w:type="first"/>
      <w:footerReference r:id="rId8" w:type="first"/>
      <w:headerReference r:id="rId3" w:type="default"/>
      <w:footerReference r:id="rId6" w:type="default"/>
      <w:headerReference r:id="rId4" w:type="even"/>
      <w:footerReference r:id="rId7" w:type="even"/>
      <w:pgSz w:w="11906" w:h="16838"/>
      <w:pgMar w:top="1985" w:right="1531" w:bottom="1701" w:left="1531" w:header="851" w:footer="992" w:gutter="0"/>
      <w:cols w:space="425" w:num="1"/>
      <w:titlePg/>
      <w:docGrid w:type="lines"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194959"/>
      <w:showingPlcHdr/>
    </w:sdtPr>
    <w:sdtContent>
      <w:p>
        <w:pPr>
          <w:pStyle w:val="8"/>
          <w:ind w:firstLine="360"/>
          <w:jc w:val="right"/>
        </w:pPr>
        <w:r>
          <w:t xml:space="preserve">     </w:t>
        </w:r>
      </w:p>
    </w:sdtContent>
  </w:sdt>
  <w:p>
    <w:pPr>
      <w:pStyle w:val="8"/>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560"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0" w:firstLineChars="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35A7F3E"/>
    <w:multiLevelType w:val="singleLevel"/>
    <w:tmpl w:val="D35A7F3E"/>
    <w:lvl w:ilvl="0" w:tentative="0">
      <w:start w:val="2"/>
      <w:numFmt w:val="chineseCounting"/>
      <w:suff w:val="nothing"/>
      <w:lvlText w:val="（%1）"/>
      <w:lvlJc w:val="left"/>
      <w:rPr>
        <w:rFonts w:hint="eastAsia"/>
      </w:rPr>
    </w:lvl>
  </w:abstractNum>
  <w:abstractNum w:abstractNumId="1">
    <w:nsid w:val="EBF28373"/>
    <w:multiLevelType w:val="singleLevel"/>
    <w:tmpl w:val="EBF28373"/>
    <w:lvl w:ilvl="0" w:tentative="0">
      <w:start w:val="1"/>
      <w:numFmt w:val="decimal"/>
      <w:suff w:val="nothing"/>
      <w:lvlText w:val="%1、"/>
      <w:lvlJc w:val="left"/>
    </w:lvl>
  </w:abstractNum>
  <w:abstractNum w:abstractNumId="2">
    <w:nsid w:val="EFFE516D"/>
    <w:multiLevelType w:val="singleLevel"/>
    <w:tmpl w:val="EFFE516D"/>
    <w:lvl w:ilvl="0" w:tentative="0">
      <w:start w:val="2"/>
      <w:numFmt w:val="chineseCounting"/>
      <w:suff w:val="nothing"/>
      <w:lvlText w:val="（%1）"/>
      <w:lvlJc w:val="left"/>
      <w:rPr>
        <w:rFonts w:hint="eastAsia"/>
      </w:rPr>
    </w:lvl>
  </w:abstractNum>
  <w:abstractNum w:abstractNumId="3">
    <w:nsid w:val="FBADC426"/>
    <w:multiLevelType w:val="singleLevel"/>
    <w:tmpl w:val="FBADC426"/>
    <w:lvl w:ilvl="0" w:tentative="0">
      <w:start w:val="1"/>
      <w:numFmt w:val="decimal"/>
      <w:lvlText w:val="%1."/>
      <w:lvlJc w:val="left"/>
      <w:pPr>
        <w:tabs>
          <w:tab w:val="left" w:pos="312"/>
        </w:tabs>
      </w:pPr>
    </w:lvl>
  </w:abstractNum>
  <w:abstractNum w:abstractNumId="4">
    <w:nsid w:val="2DF647DA"/>
    <w:multiLevelType w:val="singleLevel"/>
    <w:tmpl w:val="2DF647DA"/>
    <w:lvl w:ilvl="0" w:tentative="0">
      <w:start w:val="1"/>
      <w:numFmt w:val="chineseCounting"/>
      <w:suff w:val="nothing"/>
      <w:lvlText w:val="（%1）"/>
      <w:lvlJc w:val="left"/>
      <w:pPr>
        <w:ind w:left="0" w:firstLine="420"/>
      </w:pPr>
      <w:rPr>
        <w:rFonts w:hint="eastAsia"/>
      </w:rPr>
    </w:lvl>
  </w:abstractNum>
  <w:abstractNum w:abstractNumId="5">
    <w:nsid w:val="3CA94889"/>
    <w:multiLevelType w:val="singleLevel"/>
    <w:tmpl w:val="3CA94889"/>
    <w:lvl w:ilvl="0" w:tentative="0">
      <w:start w:val="2"/>
      <w:numFmt w:val="chineseCounting"/>
      <w:suff w:val="nothing"/>
      <w:lvlText w:val="（%1）"/>
      <w:lvlJc w:val="left"/>
      <w:rPr>
        <w:rFonts w:hint="eastAsia"/>
      </w:rPr>
    </w:lvl>
  </w:abstractNum>
  <w:abstractNum w:abstractNumId="6">
    <w:nsid w:val="3F3F91C3"/>
    <w:multiLevelType w:val="singleLevel"/>
    <w:tmpl w:val="3F3F91C3"/>
    <w:lvl w:ilvl="0" w:tentative="0">
      <w:start w:val="4"/>
      <w:numFmt w:val="chineseCounting"/>
      <w:suff w:val="nothing"/>
      <w:lvlText w:val="%1、"/>
      <w:lvlJc w:val="left"/>
      <w:rPr>
        <w:rFonts w:hint="eastAsia"/>
      </w:rPr>
    </w:lvl>
  </w:abstractNum>
  <w:abstractNum w:abstractNumId="7">
    <w:nsid w:val="3F4756D8"/>
    <w:multiLevelType w:val="singleLevel"/>
    <w:tmpl w:val="3F4756D8"/>
    <w:lvl w:ilvl="0" w:tentative="0">
      <w:start w:val="1"/>
      <w:numFmt w:val="decimal"/>
      <w:suff w:val="nothing"/>
      <w:lvlText w:val="（%1）"/>
      <w:lvlJc w:val="left"/>
    </w:lvl>
  </w:abstractNum>
  <w:abstractNum w:abstractNumId="8">
    <w:nsid w:val="622ADB77"/>
    <w:multiLevelType w:val="singleLevel"/>
    <w:tmpl w:val="622ADB77"/>
    <w:lvl w:ilvl="0" w:tentative="0">
      <w:start w:val="1"/>
      <w:numFmt w:val="chineseCounting"/>
      <w:suff w:val="nothing"/>
      <w:lvlText w:val="（%1）"/>
      <w:lvlJc w:val="left"/>
    </w:lvl>
  </w:abstractNum>
  <w:num w:numId="1">
    <w:abstractNumId w:val="2"/>
  </w:num>
  <w:num w:numId="2">
    <w:abstractNumId w:val="4"/>
  </w:num>
  <w:num w:numId="3">
    <w:abstractNumId w:val="7"/>
  </w:num>
  <w:num w:numId="4">
    <w:abstractNumId w:val="6"/>
  </w:num>
  <w:num w:numId="5">
    <w:abstractNumId w:val="1"/>
  </w:num>
  <w:num w:numId="6">
    <w:abstractNumId w:val="5"/>
  </w:num>
  <w:num w:numId="7">
    <w:abstractNumId w:val="3"/>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0"/>
  <w:bordersDoNotSurroundFooter w:val="0"/>
  <w:documentProtection w:enforcement="0"/>
  <w:defaultTabStop w:val="420"/>
  <w:drawingGridHorizontalSpacing w:val="140"/>
  <w:drawingGridVerticalSpacing w:val="381"/>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JhYTJiZGQ4MmJkNWNjNGMzNDI4MjMyOTkxMjk5MGMifQ=="/>
  </w:docVars>
  <w:rsids>
    <w:rsidRoot w:val="005736CA"/>
    <w:rsid w:val="000127F0"/>
    <w:rsid w:val="00012F5F"/>
    <w:rsid w:val="00117D29"/>
    <w:rsid w:val="00164618"/>
    <w:rsid w:val="001F423C"/>
    <w:rsid w:val="00201A4A"/>
    <w:rsid w:val="002153DD"/>
    <w:rsid w:val="002640E4"/>
    <w:rsid w:val="00284F01"/>
    <w:rsid w:val="002C034A"/>
    <w:rsid w:val="00346A15"/>
    <w:rsid w:val="003B184C"/>
    <w:rsid w:val="003F473D"/>
    <w:rsid w:val="00455E2F"/>
    <w:rsid w:val="004D4927"/>
    <w:rsid w:val="00523705"/>
    <w:rsid w:val="005736CA"/>
    <w:rsid w:val="005D3F17"/>
    <w:rsid w:val="005E5D6E"/>
    <w:rsid w:val="005F7A93"/>
    <w:rsid w:val="00617C63"/>
    <w:rsid w:val="006421F8"/>
    <w:rsid w:val="00722410"/>
    <w:rsid w:val="0077571A"/>
    <w:rsid w:val="007B6305"/>
    <w:rsid w:val="00831326"/>
    <w:rsid w:val="008A1C5E"/>
    <w:rsid w:val="008C7713"/>
    <w:rsid w:val="008D5E7B"/>
    <w:rsid w:val="00931A42"/>
    <w:rsid w:val="009443DA"/>
    <w:rsid w:val="00961F8B"/>
    <w:rsid w:val="009C6EE2"/>
    <w:rsid w:val="009D6347"/>
    <w:rsid w:val="009E68A2"/>
    <w:rsid w:val="00A06AAB"/>
    <w:rsid w:val="00A7110C"/>
    <w:rsid w:val="00A720BD"/>
    <w:rsid w:val="00A87301"/>
    <w:rsid w:val="00A95478"/>
    <w:rsid w:val="00AE0359"/>
    <w:rsid w:val="00B00384"/>
    <w:rsid w:val="00BC7E1D"/>
    <w:rsid w:val="00C11C70"/>
    <w:rsid w:val="00C20D12"/>
    <w:rsid w:val="00C459C8"/>
    <w:rsid w:val="00C5695F"/>
    <w:rsid w:val="00CA0283"/>
    <w:rsid w:val="00CD147B"/>
    <w:rsid w:val="00D2747D"/>
    <w:rsid w:val="00D34758"/>
    <w:rsid w:val="00D81057"/>
    <w:rsid w:val="00D816FD"/>
    <w:rsid w:val="00D8792A"/>
    <w:rsid w:val="00DB3723"/>
    <w:rsid w:val="00DC7874"/>
    <w:rsid w:val="00E122EB"/>
    <w:rsid w:val="00E65EF1"/>
    <w:rsid w:val="00E76F6F"/>
    <w:rsid w:val="00EA0F2D"/>
    <w:rsid w:val="00FB4AA1"/>
    <w:rsid w:val="00FD4A54"/>
    <w:rsid w:val="012D3D63"/>
    <w:rsid w:val="01330A6C"/>
    <w:rsid w:val="01487A18"/>
    <w:rsid w:val="01720865"/>
    <w:rsid w:val="0189003F"/>
    <w:rsid w:val="01C42D66"/>
    <w:rsid w:val="02C15BF6"/>
    <w:rsid w:val="030820B6"/>
    <w:rsid w:val="03673532"/>
    <w:rsid w:val="0379691F"/>
    <w:rsid w:val="03BE7262"/>
    <w:rsid w:val="04313FCA"/>
    <w:rsid w:val="044360FE"/>
    <w:rsid w:val="045A6B65"/>
    <w:rsid w:val="046072C6"/>
    <w:rsid w:val="048C34B8"/>
    <w:rsid w:val="04993586"/>
    <w:rsid w:val="049D20FD"/>
    <w:rsid w:val="04C42719"/>
    <w:rsid w:val="04DF6C0B"/>
    <w:rsid w:val="050D0377"/>
    <w:rsid w:val="05560765"/>
    <w:rsid w:val="058D51FF"/>
    <w:rsid w:val="06222B2B"/>
    <w:rsid w:val="06401D70"/>
    <w:rsid w:val="06586D46"/>
    <w:rsid w:val="065A4860"/>
    <w:rsid w:val="06662B98"/>
    <w:rsid w:val="067565EE"/>
    <w:rsid w:val="067716E0"/>
    <w:rsid w:val="06C060E1"/>
    <w:rsid w:val="06DE0B3E"/>
    <w:rsid w:val="06F301EC"/>
    <w:rsid w:val="06F61BCB"/>
    <w:rsid w:val="07012CA8"/>
    <w:rsid w:val="07014925"/>
    <w:rsid w:val="0732C09B"/>
    <w:rsid w:val="073C28DF"/>
    <w:rsid w:val="073D47DD"/>
    <w:rsid w:val="07CA63EE"/>
    <w:rsid w:val="07D07530"/>
    <w:rsid w:val="08170519"/>
    <w:rsid w:val="08436556"/>
    <w:rsid w:val="0856616F"/>
    <w:rsid w:val="08622524"/>
    <w:rsid w:val="086A7EAD"/>
    <w:rsid w:val="08881A41"/>
    <w:rsid w:val="08E604A1"/>
    <w:rsid w:val="08EF03CC"/>
    <w:rsid w:val="092D6339"/>
    <w:rsid w:val="097A0CA3"/>
    <w:rsid w:val="09DA2AA5"/>
    <w:rsid w:val="0A570F00"/>
    <w:rsid w:val="0AD23979"/>
    <w:rsid w:val="0AE14729"/>
    <w:rsid w:val="0B4635B9"/>
    <w:rsid w:val="0B6C582B"/>
    <w:rsid w:val="0B735A1E"/>
    <w:rsid w:val="0B927CE4"/>
    <w:rsid w:val="0BB6664C"/>
    <w:rsid w:val="0BCC05A7"/>
    <w:rsid w:val="0C1D3D6A"/>
    <w:rsid w:val="0C2860BF"/>
    <w:rsid w:val="0C8959A0"/>
    <w:rsid w:val="0C9B591B"/>
    <w:rsid w:val="0C9F0FC0"/>
    <w:rsid w:val="0CC024A2"/>
    <w:rsid w:val="0CDD02FC"/>
    <w:rsid w:val="0CE67E95"/>
    <w:rsid w:val="0D2C01B6"/>
    <w:rsid w:val="0D5973A7"/>
    <w:rsid w:val="0D703DA4"/>
    <w:rsid w:val="0D706869"/>
    <w:rsid w:val="0D7C06D5"/>
    <w:rsid w:val="0D7C2CF2"/>
    <w:rsid w:val="0DD643ED"/>
    <w:rsid w:val="0DF75868"/>
    <w:rsid w:val="0E1400AD"/>
    <w:rsid w:val="0E343D9E"/>
    <w:rsid w:val="0E9E33B0"/>
    <w:rsid w:val="0EF905AA"/>
    <w:rsid w:val="0F140AC0"/>
    <w:rsid w:val="0F14215B"/>
    <w:rsid w:val="0F3C74C6"/>
    <w:rsid w:val="0FE06440"/>
    <w:rsid w:val="1049193F"/>
    <w:rsid w:val="10566744"/>
    <w:rsid w:val="10625CF9"/>
    <w:rsid w:val="10950DBA"/>
    <w:rsid w:val="10B52A92"/>
    <w:rsid w:val="10D40475"/>
    <w:rsid w:val="113051CE"/>
    <w:rsid w:val="114E5553"/>
    <w:rsid w:val="1193547A"/>
    <w:rsid w:val="1199679A"/>
    <w:rsid w:val="11B513B1"/>
    <w:rsid w:val="11C51460"/>
    <w:rsid w:val="11D55D48"/>
    <w:rsid w:val="12160F32"/>
    <w:rsid w:val="129C5FBF"/>
    <w:rsid w:val="132544A8"/>
    <w:rsid w:val="132A631E"/>
    <w:rsid w:val="13332723"/>
    <w:rsid w:val="13336BAF"/>
    <w:rsid w:val="134D7FF4"/>
    <w:rsid w:val="13A27094"/>
    <w:rsid w:val="13B42D72"/>
    <w:rsid w:val="13D06674"/>
    <w:rsid w:val="13D44D7F"/>
    <w:rsid w:val="14120FE1"/>
    <w:rsid w:val="142C48EB"/>
    <w:rsid w:val="143E5526"/>
    <w:rsid w:val="14703A03"/>
    <w:rsid w:val="1493153C"/>
    <w:rsid w:val="14B33F8F"/>
    <w:rsid w:val="14F81E1D"/>
    <w:rsid w:val="15343BE6"/>
    <w:rsid w:val="15357338"/>
    <w:rsid w:val="153612FD"/>
    <w:rsid w:val="154136C6"/>
    <w:rsid w:val="15530DDD"/>
    <w:rsid w:val="156F1B1C"/>
    <w:rsid w:val="16050D98"/>
    <w:rsid w:val="164D645C"/>
    <w:rsid w:val="167B52F3"/>
    <w:rsid w:val="16811A70"/>
    <w:rsid w:val="16D97F04"/>
    <w:rsid w:val="16DC79A8"/>
    <w:rsid w:val="16F4505A"/>
    <w:rsid w:val="17136C0E"/>
    <w:rsid w:val="17383D5F"/>
    <w:rsid w:val="177D3D5F"/>
    <w:rsid w:val="17C573FD"/>
    <w:rsid w:val="17E745B9"/>
    <w:rsid w:val="18142FD5"/>
    <w:rsid w:val="18647115"/>
    <w:rsid w:val="187B711C"/>
    <w:rsid w:val="18884DF4"/>
    <w:rsid w:val="18B44DAA"/>
    <w:rsid w:val="18C44CD5"/>
    <w:rsid w:val="191D76ED"/>
    <w:rsid w:val="193D3C42"/>
    <w:rsid w:val="195864BB"/>
    <w:rsid w:val="19B05D52"/>
    <w:rsid w:val="19FC0A98"/>
    <w:rsid w:val="1A0D43A0"/>
    <w:rsid w:val="1A50150C"/>
    <w:rsid w:val="1AE12836"/>
    <w:rsid w:val="1AE925F4"/>
    <w:rsid w:val="1B234950"/>
    <w:rsid w:val="1B2706B9"/>
    <w:rsid w:val="1B421E7E"/>
    <w:rsid w:val="1B64461F"/>
    <w:rsid w:val="1B6B7B31"/>
    <w:rsid w:val="1B9C3AE1"/>
    <w:rsid w:val="1C0E12CD"/>
    <w:rsid w:val="1C3C0819"/>
    <w:rsid w:val="1C5A6A79"/>
    <w:rsid w:val="1C603202"/>
    <w:rsid w:val="1C733C2F"/>
    <w:rsid w:val="1C933BFA"/>
    <w:rsid w:val="1C9A0200"/>
    <w:rsid w:val="1CCE5055"/>
    <w:rsid w:val="1CD529D6"/>
    <w:rsid w:val="1DEB6607"/>
    <w:rsid w:val="1DED007E"/>
    <w:rsid w:val="1DFB6F14"/>
    <w:rsid w:val="1E47773B"/>
    <w:rsid w:val="1E4B6E86"/>
    <w:rsid w:val="1F0539AE"/>
    <w:rsid w:val="1F7D50C8"/>
    <w:rsid w:val="1F893367"/>
    <w:rsid w:val="1FCB3375"/>
    <w:rsid w:val="1FD2732F"/>
    <w:rsid w:val="1FE173B4"/>
    <w:rsid w:val="1FE72E58"/>
    <w:rsid w:val="200667A3"/>
    <w:rsid w:val="20173A7C"/>
    <w:rsid w:val="203B1607"/>
    <w:rsid w:val="20783813"/>
    <w:rsid w:val="20F25F2A"/>
    <w:rsid w:val="20F27184"/>
    <w:rsid w:val="212F5EEF"/>
    <w:rsid w:val="213A4AC2"/>
    <w:rsid w:val="215C608B"/>
    <w:rsid w:val="218738BE"/>
    <w:rsid w:val="21B21339"/>
    <w:rsid w:val="21BF20AD"/>
    <w:rsid w:val="21C43928"/>
    <w:rsid w:val="21F330F9"/>
    <w:rsid w:val="22235E02"/>
    <w:rsid w:val="228C2437"/>
    <w:rsid w:val="229904C0"/>
    <w:rsid w:val="22AA70CA"/>
    <w:rsid w:val="22EFF4E2"/>
    <w:rsid w:val="23585C4E"/>
    <w:rsid w:val="236A7EFE"/>
    <w:rsid w:val="23765811"/>
    <w:rsid w:val="23805685"/>
    <w:rsid w:val="23880F1A"/>
    <w:rsid w:val="23A43F46"/>
    <w:rsid w:val="23BA6588"/>
    <w:rsid w:val="23DC635E"/>
    <w:rsid w:val="23DF7B59"/>
    <w:rsid w:val="248879F4"/>
    <w:rsid w:val="24A97FDF"/>
    <w:rsid w:val="24BC01CD"/>
    <w:rsid w:val="24C25CD7"/>
    <w:rsid w:val="24D73DEE"/>
    <w:rsid w:val="24D96D65"/>
    <w:rsid w:val="24E04C2E"/>
    <w:rsid w:val="25452366"/>
    <w:rsid w:val="256E5D87"/>
    <w:rsid w:val="258917A9"/>
    <w:rsid w:val="25A82154"/>
    <w:rsid w:val="25FC1269"/>
    <w:rsid w:val="2608337D"/>
    <w:rsid w:val="260C06F0"/>
    <w:rsid w:val="2620433E"/>
    <w:rsid w:val="269D5137"/>
    <w:rsid w:val="26BD3A0A"/>
    <w:rsid w:val="26BE70D6"/>
    <w:rsid w:val="26C301BC"/>
    <w:rsid w:val="26D424C1"/>
    <w:rsid w:val="26E81C8F"/>
    <w:rsid w:val="26F02D0C"/>
    <w:rsid w:val="26FD226B"/>
    <w:rsid w:val="27006B49"/>
    <w:rsid w:val="27367DFA"/>
    <w:rsid w:val="273C2CA3"/>
    <w:rsid w:val="273FB1AE"/>
    <w:rsid w:val="276F65BF"/>
    <w:rsid w:val="277371F3"/>
    <w:rsid w:val="278E79B1"/>
    <w:rsid w:val="27C51152"/>
    <w:rsid w:val="280447C3"/>
    <w:rsid w:val="284171EC"/>
    <w:rsid w:val="286B4689"/>
    <w:rsid w:val="289F2164"/>
    <w:rsid w:val="28B60026"/>
    <w:rsid w:val="29350CD3"/>
    <w:rsid w:val="29784CA5"/>
    <w:rsid w:val="29B80C93"/>
    <w:rsid w:val="29BB20D2"/>
    <w:rsid w:val="29D37DC7"/>
    <w:rsid w:val="29D44C7C"/>
    <w:rsid w:val="29F33C34"/>
    <w:rsid w:val="2A0155AC"/>
    <w:rsid w:val="2A293624"/>
    <w:rsid w:val="2A380298"/>
    <w:rsid w:val="2A7B46E1"/>
    <w:rsid w:val="2A886FA9"/>
    <w:rsid w:val="2AC64A60"/>
    <w:rsid w:val="2C085CD5"/>
    <w:rsid w:val="2C161930"/>
    <w:rsid w:val="2C5033C5"/>
    <w:rsid w:val="2C5C6A3E"/>
    <w:rsid w:val="2C757BAF"/>
    <w:rsid w:val="2C8606C5"/>
    <w:rsid w:val="2C8C2E69"/>
    <w:rsid w:val="2C974E3D"/>
    <w:rsid w:val="2D07338F"/>
    <w:rsid w:val="2D9147D1"/>
    <w:rsid w:val="2DB93477"/>
    <w:rsid w:val="2DF65048"/>
    <w:rsid w:val="2E165B2D"/>
    <w:rsid w:val="2E9C69DA"/>
    <w:rsid w:val="2EE84ED3"/>
    <w:rsid w:val="2F047E61"/>
    <w:rsid w:val="2F062134"/>
    <w:rsid w:val="2F21289E"/>
    <w:rsid w:val="2F8507EF"/>
    <w:rsid w:val="2F912F13"/>
    <w:rsid w:val="30315A18"/>
    <w:rsid w:val="308C4C8C"/>
    <w:rsid w:val="30A14448"/>
    <w:rsid w:val="31121DE6"/>
    <w:rsid w:val="31793EC1"/>
    <w:rsid w:val="31F242FB"/>
    <w:rsid w:val="31F82192"/>
    <w:rsid w:val="32025E0E"/>
    <w:rsid w:val="32031EA3"/>
    <w:rsid w:val="321C166B"/>
    <w:rsid w:val="32805979"/>
    <w:rsid w:val="32E66065"/>
    <w:rsid w:val="331160AA"/>
    <w:rsid w:val="33436432"/>
    <w:rsid w:val="335D23DB"/>
    <w:rsid w:val="33952FEB"/>
    <w:rsid w:val="33A34B5F"/>
    <w:rsid w:val="33A764C0"/>
    <w:rsid w:val="33AE0918"/>
    <w:rsid w:val="34054358"/>
    <w:rsid w:val="3417608E"/>
    <w:rsid w:val="342E7F12"/>
    <w:rsid w:val="343E7569"/>
    <w:rsid w:val="34496D65"/>
    <w:rsid w:val="345459E1"/>
    <w:rsid w:val="346976B5"/>
    <w:rsid w:val="346B7F37"/>
    <w:rsid w:val="34A94CBA"/>
    <w:rsid w:val="34B92F28"/>
    <w:rsid w:val="35031EB5"/>
    <w:rsid w:val="35DE49C0"/>
    <w:rsid w:val="35FA7EA7"/>
    <w:rsid w:val="363B291C"/>
    <w:rsid w:val="363E1F63"/>
    <w:rsid w:val="363FC9C7"/>
    <w:rsid w:val="37206D7C"/>
    <w:rsid w:val="375B421F"/>
    <w:rsid w:val="37905AF3"/>
    <w:rsid w:val="37A34800"/>
    <w:rsid w:val="37E02280"/>
    <w:rsid w:val="38026202"/>
    <w:rsid w:val="383B1C65"/>
    <w:rsid w:val="38764896"/>
    <w:rsid w:val="388D632D"/>
    <w:rsid w:val="38962C73"/>
    <w:rsid w:val="38C05FA5"/>
    <w:rsid w:val="38CD3EED"/>
    <w:rsid w:val="38DF1F43"/>
    <w:rsid w:val="390339EB"/>
    <w:rsid w:val="39D66640"/>
    <w:rsid w:val="3A3453FF"/>
    <w:rsid w:val="3A5C0A17"/>
    <w:rsid w:val="3A8248E0"/>
    <w:rsid w:val="3ABF2E00"/>
    <w:rsid w:val="3AF76DD0"/>
    <w:rsid w:val="3AFB14C3"/>
    <w:rsid w:val="3B07350D"/>
    <w:rsid w:val="3B1D07BC"/>
    <w:rsid w:val="3B447872"/>
    <w:rsid w:val="3B474B41"/>
    <w:rsid w:val="3B8D4322"/>
    <w:rsid w:val="3B9508B7"/>
    <w:rsid w:val="3BCE13F3"/>
    <w:rsid w:val="3BD2350C"/>
    <w:rsid w:val="3C071D01"/>
    <w:rsid w:val="3C463454"/>
    <w:rsid w:val="3CDF1FAA"/>
    <w:rsid w:val="3CFC0EF8"/>
    <w:rsid w:val="3D1026F3"/>
    <w:rsid w:val="3DB561A7"/>
    <w:rsid w:val="3DBA0327"/>
    <w:rsid w:val="3DF791BD"/>
    <w:rsid w:val="3E5049D6"/>
    <w:rsid w:val="3E6F122B"/>
    <w:rsid w:val="3E7865FD"/>
    <w:rsid w:val="3E7F0D7D"/>
    <w:rsid w:val="3E880E32"/>
    <w:rsid w:val="3EC65777"/>
    <w:rsid w:val="3ECE25DA"/>
    <w:rsid w:val="3F24659E"/>
    <w:rsid w:val="3F2E2C76"/>
    <w:rsid w:val="3F3B5C85"/>
    <w:rsid w:val="3F3E0088"/>
    <w:rsid w:val="3F6E51CB"/>
    <w:rsid w:val="3FEF5FA0"/>
    <w:rsid w:val="3FFBD47C"/>
    <w:rsid w:val="40006CAB"/>
    <w:rsid w:val="40085D42"/>
    <w:rsid w:val="402E562B"/>
    <w:rsid w:val="4046343E"/>
    <w:rsid w:val="40463EAA"/>
    <w:rsid w:val="405007A0"/>
    <w:rsid w:val="4061544C"/>
    <w:rsid w:val="40710710"/>
    <w:rsid w:val="40F61FC7"/>
    <w:rsid w:val="410A06F9"/>
    <w:rsid w:val="4125037B"/>
    <w:rsid w:val="413357D7"/>
    <w:rsid w:val="41447D45"/>
    <w:rsid w:val="41977304"/>
    <w:rsid w:val="41CD393D"/>
    <w:rsid w:val="41F949FB"/>
    <w:rsid w:val="421630C6"/>
    <w:rsid w:val="422B5E31"/>
    <w:rsid w:val="4252595A"/>
    <w:rsid w:val="43826A74"/>
    <w:rsid w:val="4389139C"/>
    <w:rsid w:val="43B22635"/>
    <w:rsid w:val="43DC59FD"/>
    <w:rsid w:val="44016A8B"/>
    <w:rsid w:val="441B763D"/>
    <w:rsid w:val="443F0A8A"/>
    <w:rsid w:val="44483F56"/>
    <w:rsid w:val="444C0E2A"/>
    <w:rsid w:val="44703E7E"/>
    <w:rsid w:val="44867A3B"/>
    <w:rsid w:val="44FD5F6B"/>
    <w:rsid w:val="450C3B52"/>
    <w:rsid w:val="450F1ADE"/>
    <w:rsid w:val="45103FCB"/>
    <w:rsid w:val="4512666F"/>
    <w:rsid w:val="45675B9E"/>
    <w:rsid w:val="45852FD0"/>
    <w:rsid w:val="458E7F08"/>
    <w:rsid w:val="45B242B5"/>
    <w:rsid w:val="45E33D03"/>
    <w:rsid w:val="465431BF"/>
    <w:rsid w:val="46751144"/>
    <w:rsid w:val="46D17A2C"/>
    <w:rsid w:val="470109B9"/>
    <w:rsid w:val="47067546"/>
    <w:rsid w:val="474801E9"/>
    <w:rsid w:val="477232C8"/>
    <w:rsid w:val="478C46CC"/>
    <w:rsid w:val="47AF67A7"/>
    <w:rsid w:val="47B339B4"/>
    <w:rsid w:val="47CB1091"/>
    <w:rsid w:val="48035F02"/>
    <w:rsid w:val="4860434A"/>
    <w:rsid w:val="48D908C8"/>
    <w:rsid w:val="490010A1"/>
    <w:rsid w:val="493537CF"/>
    <w:rsid w:val="49460D45"/>
    <w:rsid w:val="49EA2C24"/>
    <w:rsid w:val="4A74195A"/>
    <w:rsid w:val="4A7A3D76"/>
    <w:rsid w:val="4A8B6AB4"/>
    <w:rsid w:val="4A9F3033"/>
    <w:rsid w:val="4AAE190E"/>
    <w:rsid w:val="4AE70AB8"/>
    <w:rsid w:val="4B7E595B"/>
    <w:rsid w:val="4BB07602"/>
    <w:rsid w:val="4BF32BD8"/>
    <w:rsid w:val="4C421049"/>
    <w:rsid w:val="4C5411D7"/>
    <w:rsid w:val="4C546F81"/>
    <w:rsid w:val="4C564361"/>
    <w:rsid w:val="4C5904F7"/>
    <w:rsid w:val="4C99363E"/>
    <w:rsid w:val="4C9C4F4D"/>
    <w:rsid w:val="4CB96723"/>
    <w:rsid w:val="4CE4471C"/>
    <w:rsid w:val="4D8C30FA"/>
    <w:rsid w:val="4D960495"/>
    <w:rsid w:val="4E1A2AF8"/>
    <w:rsid w:val="4E3E44C6"/>
    <w:rsid w:val="4E7052FF"/>
    <w:rsid w:val="4E9D6C5F"/>
    <w:rsid w:val="4ED065C7"/>
    <w:rsid w:val="4ED60D0E"/>
    <w:rsid w:val="4F5E0911"/>
    <w:rsid w:val="4F6C7D95"/>
    <w:rsid w:val="4F7B7863"/>
    <w:rsid w:val="4FBC77EB"/>
    <w:rsid w:val="4FBD4AFA"/>
    <w:rsid w:val="4FE90FDC"/>
    <w:rsid w:val="50206576"/>
    <w:rsid w:val="50303A7C"/>
    <w:rsid w:val="50453781"/>
    <w:rsid w:val="50775F09"/>
    <w:rsid w:val="50A26FF3"/>
    <w:rsid w:val="50E61077"/>
    <w:rsid w:val="50FD84BF"/>
    <w:rsid w:val="51525315"/>
    <w:rsid w:val="515C17D5"/>
    <w:rsid w:val="519223A8"/>
    <w:rsid w:val="51B45CF8"/>
    <w:rsid w:val="51CB5559"/>
    <w:rsid w:val="520F3713"/>
    <w:rsid w:val="52CF7054"/>
    <w:rsid w:val="52EA6EF6"/>
    <w:rsid w:val="52FD6971"/>
    <w:rsid w:val="53223E56"/>
    <w:rsid w:val="53275AB8"/>
    <w:rsid w:val="537A6DD4"/>
    <w:rsid w:val="537D5DC6"/>
    <w:rsid w:val="5388089F"/>
    <w:rsid w:val="53B05A8D"/>
    <w:rsid w:val="53D745FA"/>
    <w:rsid w:val="53E40714"/>
    <w:rsid w:val="53F702D1"/>
    <w:rsid w:val="53F771CD"/>
    <w:rsid w:val="53FD29C3"/>
    <w:rsid w:val="541F5ED8"/>
    <w:rsid w:val="54467244"/>
    <w:rsid w:val="54511C79"/>
    <w:rsid w:val="54520573"/>
    <w:rsid w:val="547D34B8"/>
    <w:rsid w:val="548D7C01"/>
    <w:rsid w:val="54942775"/>
    <w:rsid w:val="549C23F0"/>
    <w:rsid w:val="54B8713B"/>
    <w:rsid w:val="54D77B5C"/>
    <w:rsid w:val="55132799"/>
    <w:rsid w:val="552739F3"/>
    <w:rsid w:val="55A768F4"/>
    <w:rsid w:val="55B62452"/>
    <w:rsid w:val="55FE78A0"/>
    <w:rsid w:val="56253786"/>
    <w:rsid w:val="562D3283"/>
    <w:rsid w:val="566C0CF7"/>
    <w:rsid w:val="569156EC"/>
    <w:rsid w:val="56CE2C6C"/>
    <w:rsid w:val="56E95104"/>
    <w:rsid w:val="571924B2"/>
    <w:rsid w:val="572109E0"/>
    <w:rsid w:val="5747400E"/>
    <w:rsid w:val="575751FD"/>
    <w:rsid w:val="578A3F51"/>
    <w:rsid w:val="57BFFF73"/>
    <w:rsid w:val="57CC6BA1"/>
    <w:rsid w:val="57CE3E29"/>
    <w:rsid w:val="581B6FA6"/>
    <w:rsid w:val="58F37117"/>
    <w:rsid w:val="59315089"/>
    <w:rsid w:val="594D3747"/>
    <w:rsid w:val="596F52DD"/>
    <w:rsid w:val="59783883"/>
    <w:rsid w:val="59BE14BB"/>
    <w:rsid w:val="59E91E58"/>
    <w:rsid w:val="5A0207F8"/>
    <w:rsid w:val="5A0F7C73"/>
    <w:rsid w:val="5A100CE1"/>
    <w:rsid w:val="5A1256F7"/>
    <w:rsid w:val="5A132397"/>
    <w:rsid w:val="5A2E42CD"/>
    <w:rsid w:val="5A7F37F9"/>
    <w:rsid w:val="5A837878"/>
    <w:rsid w:val="5A9E7D61"/>
    <w:rsid w:val="5AB5421F"/>
    <w:rsid w:val="5AFB5B71"/>
    <w:rsid w:val="5B0C31BE"/>
    <w:rsid w:val="5B767297"/>
    <w:rsid w:val="5B887615"/>
    <w:rsid w:val="5B971CED"/>
    <w:rsid w:val="5BBC41DB"/>
    <w:rsid w:val="5BFF2AD9"/>
    <w:rsid w:val="5C016066"/>
    <w:rsid w:val="5C044AD5"/>
    <w:rsid w:val="5C1138CE"/>
    <w:rsid w:val="5C1459ED"/>
    <w:rsid w:val="5C41460B"/>
    <w:rsid w:val="5C57182F"/>
    <w:rsid w:val="5C73505B"/>
    <w:rsid w:val="5C890F37"/>
    <w:rsid w:val="5CBE1F4B"/>
    <w:rsid w:val="5CE65356"/>
    <w:rsid w:val="5CF72BB2"/>
    <w:rsid w:val="5D27565F"/>
    <w:rsid w:val="5D6A538C"/>
    <w:rsid w:val="5D8627AD"/>
    <w:rsid w:val="5DAA0B93"/>
    <w:rsid w:val="5DCE0E18"/>
    <w:rsid w:val="5E2A4BFC"/>
    <w:rsid w:val="5EAC236D"/>
    <w:rsid w:val="5EDB0D8B"/>
    <w:rsid w:val="5F3732A8"/>
    <w:rsid w:val="5F45D8FF"/>
    <w:rsid w:val="5F761C45"/>
    <w:rsid w:val="5F7B9748"/>
    <w:rsid w:val="5F7F5CDE"/>
    <w:rsid w:val="5FCC33D8"/>
    <w:rsid w:val="5FFFCD3B"/>
    <w:rsid w:val="60033350"/>
    <w:rsid w:val="602266C7"/>
    <w:rsid w:val="603B7C36"/>
    <w:rsid w:val="60534AA3"/>
    <w:rsid w:val="605E47DF"/>
    <w:rsid w:val="60680187"/>
    <w:rsid w:val="60832CD9"/>
    <w:rsid w:val="60CB1B4D"/>
    <w:rsid w:val="60DC42D6"/>
    <w:rsid w:val="61217D14"/>
    <w:rsid w:val="613172F2"/>
    <w:rsid w:val="6142313B"/>
    <w:rsid w:val="614D3BC8"/>
    <w:rsid w:val="618F1CE4"/>
    <w:rsid w:val="61B9511D"/>
    <w:rsid w:val="61CE240F"/>
    <w:rsid w:val="61D23BCD"/>
    <w:rsid w:val="62302D5E"/>
    <w:rsid w:val="62A43EEF"/>
    <w:rsid w:val="63277530"/>
    <w:rsid w:val="6352384A"/>
    <w:rsid w:val="63EEBF49"/>
    <w:rsid w:val="63F5A38F"/>
    <w:rsid w:val="64340981"/>
    <w:rsid w:val="644B1C20"/>
    <w:rsid w:val="6471055F"/>
    <w:rsid w:val="64AE7D1C"/>
    <w:rsid w:val="64B97E4E"/>
    <w:rsid w:val="64C303D9"/>
    <w:rsid w:val="652B7127"/>
    <w:rsid w:val="656B579F"/>
    <w:rsid w:val="656E592B"/>
    <w:rsid w:val="65A165E9"/>
    <w:rsid w:val="65C14A06"/>
    <w:rsid w:val="65C15488"/>
    <w:rsid w:val="65DF314B"/>
    <w:rsid w:val="65FF5BB2"/>
    <w:rsid w:val="660D76B4"/>
    <w:rsid w:val="667136F9"/>
    <w:rsid w:val="66841ED9"/>
    <w:rsid w:val="66B24A2C"/>
    <w:rsid w:val="67024FEA"/>
    <w:rsid w:val="671073D1"/>
    <w:rsid w:val="67746919"/>
    <w:rsid w:val="678E06CE"/>
    <w:rsid w:val="679A602D"/>
    <w:rsid w:val="67E028BC"/>
    <w:rsid w:val="68537B47"/>
    <w:rsid w:val="68620DC9"/>
    <w:rsid w:val="687977FB"/>
    <w:rsid w:val="68A9552D"/>
    <w:rsid w:val="68C330AE"/>
    <w:rsid w:val="68D52CCF"/>
    <w:rsid w:val="68E45DE3"/>
    <w:rsid w:val="691D1344"/>
    <w:rsid w:val="6934149F"/>
    <w:rsid w:val="6958671E"/>
    <w:rsid w:val="6A281A45"/>
    <w:rsid w:val="6A3B618C"/>
    <w:rsid w:val="6AA103CB"/>
    <w:rsid w:val="6AA75408"/>
    <w:rsid w:val="6AE30A31"/>
    <w:rsid w:val="6B182CCA"/>
    <w:rsid w:val="6B2560EF"/>
    <w:rsid w:val="6B3FDA0C"/>
    <w:rsid w:val="6B4D19C5"/>
    <w:rsid w:val="6B5F2BF8"/>
    <w:rsid w:val="6B737395"/>
    <w:rsid w:val="6BD55D0B"/>
    <w:rsid w:val="6BD83CC4"/>
    <w:rsid w:val="6BDC47ED"/>
    <w:rsid w:val="6BF1112B"/>
    <w:rsid w:val="6BF76F4D"/>
    <w:rsid w:val="6C0A4626"/>
    <w:rsid w:val="6C1B3303"/>
    <w:rsid w:val="6C1B55BA"/>
    <w:rsid w:val="6C3E28BF"/>
    <w:rsid w:val="6C3F33CD"/>
    <w:rsid w:val="6C6E4605"/>
    <w:rsid w:val="6C7A7040"/>
    <w:rsid w:val="6C8132A9"/>
    <w:rsid w:val="6C9E6020"/>
    <w:rsid w:val="6CAA4D6A"/>
    <w:rsid w:val="6CC20BB5"/>
    <w:rsid w:val="6CC70826"/>
    <w:rsid w:val="6CD77821"/>
    <w:rsid w:val="6D0A6DBB"/>
    <w:rsid w:val="6D40311C"/>
    <w:rsid w:val="6D5E818C"/>
    <w:rsid w:val="6DB167DD"/>
    <w:rsid w:val="6DB43590"/>
    <w:rsid w:val="6DB84EBA"/>
    <w:rsid w:val="6E2D7393"/>
    <w:rsid w:val="6E6E6F1D"/>
    <w:rsid w:val="6E985F27"/>
    <w:rsid w:val="6EA63453"/>
    <w:rsid w:val="6F1C4DB2"/>
    <w:rsid w:val="6F293DA9"/>
    <w:rsid w:val="6F6A53B1"/>
    <w:rsid w:val="6FA25D99"/>
    <w:rsid w:val="6FC83C68"/>
    <w:rsid w:val="6FCE226C"/>
    <w:rsid w:val="6FF67EDB"/>
    <w:rsid w:val="706747BD"/>
    <w:rsid w:val="707165D4"/>
    <w:rsid w:val="70A93F9B"/>
    <w:rsid w:val="70BF78D7"/>
    <w:rsid w:val="70E95E6A"/>
    <w:rsid w:val="712F11E7"/>
    <w:rsid w:val="71790E9D"/>
    <w:rsid w:val="717A6C89"/>
    <w:rsid w:val="71AC1A5C"/>
    <w:rsid w:val="71CD17F6"/>
    <w:rsid w:val="71D4229F"/>
    <w:rsid w:val="71FFE643"/>
    <w:rsid w:val="72117E7E"/>
    <w:rsid w:val="723B41CF"/>
    <w:rsid w:val="728971FB"/>
    <w:rsid w:val="72D06024"/>
    <w:rsid w:val="733878DA"/>
    <w:rsid w:val="734779C2"/>
    <w:rsid w:val="7372294D"/>
    <w:rsid w:val="73BF73C1"/>
    <w:rsid w:val="73C23920"/>
    <w:rsid w:val="73DE8082"/>
    <w:rsid w:val="73F201AA"/>
    <w:rsid w:val="73F56F27"/>
    <w:rsid w:val="73F57069"/>
    <w:rsid w:val="745E33A9"/>
    <w:rsid w:val="74802249"/>
    <w:rsid w:val="74EB4810"/>
    <w:rsid w:val="75155729"/>
    <w:rsid w:val="75266207"/>
    <w:rsid w:val="75763149"/>
    <w:rsid w:val="75E75998"/>
    <w:rsid w:val="75F5233E"/>
    <w:rsid w:val="765D19FC"/>
    <w:rsid w:val="769B14BB"/>
    <w:rsid w:val="76AA596C"/>
    <w:rsid w:val="76CF0956"/>
    <w:rsid w:val="76DF2EC8"/>
    <w:rsid w:val="76EB0D54"/>
    <w:rsid w:val="76FF89A3"/>
    <w:rsid w:val="77045F8B"/>
    <w:rsid w:val="771C6744"/>
    <w:rsid w:val="7771110B"/>
    <w:rsid w:val="77782D28"/>
    <w:rsid w:val="77AC905F"/>
    <w:rsid w:val="77C20123"/>
    <w:rsid w:val="77F538F8"/>
    <w:rsid w:val="77FEAC2B"/>
    <w:rsid w:val="788A3DEB"/>
    <w:rsid w:val="78D6469A"/>
    <w:rsid w:val="78D82626"/>
    <w:rsid w:val="79111AC7"/>
    <w:rsid w:val="791742CD"/>
    <w:rsid w:val="792830A0"/>
    <w:rsid w:val="794E098B"/>
    <w:rsid w:val="79550880"/>
    <w:rsid w:val="799E36F7"/>
    <w:rsid w:val="79BB2413"/>
    <w:rsid w:val="79DB2804"/>
    <w:rsid w:val="79F3334C"/>
    <w:rsid w:val="79FEB46D"/>
    <w:rsid w:val="79FF0C96"/>
    <w:rsid w:val="79FFAC04"/>
    <w:rsid w:val="7A150EF7"/>
    <w:rsid w:val="7A2E1812"/>
    <w:rsid w:val="7A7029D6"/>
    <w:rsid w:val="7A751437"/>
    <w:rsid w:val="7AB2209C"/>
    <w:rsid w:val="7ACB6E73"/>
    <w:rsid w:val="7B033D7C"/>
    <w:rsid w:val="7B233171"/>
    <w:rsid w:val="7B3943CF"/>
    <w:rsid w:val="7B3F5DC1"/>
    <w:rsid w:val="7B4C5B9B"/>
    <w:rsid w:val="7B634CE1"/>
    <w:rsid w:val="7B7FD7CA"/>
    <w:rsid w:val="7B9C2512"/>
    <w:rsid w:val="7BBEA9F5"/>
    <w:rsid w:val="7BFB110F"/>
    <w:rsid w:val="7C09409A"/>
    <w:rsid w:val="7C287D7E"/>
    <w:rsid w:val="7C3825FA"/>
    <w:rsid w:val="7C768B93"/>
    <w:rsid w:val="7CDD6E09"/>
    <w:rsid w:val="7D4B33BB"/>
    <w:rsid w:val="7D7C4CEA"/>
    <w:rsid w:val="7D866779"/>
    <w:rsid w:val="7D9F3F02"/>
    <w:rsid w:val="7DD74F11"/>
    <w:rsid w:val="7DFD3DE8"/>
    <w:rsid w:val="7E23956E"/>
    <w:rsid w:val="7E357881"/>
    <w:rsid w:val="7E5F0EE8"/>
    <w:rsid w:val="7E7506DB"/>
    <w:rsid w:val="7E851F96"/>
    <w:rsid w:val="7EAB0E13"/>
    <w:rsid w:val="7EB2667C"/>
    <w:rsid w:val="7EBF5C5B"/>
    <w:rsid w:val="7EC854AC"/>
    <w:rsid w:val="7EF90802"/>
    <w:rsid w:val="7F191C23"/>
    <w:rsid w:val="7F240F41"/>
    <w:rsid w:val="7F2EB06B"/>
    <w:rsid w:val="7F961180"/>
    <w:rsid w:val="7F9D7CD8"/>
    <w:rsid w:val="7FBDECD8"/>
    <w:rsid w:val="7FD25BD3"/>
    <w:rsid w:val="7FDC49AB"/>
    <w:rsid w:val="7FF6E8B9"/>
    <w:rsid w:val="872DD8D1"/>
    <w:rsid w:val="8CFD7D71"/>
    <w:rsid w:val="98F6A217"/>
    <w:rsid w:val="9EF3C6D4"/>
    <w:rsid w:val="A6F608B5"/>
    <w:rsid w:val="A6FE92E3"/>
    <w:rsid w:val="AEFB3D80"/>
    <w:rsid w:val="AEFFC91D"/>
    <w:rsid w:val="AF7716E7"/>
    <w:rsid w:val="AFFDAD97"/>
    <w:rsid w:val="AFFF6202"/>
    <w:rsid w:val="BB7FE703"/>
    <w:rsid w:val="BDFF6CD3"/>
    <w:rsid w:val="BEFFE20C"/>
    <w:rsid w:val="BF5D7AAC"/>
    <w:rsid w:val="BFF9D9B7"/>
    <w:rsid w:val="C395EF0F"/>
    <w:rsid w:val="CFED3D00"/>
    <w:rsid w:val="DBBFC787"/>
    <w:rsid w:val="DBFDD1F6"/>
    <w:rsid w:val="DDEB6BB6"/>
    <w:rsid w:val="DFA32394"/>
    <w:rsid w:val="DFB75916"/>
    <w:rsid w:val="DFFD7882"/>
    <w:rsid w:val="ED37835A"/>
    <w:rsid w:val="EDEDE410"/>
    <w:rsid w:val="EDFF5F25"/>
    <w:rsid w:val="F1FB1DCE"/>
    <w:rsid w:val="F3FA1888"/>
    <w:rsid w:val="F5FBA58C"/>
    <w:rsid w:val="F68F753C"/>
    <w:rsid w:val="F737B226"/>
    <w:rsid w:val="F7FEB979"/>
    <w:rsid w:val="F8DD8E88"/>
    <w:rsid w:val="F9EF4DC4"/>
    <w:rsid w:val="FB7FD758"/>
    <w:rsid w:val="FBDE9D71"/>
    <w:rsid w:val="FC6F82DE"/>
    <w:rsid w:val="FC7D2E07"/>
    <w:rsid w:val="FDEFFE62"/>
    <w:rsid w:val="FE3F4E0A"/>
    <w:rsid w:val="FEFCCCB5"/>
    <w:rsid w:val="FEFF8AF8"/>
    <w:rsid w:val="FF8E68D3"/>
    <w:rsid w:val="FFBC7452"/>
    <w:rsid w:val="FFBD87E0"/>
    <w:rsid w:val="FFF7D2F7"/>
    <w:rsid w:val="FFF9762E"/>
    <w:rsid w:val="FFF9BA66"/>
    <w:rsid w:val="FFFB395B"/>
    <w:rsid w:val="FFFDC6A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nhideWhenUsed="0" w:uiPriority="0" w:semiHidden="0" w:name="endnote text"/>
    <w:lsdException w:uiPriority="0" w:name="table of authorities"/>
    <w:lsdException w:uiPriority="0" w:name="macro"/>
    <w:lsdException w:unhideWhenUsed="0" w:uiPriority="0" w:semiHidden="0" w:name="toa heading"/>
    <w:lsdException w:unhideWhenUsed="0" w:uiPriority="0" w:semiHidden="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99" w:semiHidden="0" w:name="Body Text"/>
    <w:lsdException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qFormat="1" w:unhideWhenUsed="0"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200" w:firstLineChars="200"/>
      <w:jc w:val="both"/>
    </w:pPr>
    <w:rPr>
      <w:rFonts w:ascii="仿宋" w:hAnsi="仿宋" w:eastAsia="仿宋" w:cs="Times New Roman"/>
      <w:kern w:val="2"/>
      <w:sz w:val="28"/>
      <w:szCs w:val="24"/>
      <w:lang w:val="en-US" w:eastAsia="zh-CN" w:bidi="ar-SA"/>
    </w:rPr>
  </w:style>
  <w:style w:type="paragraph" w:styleId="3">
    <w:name w:val="heading 1"/>
    <w:basedOn w:val="1"/>
    <w:next w:val="1"/>
    <w:qFormat/>
    <w:uiPriority w:val="0"/>
    <w:pPr>
      <w:keepNext/>
      <w:keepLines/>
      <w:jc w:val="left"/>
      <w:outlineLvl w:val="0"/>
    </w:pPr>
    <w:rPr>
      <w:rFonts w:ascii="宋体" w:hAnsi="宋体" w:eastAsia="黑体"/>
      <w:b/>
      <w:bCs/>
      <w:kern w:val="44"/>
      <w:szCs w:val="44"/>
    </w:rPr>
  </w:style>
  <w:style w:type="paragraph" w:styleId="4">
    <w:name w:val="heading 2"/>
    <w:basedOn w:val="1"/>
    <w:next w:val="1"/>
    <w:unhideWhenUsed/>
    <w:qFormat/>
    <w:uiPriority w:val="0"/>
    <w:pPr>
      <w:keepNext/>
      <w:keepLines/>
      <w:outlineLvl w:val="1"/>
    </w:pPr>
    <w:rPr>
      <w:rFonts w:ascii="Arial" w:hAnsi="Arial" w:eastAsia="楷体"/>
      <w:b/>
      <w:sz w:val="32"/>
    </w:rPr>
  </w:style>
  <w:style w:type="paragraph" w:styleId="2">
    <w:name w:val="heading 3"/>
    <w:basedOn w:val="1"/>
    <w:next w:val="1"/>
    <w:qFormat/>
    <w:uiPriority w:val="0"/>
    <w:pPr>
      <w:keepNext/>
      <w:keepLines/>
      <w:outlineLvl w:val="2"/>
    </w:pPr>
    <w:rPr>
      <w:rFonts w:ascii="仿宋_GB2312" w:hAnsi="仿宋_GB2312" w:eastAsia="仿宋_GB2312"/>
      <w:b/>
      <w:bCs/>
      <w:szCs w:val="32"/>
    </w:rPr>
  </w:style>
  <w:style w:type="character" w:default="1" w:styleId="13">
    <w:name w:val="Default Paragraph Font"/>
    <w:unhideWhenUsed/>
    <w:qFormat/>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qFormat/>
    <w:uiPriority w:val="99"/>
    <w:pPr>
      <w:spacing w:after="120"/>
    </w:pPr>
    <w:rPr>
      <w:rFonts w:ascii="Times New Roman" w:hAnsi="Times New Roman" w:eastAsia="宋体"/>
    </w:rPr>
  </w:style>
  <w:style w:type="paragraph" w:styleId="7">
    <w:name w:val="Balloon Text"/>
    <w:basedOn w:val="1"/>
    <w:link w:val="24"/>
    <w:qFormat/>
    <w:uiPriority w:val="0"/>
    <w:pPr>
      <w:spacing w:line="240" w:lineRule="auto"/>
    </w:pPr>
    <w:rPr>
      <w:sz w:val="18"/>
      <w:szCs w:val="18"/>
    </w:rPr>
  </w:style>
  <w:style w:type="paragraph" w:styleId="8">
    <w:name w:val="footer"/>
    <w:basedOn w:val="1"/>
    <w:link w:val="22"/>
    <w:qFormat/>
    <w:uiPriority w:val="99"/>
    <w:pPr>
      <w:tabs>
        <w:tab w:val="center" w:pos="4153"/>
        <w:tab w:val="right" w:pos="8306"/>
      </w:tabs>
      <w:snapToGrid w:val="0"/>
      <w:jc w:val="left"/>
    </w:pPr>
    <w:rPr>
      <w:rFonts w:ascii="Times New Roman" w:hAnsi="Times New Roman"/>
      <w:sz w:val="18"/>
    </w:rPr>
  </w:style>
  <w:style w:type="paragraph" w:styleId="9">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99"/>
    <w:pPr>
      <w:spacing w:before="100" w:beforeAutospacing="1" w:after="100" w:afterAutospacing="1"/>
      <w:jc w:val="left"/>
    </w:pPr>
    <w:rPr>
      <w:sz w:val="24"/>
    </w:rPr>
  </w:style>
  <w:style w:type="paragraph" w:styleId="11">
    <w:name w:val="Body Text First Indent"/>
    <w:basedOn w:val="6"/>
    <w:semiHidden/>
    <w:qFormat/>
    <w:uiPriority w:val="0"/>
    <w:pPr>
      <w:ind w:firstLine="420" w:firstLineChars="100"/>
    </w:pPr>
  </w:style>
  <w:style w:type="character" w:styleId="14">
    <w:name w:val="Strong"/>
    <w:basedOn w:val="13"/>
    <w:qFormat/>
    <w:uiPriority w:val="0"/>
    <w:rPr>
      <w:b/>
      <w:bCs/>
    </w:rPr>
  </w:style>
  <w:style w:type="paragraph" w:customStyle="1" w:styleId="15">
    <w:name w:val="正文A"/>
    <w:basedOn w:val="1"/>
    <w:qFormat/>
    <w:uiPriority w:val="4"/>
    <w:pPr>
      <w:widowControl/>
      <w:spacing w:line="580" w:lineRule="exact"/>
      <w:ind w:firstLine="640"/>
      <w:jc w:val="left"/>
    </w:pPr>
    <w:rPr>
      <w:rFonts w:ascii="仿宋_GB2312" w:hAnsi="仿宋_GB2312" w:eastAsia="仿宋_GB2312" w:cs="宋体"/>
      <w:sz w:val="32"/>
      <w:szCs w:val="32"/>
    </w:rPr>
  </w:style>
  <w:style w:type="paragraph" w:customStyle="1" w:styleId="16">
    <w:name w:val="列表段落1"/>
    <w:basedOn w:val="1"/>
    <w:unhideWhenUsed/>
    <w:qFormat/>
    <w:uiPriority w:val="99"/>
    <w:pPr>
      <w:ind w:firstLine="420"/>
    </w:pPr>
  </w:style>
  <w:style w:type="paragraph" w:customStyle="1" w:styleId="17">
    <w:name w:val="样式1"/>
    <w:basedOn w:val="1"/>
    <w:link w:val="19"/>
    <w:qFormat/>
    <w:uiPriority w:val="0"/>
    <w:pPr>
      <w:ind w:firstLine="560"/>
    </w:pPr>
  </w:style>
  <w:style w:type="paragraph" w:customStyle="1" w:styleId="18">
    <w:name w:val="样式2"/>
    <w:basedOn w:val="9"/>
    <w:link w:val="21"/>
    <w:qFormat/>
    <w:uiPriority w:val="0"/>
    <w:pPr>
      <w:pBdr>
        <w:bottom w:val="none" w:color="auto" w:sz="0" w:space="0"/>
      </w:pBdr>
      <w:ind w:firstLine="360"/>
    </w:pPr>
  </w:style>
  <w:style w:type="character" w:customStyle="1" w:styleId="19">
    <w:name w:val="样式1 Char"/>
    <w:basedOn w:val="13"/>
    <w:link w:val="17"/>
    <w:qFormat/>
    <w:uiPriority w:val="0"/>
    <w:rPr>
      <w:rFonts w:ascii="仿宋" w:hAnsi="仿宋" w:eastAsia="仿宋"/>
      <w:kern w:val="2"/>
      <w:sz w:val="28"/>
      <w:szCs w:val="24"/>
    </w:rPr>
  </w:style>
  <w:style w:type="character" w:customStyle="1" w:styleId="20">
    <w:name w:val="页眉 字符"/>
    <w:basedOn w:val="13"/>
    <w:link w:val="9"/>
    <w:qFormat/>
    <w:uiPriority w:val="99"/>
    <w:rPr>
      <w:rFonts w:ascii="仿宋" w:hAnsi="仿宋" w:eastAsia="仿宋"/>
      <w:kern w:val="2"/>
      <w:sz w:val="18"/>
      <w:szCs w:val="18"/>
    </w:rPr>
  </w:style>
  <w:style w:type="character" w:customStyle="1" w:styleId="21">
    <w:name w:val="样式2 Char"/>
    <w:basedOn w:val="20"/>
    <w:link w:val="18"/>
    <w:qFormat/>
    <w:uiPriority w:val="0"/>
    <w:rPr>
      <w:rFonts w:ascii="仿宋" w:hAnsi="仿宋" w:eastAsia="仿宋"/>
      <w:kern w:val="2"/>
      <w:sz w:val="18"/>
      <w:szCs w:val="18"/>
    </w:rPr>
  </w:style>
  <w:style w:type="character" w:customStyle="1" w:styleId="22">
    <w:name w:val="页脚 字符"/>
    <w:basedOn w:val="13"/>
    <w:link w:val="8"/>
    <w:qFormat/>
    <w:uiPriority w:val="99"/>
    <w:rPr>
      <w:rFonts w:eastAsia="仿宋"/>
      <w:kern w:val="2"/>
      <w:sz w:val="18"/>
      <w:szCs w:val="24"/>
    </w:rPr>
  </w:style>
  <w:style w:type="paragraph" w:customStyle="1" w:styleId="23">
    <w:name w:val="闻政-正文段落文字"/>
    <w:basedOn w:val="1"/>
    <w:link w:val="25"/>
    <w:qFormat/>
    <w:uiPriority w:val="3"/>
    <w:pPr>
      <w:spacing w:line="500" w:lineRule="exact"/>
    </w:pPr>
    <w:rPr>
      <w:kern w:val="0"/>
      <w:szCs w:val="28"/>
    </w:rPr>
  </w:style>
  <w:style w:type="character" w:customStyle="1" w:styleId="24">
    <w:name w:val="批注框文本 字符"/>
    <w:basedOn w:val="13"/>
    <w:link w:val="7"/>
    <w:qFormat/>
    <w:uiPriority w:val="0"/>
    <w:rPr>
      <w:rFonts w:ascii="仿宋" w:hAnsi="仿宋" w:eastAsia="仿宋"/>
      <w:kern w:val="2"/>
      <w:sz w:val="18"/>
      <w:szCs w:val="18"/>
    </w:rPr>
  </w:style>
  <w:style w:type="character" w:customStyle="1" w:styleId="25">
    <w:name w:val="闻政-正文段落文字 Char"/>
    <w:link w:val="23"/>
    <w:qFormat/>
    <w:uiPriority w:val="3"/>
    <w:rPr>
      <w:rFonts w:ascii="仿宋" w:hAnsi="仿宋" w:eastAsia="仿宋"/>
      <w:sz w:val="28"/>
      <w:szCs w:val="28"/>
    </w:rPr>
  </w:style>
  <w:style w:type="paragraph" w:customStyle="1" w:styleId="26">
    <w:name w:val="List Paragraph"/>
    <w:basedOn w:val="1"/>
    <w:unhideWhenUsed/>
    <w:qFormat/>
    <w:uiPriority w:val="99"/>
    <w:pPr>
      <w:spacing w:line="240" w:lineRule="auto"/>
      <w:ind w:firstLine="420"/>
    </w:pPr>
    <w:rPr>
      <w:rFonts w:ascii="Calibri" w:hAnsi="Calibri" w:eastAsia="宋体" w:cs="Arial"/>
      <w:sz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20</Pages>
  <Words>1425</Words>
  <Characters>8128</Characters>
  <Lines>67</Lines>
  <Paragraphs>19</Paragraphs>
  <TotalTime>5</TotalTime>
  <ScaleCrop>false</ScaleCrop>
  <LinksUpToDate>false</LinksUpToDate>
  <CharactersWithSpaces>9534</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2014-11-04T20:08:00Z</dcterms:created>
  <dc:creator>Administrator</dc:creator>
  <cp:lastModifiedBy>Administrator</cp:lastModifiedBy>
  <dcterms:modified xsi:type="dcterms:W3CDTF">2025-10-27T05:27:28Z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C3AB63226FA340F8A445AEEF466E5174_13</vt:lpwstr>
  </property>
</Properties>
</file>