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裕民县城管监察大队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widowControl/>
        <w:spacing w:line="540" w:lineRule="exact"/>
        <w:ind w:firstLine="640"/>
        <w:jc w:val="left"/>
        <w:rPr>
          <w:rFonts w:ascii="仿宋_GB2312" w:hAnsi="黑体" w:eastAsia="仿宋_GB2312" w:cs="宋体"/>
          <w:bCs/>
          <w:color w:val="auto"/>
          <w:kern w:val="0"/>
          <w:sz w:val="32"/>
          <w:szCs w:val="32"/>
          <w:highlight w:val="none"/>
        </w:rPr>
      </w:pPr>
      <w:bookmarkStart w:id="4" w:name="_Toc31238"/>
      <w:bookmarkStart w:id="5" w:name="_Toc2151"/>
      <w:r>
        <w:rPr>
          <w:rFonts w:hint="eastAsia" w:ascii="仿宋_GB2312" w:hAnsi="黑体" w:eastAsia="仿宋_GB2312" w:cs="宋体"/>
          <w:bCs/>
          <w:color w:val="auto"/>
          <w:kern w:val="0"/>
          <w:sz w:val="32"/>
          <w:szCs w:val="32"/>
          <w:highlight w:val="none"/>
        </w:rPr>
        <w:t>(1)、依据《中华人民共和国城市规划法》，实施城市规划监督。</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(2)、依据《城市道路管理条例》，实施城市市改工程设施的监督。</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(3)、依据《城市供水条例》，实施城市公用设施的监督。</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(4)、依据《城市市容</w:t>
      </w:r>
      <w:r>
        <w:rPr>
          <w:rFonts w:hint="eastAsia" w:ascii="仿宋_GB2312" w:hAnsi="黑体" w:eastAsia="仿宋_GB2312" w:cs="宋体"/>
          <w:bCs/>
          <w:color w:val="auto"/>
          <w:kern w:val="0"/>
          <w:sz w:val="32"/>
          <w:szCs w:val="32"/>
          <w:highlight w:val="none"/>
          <w:lang w:eastAsia="zh-CN"/>
        </w:rPr>
        <w:t>和</w:t>
      </w:r>
      <w:r>
        <w:rPr>
          <w:rFonts w:hint="eastAsia" w:ascii="仿宋_GB2312" w:hAnsi="黑体" w:eastAsia="仿宋_GB2312" w:cs="宋体"/>
          <w:bCs/>
          <w:color w:val="auto"/>
          <w:kern w:val="0"/>
          <w:sz w:val="32"/>
          <w:szCs w:val="32"/>
          <w:highlight w:val="none"/>
        </w:rPr>
        <w:t>环境卫生管理条例》，实施</w:t>
      </w:r>
      <w:bookmarkStart w:id="48" w:name="_GoBack"/>
      <w:bookmarkEnd w:id="48"/>
      <w:r>
        <w:rPr>
          <w:rFonts w:hint="eastAsia" w:ascii="仿宋_GB2312" w:hAnsi="黑体" w:eastAsia="仿宋_GB2312" w:cs="宋体"/>
          <w:bCs/>
          <w:color w:val="auto"/>
          <w:kern w:val="0"/>
          <w:sz w:val="32"/>
          <w:szCs w:val="32"/>
          <w:highlight w:val="none"/>
        </w:rPr>
        <w:t>城市市容环境的监督。</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(5)、依据《城市绿化条例》，实施城市园林绿化的监督。</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裕民县城管监察大队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widowControl/>
        <w:spacing w:line="540" w:lineRule="exact"/>
        <w:ind w:firstLine="640"/>
        <w:jc w:val="left"/>
        <w:rPr>
          <w:rFonts w:hint="eastAsia" w:ascii="仿宋_GB2312" w:hAnsi="宋体" w:eastAsia="仿宋_GB2312" w:cs="宋体"/>
          <w:color w:val="auto"/>
          <w:kern w:val="0"/>
          <w:sz w:val="32"/>
          <w:szCs w:val="32"/>
          <w:highlight w:val="none"/>
          <w:lang w:eastAsia="zh-CN"/>
        </w:rPr>
      </w:pPr>
      <w:bookmarkStart w:id="6" w:name="_Toc29374"/>
      <w:bookmarkStart w:id="7" w:name="_Toc3092"/>
      <w:r>
        <w:rPr>
          <w:rFonts w:hint="eastAsia" w:ascii="仿宋_GB2312" w:eastAsia="仿宋_GB2312"/>
          <w:color w:val="auto"/>
          <w:sz w:val="32"/>
          <w:szCs w:val="32"/>
          <w:highlight w:val="none"/>
          <w:lang w:val="en-US" w:eastAsia="zh-CN"/>
        </w:rPr>
        <w:t>从部门决算单位构成看，新疆塔城地区裕民县城管监察大队部门决算包括：新疆塔城地区裕民县城管监察大队决算。单位无下属预算单位，下设2个处室，分别是：</w:t>
      </w:r>
      <w:r>
        <w:rPr>
          <w:rFonts w:hint="eastAsia" w:ascii="仿宋_GB2312" w:hAnsi="宋体" w:eastAsia="仿宋_GB2312" w:cs="宋体"/>
          <w:color w:val="auto"/>
          <w:kern w:val="0"/>
          <w:sz w:val="32"/>
          <w:szCs w:val="32"/>
          <w:highlight w:val="none"/>
        </w:rPr>
        <w:t>办公室、</w:t>
      </w:r>
      <w:r>
        <w:rPr>
          <w:rFonts w:hint="eastAsia" w:ascii="仿宋_GB2312" w:hAnsi="宋体" w:eastAsia="仿宋_GB2312" w:cs="宋体"/>
          <w:color w:val="auto"/>
          <w:kern w:val="0"/>
          <w:sz w:val="32"/>
          <w:szCs w:val="32"/>
          <w:highlight w:val="none"/>
          <w:lang w:eastAsia="zh-CN"/>
        </w:rPr>
        <w:t>档案室。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295.11万元，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295.11万元，使用非财政拨款结余0.00万元，年初结转和结余0.00万元。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295.11万元，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295.08万元，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0.00万元，年末结转和结余0.03万元。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增加20.03万元</w:t>
      </w:r>
      <w:r>
        <w:rPr>
          <w:rFonts w:hint="eastAsia" w:ascii="仿宋_GB2312" w:eastAsia="仿宋_GB2312"/>
          <w:color w:val="auto"/>
          <w:spacing w:val="0"/>
          <w:sz w:val="32"/>
          <w:szCs w:val="32"/>
          <w:highlight w:val="none"/>
          <w:lang w:eastAsia="zh-CN"/>
        </w:rPr>
        <w:t>，增长7.28%，主要原因是：2023年新录公务员两人，退休人员死亡一人，发放抚恤金。工资增加，基数增加。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295.11</w:t>
      </w:r>
      <w:r>
        <w:rPr>
          <w:rFonts w:hint="eastAsia" w:ascii="仿宋_GB2312" w:eastAsia="仿宋_GB2312"/>
          <w:b/>
          <w:bCs/>
          <w:color w:val="auto"/>
          <w:sz w:val="32"/>
          <w:szCs w:val="32"/>
          <w:highlight w:val="none"/>
        </w:rPr>
        <w:t>万元，</w:t>
      </w:r>
      <w:r>
        <w:rPr>
          <w:rFonts w:hint="eastAsia" w:ascii="仿宋_GB2312" w:eastAsia="仿宋_GB2312"/>
          <w:color w:val="auto"/>
          <w:spacing w:val="0"/>
          <w:sz w:val="32"/>
          <w:szCs w:val="32"/>
          <w:highlight w:val="none"/>
          <w:lang w:val="zh-CN" w:eastAsia="zh-CN"/>
        </w:rPr>
        <w:t>其中：财政拨款收入295.08万元，占99.99%；上级补助收入0.00万元，占0.00%；事业收入0.00万元，占0.00%；经营收入0.00万元，占0.00%；附属单位上缴收入0.00万元，占0.00%；其他收入0.03万元，占0.01%。</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本年支出295.08万元，</w:t>
      </w:r>
      <w:r>
        <w:rPr>
          <w:rFonts w:hint="eastAsia" w:ascii="Times New Roman" w:hAnsi="Times New Roman" w:eastAsia="仿宋_GB2312" w:cs="仿宋_GB2312"/>
          <w:color w:val="auto"/>
          <w:sz w:val="32"/>
          <w:szCs w:val="32"/>
          <w:highlight w:val="none"/>
          <w:lang w:val="zh-CN" w:eastAsia="zh-CN"/>
        </w:rPr>
        <w:t>其中：</w:t>
      </w:r>
      <w:r>
        <w:rPr>
          <w:rFonts w:hint="eastAsia" w:ascii="仿宋_GB2312" w:eastAsia="仿宋_GB2312"/>
          <w:color w:val="auto"/>
          <w:spacing w:val="0"/>
          <w:sz w:val="32"/>
          <w:szCs w:val="32"/>
          <w:highlight w:val="none"/>
          <w:lang w:val="zh-CN" w:eastAsia="zh-CN"/>
        </w:rPr>
        <w:t>基本支出295.08万元，占100.00%；项目支出0.00万元，占0.00%；上缴上级支出0.00万元，占0.00%；经营支出0.00万元，占0.00%；对附属单位补助支出0.00万元，占0.00%。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295.08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295.08</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295.08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295.08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增加20.00万元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增长7.27%,</w:t>
      </w:r>
      <w:r>
        <w:rPr>
          <w:rFonts w:hint="eastAsia" w:ascii="仿宋_GB2312" w:eastAsia="仿宋_GB2312"/>
          <w:color w:val="auto"/>
          <w:spacing w:val="0"/>
          <w:sz w:val="32"/>
          <w:szCs w:val="32"/>
          <w:highlight w:val="none"/>
          <w:lang w:eastAsia="zh-CN"/>
        </w:rPr>
        <w:t>主要原因是：2023年新录公务员两人，退休人员死亡一人，发放抚恤金。工资增加，基数增加。</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254.05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295.08</w:t>
      </w:r>
      <w:r>
        <w:rPr>
          <w:rFonts w:hint="eastAsia" w:ascii="仿宋_GB2312" w:eastAsia="仿宋_GB2312"/>
          <w:color w:val="auto"/>
          <w:spacing w:val="0"/>
          <w:sz w:val="32"/>
          <w:szCs w:val="32"/>
          <w:highlight w:val="none"/>
          <w:lang w:eastAsia="zh-CN"/>
        </w:rPr>
        <w:t>万元，预决算差异率16.15%，主要原因是：2023年新录公务员两人，退休人员死亡一人，发放抚恤金。工资增加，基数增加。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2023年度一般公共预算财政拨款支出295.08万元，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增加20.00万元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增长7.27%,</w:t>
      </w:r>
      <w:r>
        <w:rPr>
          <w:rFonts w:hint="eastAsia" w:ascii="仿宋_GB2312" w:eastAsia="仿宋_GB2312"/>
          <w:color w:val="auto"/>
          <w:spacing w:val="0"/>
          <w:sz w:val="32"/>
          <w:szCs w:val="32"/>
          <w:highlight w:val="none"/>
          <w:lang w:eastAsia="zh-CN"/>
        </w:rPr>
        <w:t>主要原因是：2023年新录公务员两人，退休人员死亡一人，发放抚恤金。</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254.05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295.08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16.15%</w:t>
      </w:r>
      <w:r>
        <w:rPr>
          <w:rFonts w:hint="eastAsia" w:ascii="仿宋_GB2312" w:eastAsia="仿宋_GB2312"/>
          <w:color w:val="auto"/>
          <w:spacing w:val="0"/>
          <w:sz w:val="32"/>
          <w:szCs w:val="32"/>
          <w:highlight w:val="none"/>
          <w:lang w:eastAsia="zh-CN"/>
        </w:rPr>
        <w:t>，主要原因是2023年新录公务员两人，退休人员死亡一人，发放抚恤金。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52.24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17.71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13.47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4.57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.城乡社区支出（类）</w:t>
      </w:r>
      <w:r>
        <w:rPr>
          <w:rFonts w:hint="eastAsia" w:ascii="仿宋_GB2312" w:hAnsi="Times New Roman" w:eastAsia="仿宋_GB2312" w:cs="Times New Roman"/>
          <w:color w:val="auto"/>
          <w:spacing w:val="0"/>
          <w:kern w:val="2"/>
          <w:sz w:val="32"/>
          <w:szCs w:val="32"/>
          <w:highlight w:val="none"/>
          <w:lang w:val="zh-CN" w:eastAsia="zh-CN" w:bidi="ar-SA"/>
        </w:rPr>
        <w:t>211.97</w:t>
      </w:r>
      <w:r>
        <w:rPr>
          <w:rFonts w:hint="default" w:ascii="仿宋_GB2312" w:hAnsi="Times New Roman" w:eastAsia="仿宋_GB2312" w:cs="Times New Roman"/>
          <w:color w:val="auto"/>
          <w:spacing w:val="0"/>
          <w:kern w:val="2"/>
          <w:sz w:val="32"/>
          <w:szCs w:val="32"/>
          <w:highlight w:val="none"/>
          <w:lang w:val="zh-CN" w:eastAsia="zh-CN" w:bidi="ar-SA"/>
        </w:rPr>
        <w:t xml:space="preserve">万元，占 </w:t>
      </w:r>
      <w:r>
        <w:rPr>
          <w:rFonts w:hint="eastAsia" w:ascii="仿宋_GB2312" w:hAnsi="Times New Roman" w:eastAsia="仿宋_GB2312" w:cs="Times New Roman"/>
          <w:color w:val="auto"/>
          <w:spacing w:val="0"/>
          <w:kern w:val="2"/>
          <w:sz w:val="32"/>
          <w:szCs w:val="32"/>
          <w:highlight w:val="none"/>
          <w:lang w:val="zh-CN" w:eastAsia="zh-CN" w:bidi="ar-SA"/>
        </w:rPr>
        <w:t>71.84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17.39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eastAsia="仿宋_GB2312"/>
          <w:b w:val="0"/>
          <w:bCs w:val="0"/>
          <w:color w:val="auto"/>
          <w:spacing w:val="0"/>
          <w:sz w:val="32"/>
          <w:szCs w:val="32"/>
          <w:highlight w:val="none"/>
          <w:lang w:val="en-US" w:eastAsia="zh-CN"/>
        </w:rPr>
        <w:t>卫生健康支出（类）行政事业单位医疗（款）行政单位医疗（项）:支出决算数为10.03万元，比上年决算减少0.44万元，下降4.19%，主要原因是：</w:t>
      </w:r>
      <w:r>
        <w:rPr>
          <w:rFonts w:hint="eastAsia" w:ascii="仿宋_GB2312" w:eastAsia="仿宋_GB2312"/>
          <w:b w:val="0"/>
          <w:bCs w:val="0"/>
          <w:color w:val="auto"/>
          <w:spacing w:val="0"/>
          <w:sz w:val="32"/>
          <w:szCs w:val="32"/>
          <w:highlight w:val="none"/>
          <w:lang w:val="zh-CN" w:eastAsia="zh-CN"/>
        </w:rPr>
        <w:t>在职转退休一人，工资比例下降，医疗基数减少。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eastAsia="仿宋_GB2312"/>
          <w:b w:val="0"/>
          <w:bCs w:val="0"/>
          <w:color w:val="auto"/>
          <w:spacing w:val="0"/>
          <w:sz w:val="32"/>
          <w:szCs w:val="32"/>
          <w:highlight w:val="none"/>
          <w:lang w:val="en-US" w:eastAsia="zh-CN"/>
        </w:rPr>
        <w:t>卫生健康支出（类）行政事业单位医疗（款）公务员医疗补助（项）:支出决算数为3.44万元，比上年决算减少0.26万元，下降7.03%，主要原因是：</w:t>
      </w:r>
      <w:r>
        <w:rPr>
          <w:rFonts w:hint="eastAsia" w:ascii="仿宋_GB2312" w:eastAsia="仿宋_GB2312"/>
          <w:b w:val="0"/>
          <w:bCs w:val="0"/>
          <w:color w:val="auto"/>
          <w:spacing w:val="0"/>
          <w:sz w:val="32"/>
          <w:szCs w:val="32"/>
          <w:highlight w:val="none"/>
          <w:lang w:val="zh-CN" w:eastAsia="zh-CN"/>
        </w:rPr>
        <w:t>在职转退休一人，工资比例下降，医疗基数减少。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eastAsia="仿宋_GB2312"/>
          <w:b w:val="0"/>
          <w:bCs w:val="0"/>
          <w:color w:val="auto"/>
          <w:spacing w:val="0"/>
          <w:sz w:val="32"/>
          <w:szCs w:val="32"/>
          <w:highlight w:val="none"/>
          <w:lang w:val="en-US" w:eastAsia="zh-CN"/>
        </w:rPr>
        <w:t>城乡社区支出（类）城乡社区管理事务（款）城管执法（项）:支出决算数为211.97万元，比上年决算减少6.50万元，下降2.98%，主要原因是：</w:t>
      </w:r>
      <w:r>
        <w:rPr>
          <w:rFonts w:hint="eastAsia" w:ascii="仿宋_GB2312" w:eastAsia="仿宋_GB2312"/>
          <w:b w:val="0"/>
          <w:bCs w:val="0"/>
          <w:color w:val="auto"/>
          <w:spacing w:val="0"/>
          <w:sz w:val="32"/>
          <w:szCs w:val="32"/>
          <w:highlight w:val="none"/>
          <w:lang w:val="zh-CN" w:eastAsia="zh-CN"/>
        </w:rPr>
        <w:t>2023年在职转退休一人，</w:t>
      </w:r>
      <w:r>
        <w:rPr>
          <w:rFonts w:hint="eastAsia" w:ascii="仿宋_GB2312" w:eastAsia="仿宋_GB2312"/>
          <w:b w:val="0"/>
          <w:bCs w:val="0"/>
          <w:color w:val="auto"/>
          <w:spacing w:val="0"/>
          <w:sz w:val="32"/>
          <w:szCs w:val="32"/>
          <w:highlight w:val="none"/>
          <w:lang w:val="en-US" w:eastAsia="zh-CN"/>
        </w:rPr>
        <w:t>经费减少</w:t>
      </w:r>
      <w:r>
        <w:rPr>
          <w:rFonts w:hint="eastAsia" w:ascii="仿宋_GB2312" w:eastAsia="仿宋_GB2312"/>
          <w:b w:val="0"/>
          <w:bCs w:val="0"/>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eastAsia="仿宋_GB2312"/>
          <w:b w:val="0"/>
          <w:bCs w:val="0"/>
          <w:color w:val="auto"/>
          <w:spacing w:val="0"/>
          <w:sz w:val="32"/>
          <w:szCs w:val="32"/>
          <w:highlight w:val="none"/>
          <w:lang w:val="en-US" w:eastAsia="zh-CN"/>
        </w:rPr>
        <w:t>住房保障支出（类）住房改革支出（款）住房公积金（项）:支出决算数为17.39万元，比上年决算减少0.22万元，下降1.25%，主要原因是：</w:t>
      </w:r>
      <w:r>
        <w:rPr>
          <w:rFonts w:hint="eastAsia" w:ascii="仿宋_GB2312" w:eastAsia="仿宋_GB2312"/>
          <w:b w:val="0"/>
          <w:bCs w:val="0"/>
          <w:color w:val="auto"/>
          <w:spacing w:val="0"/>
          <w:sz w:val="32"/>
          <w:szCs w:val="32"/>
          <w:highlight w:val="none"/>
          <w:lang w:val="zh-CN" w:eastAsia="zh-CN"/>
        </w:rPr>
        <w:t>2023年在职转退休一人。工资比例下降，住房公积金缴费基数减少。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w:t>
      </w:r>
      <w:r>
        <w:rPr>
          <w:rFonts w:hint="eastAsia" w:ascii="仿宋_GB2312" w:eastAsia="仿宋_GB2312"/>
          <w:b w:val="0"/>
          <w:bCs w:val="0"/>
          <w:color w:val="auto"/>
          <w:spacing w:val="0"/>
          <w:sz w:val="32"/>
          <w:szCs w:val="32"/>
          <w:highlight w:val="none"/>
          <w:lang w:val="en-US" w:eastAsia="zh-CN"/>
        </w:rPr>
        <w:t>行政单位离退休（项）:支出决算数为22.88万元，比上年决算增加19.15万元，增长513.40%，主要原因是：</w:t>
      </w:r>
      <w:r>
        <w:rPr>
          <w:rFonts w:hint="eastAsia" w:ascii="仿宋_GB2312" w:eastAsia="仿宋_GB2312"/>
          <w:b w:val="0"/>
          <w:bCs w:val="0"/>
          <w:color w:val="auto"/>
          <w:spacing w:val="0"/>
          <w:sz w:val="32"/>
          <w:szCs w:val="32"/>
          <w:highlight w:val="none"/>
          <w:lang w:val="zh-CN" w:eastAsia="zh-CN"/>
        </w:rPr>
        <w:t>退休人员死亡一人，发放抚恤金。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6.</w:t>
      </w:r>
      <w:r>
        <w:rPr>
          <w:rFonts w:hint="eastAsia" w:ascii="仿宋_GB2312" w:eastAsia="仿宋_GB2312"/>
          <w:b w:val="0"/>
          <w:bCs w:val="0"/>
          <w:color w:val="auto"/>
          <w:spacing w:val="0"/>
          <w:sz w:val="32"/>
          <w:szCs w:val="32"/>
          <w:highlight w:val="none"/>
          <w:lang w:val="en-US" w:eastAsia="zh-CN"/>
        </w:rPr>
        <w:t>社会保障和就业支出（类）行政事业单位养老支出（款）机关事业单位职业年金缴费支出（项）:支出决算数为6.81万元，比上年决算增加6.81万元，增长100%，主要原因是：</w:t>
      </w:r>
      <w:r>
        <w:rPr>
          <w:rFonts w:hint="eastAsia" w:ascii="仿宋_GB2312" w:eastAsia="仿宋_GB2312"/>
          <w:b w:val="0"/>
          <w:bCs w:val="0"/>
          <w:color w:val="auto"/>
          <w:spacing w:val="0"/>
          <w:sz w:val="32"/>
          <w:szCs w:val="32"/>
          <w:highlight w:val="none"/>
          <w:lang w:val="zh-CN" w:eastAsia="zh-CN"/>
        </w:rPr>
        <w:t>在职转退休一人，</w:t>
      </w:r>
      <w:r>
        <w:rPr>
          <w:rFonts w:hint="eastAsia" w:ascii="仿宋_GB2312" w:eastAsia="仿宋_GB2312"/>
          <w:b w:val="0"/>
          <w:bCs w:val="0"/>
          <w:color w:val="auto"/>
          <w:spacing w:val="0"/>
          <w:sz w:val="32"/>
          <w:szCs w:val="32"/>
          <w:highlight w:val="none"/>
          <w:lang w:val="en-US" w:eastAsia="zh-CN"/>
        </w:rPr>
        <w:t>缴纳职业年金增加</w:t>
      </w:r>
      <w:r>
        <w:rPr>
          <w:rFonts w:hint="eastAsia" w:ascii="仿宋_GB2312" w:eastAsia="仿宋_GB2312"/>
          <w:b w:val="0"/>
          <w:bCs w:val="0"/>
          <w:color w:val="auto"/>
          <w:spacing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b w:val="0"/>
          <w:bCs w:val="0"/>
          <w:color w:val="auto"/>
          <w:spacing w:val="0"/>
          <w:sz w:val="32"/>
          <w:szCs w:val="32"/>
          <w:highlight w:val="none"/>
          <w:lang w:val="zh-CN" w:eastAsia="zh-CN"/>
        </w:rPr>
      </w:pPr>
      <w:r>
        <w:rPr>
          <w:rFonts w:hint="eastAsia" w:ascii="Times New Roman" w:hAnsi="Times New Roman" w:eastAsia="仿宋_GB2312" w:cs="Times New Roman"/>
          <w:color w:val="auto"/>
          <w:kern w:val="2"/>
          <w:sz w:val="32"/>
          <w:szCs w:val="32"/>
          <w:highlight w:val="none"/>
          <w:lang w:val="en-US" w:eastAsia="zh-CN" w:bidi="ar-SA"/>
        </w:rPr>
        <w:t>7.</w:t>
      </w:r>
      <w:r>
        <w:rPr>
          <w:rFonts w:hint="eastAsia" w:ascii="仿宋_GB2312" w:eastAsia="仿宋_GB2312"/>
          <w:b w:val="0"/>
          <w:bCs w:val="0"/>
          <w:color w:val="auto"/>
          <w:spacing w:val="0"/>
          <w:sz w:val="32"/>
          <w:szCs w:val="32"/>
          <w:highlight w:val="none"/>
          <w:lang w:val="en-US" w:eastAsia="zh-CN"/>
        </w:rPr>
        <w:t>社会保障和就业支出（类）行政事业单位养老支出（款）机关事业单位基本养老保险缴费支出（项）:支出决算数为22.55万元，比上年决算增加1.47万元，增长6.96%，主要原因是：</w:t>
      </w:r>
      <w:r>
        <w:rPr>
          <w:rFonts w:hint="eastAsia" w:ascii="仿宋_GB2312" w:eastAsia="仿宋_GB2312"/>
          <w:b w:val="0"/>
          <w:bCs w:val="0"/>
          <w:color w:val="auto"/>
          <w:spacing w:val="0"/>
          <w:sz w:val="32"/>
          <w:szCs w:val="32"/>
          <w:highlight w:val="none"/>
          <w:lang w:val="zh-CN" w:eastAsia="zh-CN"/>
        </w:rPr>
        <w:t>2023年新录公务员两人，养老保险缴费缴费基数增加。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295.08</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287.52</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基本工资65.24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、津贴补贴67.99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、奖金47.21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、机关事业单位基本养老保险缴费22.55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、职业年金缴费6.81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、职工基本医疗保险缴费10.03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、公务员医疗补助缴费3.44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、其他社会保障缴费0.49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、住房公积金17.39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、其他工资福利支出23.49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、退休费2.08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、抚恤金20.01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、医疗费补助0.79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7.56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办公费2.53万元、邮电费0.32万元、取暖费0.31万元、差旅费0.46万元、工会经费2.46万元、其他交通费用1.30万元、其他商品和服务支出0.19万元万元。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本单位无“三公”经费支出业务，无此项费用</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我单位无因公出国（境）费用支出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我我单位无公务用车购置及运行维护支出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我单位无公务接待支出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我单位无此项开支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rPr>
        <w:t>公务用车运行维护费开支内容包括</w:t>
      </w:r>
      <w:r>
        <w:rPr>
          <w:rFonts w:hint="eastAsia" w:ascii="仿宋_GB2312" w:eastAsia="仿宋_GB2312"/>
          <w:color w:val="auto"/>
          <w:sz w:val="32"/>
          <w:szCs w:val="32"/>
          <w:highlight w:val="none"/>
          <w:lang w:val="en-US" w:eastAsia="zh-CN"/>
        </w:rPr>
        <w:t>我单位无此项开支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3辆为执法车。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我单位无此项开支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本单位本年无“三公”经费预算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我单位无因公出国（境）费用预算</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我单位无公务用车购置费预算</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我单位无公务用车运行维护费用预算</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我单位无公务接待费用预算</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我单位本年度无政府性基金预算财政拨款收入支出，政府性基金预算财政拨款收入支出决算表为空表。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我单位本年度无国有资本经营预算财政拨款收入支出，国有资本经营预算财政拨款收入支出决算表为空表。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裕民县城管监察大队（行政单位和参照公务员法管理事业单位）机关运行经费支出7.56万元，</w:t>
      </w:r>
      <w:r>
        <w:rPr>
          <w:rFonts w:hint="eastAsia" w:ascii="仿宋_GB2312" w:eastAsia="仿宋_GB2312"/>
          <w:color w:val="auto"/>
          <w:sz w:val="32"/>
          <w:szCs w:val="32"/>
          <w:highlight w:val="none"/>
          <w:lang w:val="zh-CN" w:eastAsia="zh-CN"/>
        </w:rPr>
        <w:t>比上年减少0.96万元，下降11.22%，主要原因是：2023年压缩经费所致</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2023年度政府采购支出总额0.50万元，其中：政府采购货物支出0.00万元、政府采购工程支出0.00万元、政府采购服务支出0.50万元。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授予中小企业合同金额0.50万元，占政府采购支出总额的100.00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，其中：授予小微企业合同金额0.50万元，占政府采购支出总额的100.00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30.83</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屋0.0平方米，价值0.00万元。车辆3辆，价值22.00万元，其中：副部（省）级及以上领导用车0辆、主要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用车0辆、机要通信用车0辆、应急保障用车0辆、执法执勤用车3辆、特种专业技术用车0辆、离退休干部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用车0辆、其他用车0辆；单价100万元（含）以上设备（不含车辆）0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预算总额295.11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实际执行总额295.08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一是人员支出、公用经费、专项资金的支出及时、有效，财政资金保障及时；已完成年初制定的重点工作、工作计划、绩效目标等；达到了预期的效果；二是不存在违规发放人员工资、违规支出资金的情况</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一是年初预算工作不扎实；二是在工作期间调整经济分类及用途；三是部门决算公开不规范、不够细化等现象</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一是做好预算编制工作，进一步完善职工工资、福利费、社会保障费、住房公积金、公用经费等编制制度；二是科学合理确定人员支出定额和公用支出定额，确保财政资金正常开支；三是项目按计划组织实施，规划预决算填报及公开制度</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BC0C2B"/>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5A5BE1"/>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0B2E9B"/>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1F06637"/>
    <w:rsid w:val="32601BAD"/>
    <w:rsid w:val="329F6389"/>
    <w:rsid w:val="32B5732D"/>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AD1020"/>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500E1F"/>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A01C6B"/>
    <w:rsid w:val="50447CC2"/>
    <w:rsid w:val="50874A7C"/>
    <w:rsid w:val="50895EE7"/>
    <w:rsid w:val="50921B9D"/>
    <w:rsid w:val="50D16158"/>
    <w:rsid w:val="50DB5F45"/>
    <w:rsid w:val="50E642AB"/>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990E77"/>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1B6DE9"/>
    <w:rsid w:val="603D5080"/>
    <w:rsid w:val="60D0261B"/>
    <w:rsid w:val="613F15E1"/>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9D6E4D"/>
    <w:rsid w:val="67C304AB"/>
    <w:rsid w:val="683F0658"/>
    <w:rsid w:val="689C6793"/>
    <w:rsid w:val="68DB0208"/>
    <w:rsid w:val="68FB170C"/>
    <w:rsid w:val="691B3D98"/>
    <w:rsid w:val="693748F0"/>
    <w:rsid w:val="69846A0E"/>
    <w:rsid w:val="69AA1366"/>
    <w:rsid w:val="69AD798C"/>
    <w:rsid w:val="69D005C0"/>
    <w:rsid w:val="69D80B96"/>
    <w:rsid w:val="6B68175F"/>
    <w:rsid w:val="6BF80218"/>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C5781A"/>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6D3DB2"/>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6480</Words>
  <Characters>20825</Characters>
  <Lines>0</Lines>
  <Paragraphs>0</Paragraphs>
  <TotalTime>12</TotalTime>
  <ScaleCrop>false</ScaleCrop>
  <LinksUpToDate>false</LinksUpToDate>
  <CharactersWithSpaces>20937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2025-10-23T05:24:34Z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C7698DCB0CF7440E9093FFE07D524725</vt:lpwstr>
  </property>
  <property fmtid="{D5CDD505-2E9C-101B-9397-08002B2CF9AE}" pid="4" name="KSOTemplateDocerSaveRecord">
    <vt:lpwstr>eyJoZGlkIjoiODZlNjM2MGZhOGRmYzI2ZDVkNzFhOGZkM2E2OTg5YWEifQ==</vt:lpwstr>
  </property>
</Properties>
</file>