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裕民县野生动物救护站2023年中央财政林业草原生态保护恢复资金（国有林保护修复-生物多样性保护）项目</w:t>
      </w:r>
      <w:r>
        <w:rPr>
          <w:rFonts w:hint="eastAsia" w:ascii="方正小标宋简体" w:hAnsi="黑体" w:eastAsia="方正小标宋简体" w:cs="黑体"/>
          <w:bCs/>
          <w:sz w:val="48"/>
          <w:szCs w:val="48"/>
        </w:rPr>
        <w:t>支出绩效评价报告</w:t>
      </w: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Style w:val="11"/>
        <w:rPr>
          <w:rFonts w:ascii="方正小标宋简体" w:hAnsi="黑体" w:eastAsia="方正小标宋简体" w:cs="黑体"/>
          <w:bCs/>
          <w:sz w:val="48"/>
          <w:szCs w:val="48"/>
        </w:rPr>
      </w:pPr>
    </w:p>
    <w:p/>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2099" w:leftChars="214" w:hanging="1500" w:hangingChars="500"/>
        <w:jc w:val="both"/>
        <w:textAlignment w:val="auto"/>
        <w:rPr>
          <w:rFonts w:ascii="黑体" w:hAnsi="黑体" w:eastAsia="黑体" w:cs="宋体"/>
          <w:color w:val="auto"/>
          <w:sz w:val="30"/>
          <w:szCs w:val="30"/>
        </w:rPr>
      </w:pPr>
      <w:r>
        <w:rPr>
          <w:rFonts w:ascii="黑体" w:hAnsi="黑体" w:eastAsia="黑体" w:cs="宋体"/>
          <w:color w:val="auto"/>
          <w:sz w:val="30"/>
          <w:szCs w:val="30"/>
        </w:rPr>
        <w:t>项目名称：</w:t>
      </w:r>
      <w:r>
        <w:rPr>
          <w:rFonts w:hint="eastAsia" w:ascii="黑体" w:hAnsi="黑体" w:eastAsia="黑体" w:cs="宋体"/>
          <w:color w:val="auto"/>
          <w:sz w:val="30"/>
          <w:szCs w:val="30"/>
        </w:rPr>
        <w:t>2023年中央财政林业草原生态保护恢复资金（国有林保护修复-生物多样性保护）项目</w:t>
      </w:r>
    </w:p>
    <w:p>
      <w:pPr>
        <w:pageBreakBefore w:val="0"/>
        <w:widowControl w:val="0"/>
        <w:kinsoku/>
        <w:wordWrap/>
        <w:topLinePunct w:val="0"/>
        <w:autoSpaceDE/>
        <w:autoSpaceDN/>
        <w:bidi w:val="0"/>
        <w:spacing w:line="570" w:lineRule="exact"/>
        <w:ind w:firstLine="600" w:firstLineChars="200"/>
        <w:jc w:val="both"/>
        <w:textAlignment w:val="auto"/>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裕民县野生动物救护站</w:t>
      </w:r>
    </w:p>
    <w:p>
      <w:pPr>
        <w:pageBreakBefore w:val="0"/>
        <w:widowControl w:val="0"/>
        <w:kinsoku/>
        <w:wordWrap/>
        <w:topLinePunct w:val="0"/>
        <w:autoSpaceDE/>
        <w:autoSpaceDN/>
        <w:bidi w:val="0"/>
        <w:spacing w:line="570" w:lineRule="exact"/>
        <w:ind w:firstLine="600" w:firstLineChars="200"/>
        <w:jc w:val="both"/>
        <w:textAlignment w:val="auto"/>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裕民县自然资源局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pageBreakBefore w:val="0"/>
        <w:widowControl w:val="0"/>
        <w:kinsoku/>
        <w:wordWrap/>
        <w:topLinePunct w:val="0"/>
        <w:autoSpaceDE/>
        <w:autoSpaceDN/>
        <w:bidi w:val="0"/>
        <w:spacing w:line="570" w:lineRule="exact"/>
        <w:ind w:firstLine="600" w:firstLineChars="200"/>
        <w:jc w:val="both"/>
        <w:textAlignment w:val="auto"/>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张文军</w:t>
      </w:r>
    </w:p>
    <w:p>
      <w:pPr>
        <w:pageBreakBefore w:val="0"/>
        <w:widowControl w:val="0"/>
        <w:kinsoku/>
        <w:wordWrap/>
        <w:topLinePunct w:val="0"/>
        <w:autoSpaceDE/>
        <w:autoSpaceDN/>
        <w:bidi w:val="0"/>
        <w:spacing w:line="570" w:lineRule="exact"/>
        <w:ind w:firstLine="600" w:firstLineChars="200"/>
        <w:jc w:val="both"/>
        <w:textAlignment w:val="auto"/>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24</w:t>
      </w:r>
      <w:r>
        <w:rPr>
          <w:rFonts w:hint="eastAsia" w:ascii="黑体" w:hAnsi="黑体" w:eastAsia="黑体" w:cs="仿宋_GB2312"/>
          <w:color w:val="auto"/>
          <w:sz w:val="30"/>
          <w:szCs w:val="30"/>
        </w:rPr>
        <w:t>日</w:t>
      </w:r>
    </w:p>
    <w:p>
      <w:pPr>
        <w:pStyle w:val="2"/>
        <w:pageBreakBefore w:val="0"/>
        <w:widowControl w:val="0"/>
        <w:kinsoku/>
        <w:wordWrap/>
        <w:topLinePunct w:val="0"/>
        <w:autoSpaceDE/>
        <w:autoSpaceDN/>
        <w:bidi w:val="0"/>
        <w:spacing w:line="570" w:lineRule="exact"/>
        <w:ind w:firstLine="643" w:firstLineChars="200"/>
        <w:jc w:val="both"/>
        <w:textAlignment w:val="auto"/>
        <w:rPr>
          <w:rFonts w:hint="eastAsia" w:ascii="楷体_GB2312" w:hAnsi="黑体" w:eastAsia="楷体_GB2312" w:cs="黑体"/>
          <w:bCs/>
          <w:color w:val="FF0000"/>
          <w:sz w:val="32"/>
          <w:szCs w:val="32"/>
          <w:lang w:val="en-US" w:eastAsia="zh-CN"/>
        </w:rPr>
      </w:pPr>
    </w:p>
    <w:p>
      <w:pPr>
        <w:pageBreakBefore w:val="0"/>
        <w:widowControl w:val="0"/>
        <w:kinsoku/>
        <w:wordWrap/>
        <w:topLinePunct w:val="0"/>
        <w:autoSpaceDE/>
        <w:autoSpaceDN/>
        <w:bidi w:val="0"/>
        <w:spacing w:line="570" w:lineRule="exact"/>
        <w:ind w:firstLine="560" w:firstLineChars="200"/>
        <w:jc w:val="both"/>
        <w:textAlignment w:val="auto"/>
        <w:rPr>
          <w:rFonts w:hint="eastAsia"/>
          <w:lang w:val="en-US" w:eastAsia="zh-CN"/>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裕民县野生动物救护站2023年中央财政林业草原生态保护恢复资金（国有林保护修复-生物多样性保护）项目</w:t>
      </w:r>
      <w:r>
        <w:rPr>
          <w:rFonts w:hint="eastAsia" w:ascii="方正小标宋_GBK" w:hAnsi="黑体" w:eastAsia="方正小标宋_GBK" w:cs="黑体"/>
          <w:bCs/>
          <w:sz w:val="44"/>
          <w:szCs w:val="44"/>
        </w:rPr>
        <w:t>支出绩效评价报告</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70" w:lineRule="exact"/>
        <w:ind w:firstLine="643" w:firstLineChars="200"/>
        <w:jc w:val="both"/>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裕民县隶属于新疆维吾尔自治区塔城地区，位于新疆维吾尔自治区西北部塔额盆地南缘、准噶尔盆地西缘。地处东经82°12′～83°30′，北纬45°24′～46°3′之间，县城所在地哈拉布拉镇距乌鲁木齐425公里。全县东西最宽65公里，南北最长120公里，总面积为6106平方公里。已发现植物种类约有192种，有松、云杉、白桦、海棠、桃、无花果、橡皮树、山楂、野玫瑰等，其中最有发展价值的属野巴旦杏和酸梅。野巴旦杏是裕民县特有的野生珍稀植物资源，是第三世纪新生代孑遗的物种。野生动物康复中心现仅依靠县财政拨款经费维持救助、饲养等日常工作，随着每年救护、饲养野生动物的数量增加，已出现救助食物短缺、救助基础设施老化等问题，亟需上级主管部门资金力度支持。</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康复中心配备野生动物监测设备严重不足，远满足不了日常监测需求，且日常工作人员对救助野生动物伤势无法准确判断，在一定程度上大大影响了救助效率。</w:t>
      </w:r>
    </w:p>
    <w:p>
      <w:pPr>
        <w:pStyle w:val="28"/>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color w:val="auto"/>
          <w:sz w:val="32"/>
          <w:szCs w:val="32"/>
        </w:rPr>
        <w:t>为贯彻落实</w:t>
      </w:r>
      <w:r>
        <w:rPr>
          <w:rFonts w:hint="eastAsia" w:ascii="仿宋_GB2312" w:hAnsi="仿宋_GB2312" w:eastAsia="仿宋_GB2312" w:cs="仿宋_GB2312"/>
          <w:color w:val="auto"/>
          <w:sz w:val="32"/>
          <w:szCs w:val="32"/>
          <w:lang w:eastAsia="zh-CN"/>
        </w:rPr>
        <w:t>“绿水青山、就是金山银山”的发展理念及</w:t>
      </w:r>
      <w:r>
        <w:rPr>
          <w:rFonts w:hint="eastAsia" w:ascii="仿宋_GB2312" w:hAnsi="仿宋_GB2312" w:eastAsia="仿宋_GB2312" w:cs="仿宋_GB2312"/>
          <w:color w:val="auto"/>
          <w:sz w:val="32"/>
          <w:szCs w:val="32"/>
        </w:rPr>
        <w:t>习近平</w:t>
      </w:r>
      <w:bookmarkStart w:id="21" w:name="_GoBack"/>
      <w:bookmarkEnd w:id="21"/>
      <w:r>
        <w:rPr>
          <w:rFonts w:hint="eastAsia" w:ascii="仿宋_GB2312" w:hAnsi="仿宋_GB2312" w:eastAsia="仿宋_GB2312" w:cs="仿宋_GB2312"/>
          <w:color w:val="auto"/>
          <w:sz w:val="32"/>
          <w:szCs w:val="32"/>
          <w:lang w:eastAsia="zh-CN"/>
        </w:rPr>
        <w:t>生态文明思想</w:t>
      </w:r>
      <w:r>
        <w:rPr>
          <w:rFonts w:hint="eastAsia" w:ascii="仿宋_GB2312" w:hAnsi="仿宋_GB2312" w:eastAsia="仿宋_GB2312" w:cs="仿宋_GB2312"/>
          <w:color w:val="auto"/>
          <w:sz w:val="32"/>
          <w:szCs w:val="32"/>
        </w:rPr>
        <w:t>，坚持以尊重科学、注重保护，统筹兼顾、分步实施，严格要求、加强监管，突出重点、合理布局，多方合作、走可持续发展道路的原则，建立符合我县实际的综合性管理体系，实现人与自然的和谐发展。</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野生动物救护站根据地区财政局</w:t>
      </w:r>
      <w:r>
        <w:rPr>
          <w:rFonts w:hint="eastAsia" w:ascii="仿宋_GB2312" w:hAnsi="仿宋_GB2312" w:eastAsia="仿宋_GB2312" w:cs="仿宋_GB2312"/>
          <w:color w:val="auto"/>
          <w:sz w:val="32"/>
          <w:szCs w:val="32"/>
        </w:rPr>
        <w:t>《关于提前下达2023年中央财政林业草原生态保护恢复资金建设任务的通知》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塔地财建〔2022〕114号</w:t>
      </w:r>
      <w:r>
        <w:rPr>
          <w:rFonts w:hint="eastAsia" w:ascii="仿宋_GB2312" w:hAnsi="仿宋_GB2312" w:eastAsia="仿宋_GB2312" w:cs="仿宋_GB2312"/>
          <w:color w:val="auto"/>
          <w:sz w:val="32"/>
          <w:szCs w:val="32"/>
          <w:lang w:val="en-US" w:eastAsia="zh-CN"/>
        </w:rPr>
        <w:t>）要求，实施</w:t>
      </w:r>
      <w:r>
        <w:rPr>
          <w:rFonts w:hint="eastAsia" w:ascii="仿宋_GB2312" w:hAnsi="仿宋_GB2312" w:eastAsia="仿宋_GB2312" w:cs="仿宋_GB2312"/>
          <w:color w:val="auto"/>
          <w:sz w:val="32"/>
          <w:szCs w:val="32"/>
        </w:rPr>
        <w:t>裕民县2023年中央财政林业草原生态保护恢复资金（国有林保护修复-生物多样性保护）项目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从而增强我县野生动物救护能力</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 w:hAnsi="仿宋" w:eastAsia="仿宋" w:cs="仿宋"/>
          <w:sz w:val="32"/>
          <w:szCs w:val="32"/>
          <w:lang w:eastAsia="zh-CN"/>
        </w:rPr>
      </w:pPr>
      <w:r>
        <w:rPr>
          <w:rFonts w:hint="eastAsia" w:ascii="仿宋_GB2312" w:hAnsi="仿宋_GB2312" w:eastAsia="仿宋_GB2312" w:cs="仿宋_GB2312"/>
          <w:color w:val="auto"/>
          <w:sz w:val="32"/>
          <w:szCs w:val="32"/>
          <w:lang w:val="en-US" w:eastAsia="zh-CN"/>
        </w:rPr>
        <w:t>根据</w:t>
      </w:r>
      <w:bookmarkStart w:id="0" w:name="_Hlk126333491"/>
      <w:r>
        <w:rPr>
          <w:rFonts w:hint="eastAsia" w:ascii="仿宋_GB2312" w:hAnsi="仿宋_GB2312" w:eastAsia="仿宋_GB2312" w:cs="仿宋_GB2312"/>
          <w:b w:val="0"/>
          <w:bCs w:val="0"/>
          <w:color w:val="auto"/>
          <w:sz w:val="32"/>
          <w:szCs w:val="32"/>
        </w:rPr>
        <w:t>自治区林业和草原局</w:t>
      </w:r>
      <w:r>
        <w:rPr>
          <w:rFonts w:hint="eastAsia" w:ascii="仿宋_GB2312" w:hAnsi="仿宋_GB2312" w:eastAsia="仿宋_GB2312" w:cs="仿宋_GB2312"/>
          <w:color w:val="auto"/>
          <w:sz w:val="32"/>
          <w:szCs w:val="32"/>
        </w:rPr>
        <w:t>《关于提前下达2023年中央财政林业草原生态保护恢复资金建设任务的通知》</w:t>
      </w:r>
      <w:bookmarkEnd w:id="0"/>
      <w:r>
        <w:rPr>
          <w:rFonts w:hint="eastAsia" w:ascii="仿宋_GB2312" w:hAnsi="仿宋_GB2312" w:eastAsia="仿宋_GB2312" w:cs="仿宋_GB2312"/>
          <w:color w:val="auto"/>
          <w:sz w:val="32"/>
          <w:szCs w:val="32"/>
        </w:rPr>
        <w:t>（新林规字〔2022〕260号）</w:t>
      </w:r>
      <w:r>
        <w:rPr>
          <w:rFonts w:hint="eastAsia" w:ascii="仿宋_GB2312" w:hAnsi="仿宋_GB2312" w:eastAsia="仿宋_GB2312" w:cs="仿宋_GB2312"/>
          <w:color w:val="auto"/>
          <w:sz w:val="32"/>
          <w:szCs w:val="32"/>
          <w:lang w:val="en-US" w:eastAsia="zh-CN"/>
        </w:rPr>
        <w:t>以及《关于对裕民县2023年中央财政林业草原生态保护恢复资金（国有林保护修复-生物多样性保护）项目实施方案的批复》（塔地林草字〔2023〕63号）要求，</w:t>
      </w:r>
      <w:r>
        <w:rPr>
          <w:rFonts w:hint="eastAsia" w:ascii="仿宋_GB2312" w:hAnsi="仿宋_GB2312" w:eastAsia="仿宋_GB2312" w:cs="仿宋_GB2312"/>
          <w:color w:val="auto"/>
          <w:sz w:val="32"/>
          <w:szCs w:val="32"/>
          <w:lang w:eastAsia="zh-Hans"/>
        </w:rPr>
        <w:t>本项目实施</w:t>
      </w:r>
      <w:r>
        <w:rPr>
          <w:rFonts w:hint="eastAsia" w:ascii="仿宋_GB2312" w:hAnsi="仿宋_GB2312" w:eastAsia="仿宋_GB2312" w:cs="仿宋_GB2312"/>
          <w:color w:val="auto"/>
          <w:sz w:val="32"/>
          <w:szCs w:val="32"/>
          <w:lang w:val="en-US" w:eastAsia="zh-CN"/>
        </w:rPr>
        <w:t>内容为</w:t>
      </w:r>
      <w:r>
        <w:rPr>
          <w:rFonts w:hint="eastAsia" w:ascii="仿宋_GB2312" w:hAnsi="仿宋_GB2312" w:cs="仿宋_GB2312"/>
          <w:color w:val="auto"/>
          <w:sz w:val="32"/>
          <w:szCs w:val="32"/>
          <w:lang w:val="en-US" w:eastAsia="zh-CN"/>
        </w:rPr>
        <w:t>：</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Hans"/>
        </w:rPr>
        <w:t>1）救助中心修缮支出，包括野生动物康复中心维修1项；</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（2）防护物资支出，包括采购防护物资1套；</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bookmarkStart w:id="1" w:name="_Hlk25138630"/>
      <w:r>
        <w:rPr>
          <w:rFonts w:hint="eastAsia" w:ascii="仿宋_GB2312" w:hAnsi="仿宋_GB2312" w:eastAsia="仿宋_GB2312" w:cs="仿宋_GB2312"/>
          <w:color w:val="auto"/>
          <w:sz w:val="32"/>
          <w:szCs w:val="32"/>
          <w:lang w:eastAsia="zh-Hans"/>
        </w:rPr>
        <w:t>（3）野生动物救助治疗支出，包括野生动物救助治疗服务费1项；</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（4）野生动物监测设备支出，包括购置红外夜视仪2套，双筒望远镜4套，打印复印扫描传真机一体机1台；</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（5）野生动物救助食物支出，包括购置苜蓿草6.5吨，玉米3吨；</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（6）野生动物救助能力建设支出，包括救助车辆燃油、维修费1项。</w:t>
      </w:r>
      <w:bookmarkEnd w:id="1"/>
      <w:r>
        <w:rPr>
          <w:rFonts w:hint="eastAsia" w:ascii="仿宋_GB2312" w:hAnsi="仿宋_GB2312" w:eastAsia="仿宋_GB2312" w:cs="仿宋_GB2312"/>
          <w:color w:val="auto"/>
          <w:sz w:val="32"/>
          <w:szCs w:val="32"/>
          <w:lang w:val="en-US" w:eastAsia="zh-CN"/>
        </w:rPr>
        <w:t>通过项目实施，修缮救助中心，提升野生动物救助环境，改善了工作人员工作环境，提高了野生动物救治能力；购买防护物资，增强野生动物救助手段，提升野生动物救助综合能力，对维护生物多样性和稳定性具有重要意义；通过野生动物救助治疗项目实施，可提高野生动物治愈率；采购野生动物监测设备，增加对野生动物监测手段，提高了监测能力；购置野生动物救助食物，提高了被救助野生动物生存能力。</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2023年中央财政林业草原生态保护恢复资金（国有林保护修复-生物多样性保护）项目</w:t>
      </w:r>
      <w:r>
        <w:rPr>
          <w:rFonts w:hint="eastAsia" w:ascii="仿宋_GB2312" w:hAnsi="仿宋_GB2312" w:cs="仿宋_GB2312"/>
          <w:color w:val="000000" w:themeColor="text1"/>
          <w:sz w:val="32"/>
          <w:szCs w:val="32"/>
          <w:lang w:eastAsia="zh-Hans"/>
          <w14:textFill>
            <w14:solidFill>
              <w14:schemeClr w14:val="tx1"/>
            </w14:solidFill>
          </w14:textFill>
        </w:rPr>
        <w:t>的实施主体为</w:t>
      </w:r>
      <w:r>
        <w:rPr>
          <w:rFonts w:hint="eastAsia" w:ascii="仿宋_GB2312" w:hAnsi="仿宋_GB2312" w:cs="仿宋_GB2312"/>
          <w:color w:val="000000" w:themeColor="text1"/>
          <w:sz w:val="32"/>
          <w:szCs w:val="32"/>
          <w:lang w:val="en-US" w:eastAsia="zh-CN"/>
          <w14:textFill>
            <w14:solidFill>
              <w14:schemeClr w14:val="tx1"/>
            </w14:solidFill>
          </w14:textFill>
        </w:rPr>
        <w:t>裕民县野生动物救护站</w:t>
      </w:r>
      <w:r>
        <w:rPr>
          <w:rFonts w:hint="eastAsia" w:ascii="仿宋_GB2312" w:hAnsi="仿宋_GB2312" w:cs="仿宋_GB2312"/>
          <w:color w:val="000000" w:themeColor="text1"/>
          <w:sz w:val="32"/>
          <w:szCs w:val="32"/>
          <w:lang w:eastAsia="zh-CN"/>
          <w14:textFill>
            <w14:solidFill>
              <w14:schemeClr w14:val="tx1"/>
            </w14:solidFill>
          </w14:textFill>
        </w:rPr>
        <w:t>。</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val="en-US" w:eastAsia="zh-CN"/>
        </w:rPr>
        <w:t>裕民县财政局《</w:t>
      </w:r>
      <w:r>
        <w:rPr>
          <w:rFonts w:hint="eastAsia" w:ascii="仿宋_GB2312" w:hAnsi="仿宋_GB2312" w:eastAsia="仿宋_GB2312" w:cs="仿宋_GB2312"/>
          <w:color w:val="auto"/>
          <w:sz w:val="32"/>
          <w:szCs w:val="32"/>
          <w:lang w:eastAsia="zh-Hans"/>
        </w:rPr>
        <w:t>关于提前下达2023年中央财政林业草原生态保护恢复资金建设任务的通知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裕财建[2022]23号</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文件，</w:t>
      </w:r>
      <w:r>
        <w:rPr>
          <w:rFonts w:hint="eastAsia" w:ascii="仿宋_GB2312" w:hAnsi="仿宋_GB2312" w:eastAsia="仿宋_GB2312" w:cs="仿宋_GB2312"/>
          <w:color w:val="auto"/>
          <w:sz w:val="32"/>
          <w:szCs w:val="32"/>
        </w:rPr>
        <w:t>裕民县2023年中央财政林业草原生态保护恢复资金（国有林保护修复-生物多样性保护）项目</w:t>
      </w:r>
      <w:r>
        <w:rPr>
          <w:rFonts w:hint="eastAsia" w:ascii="仿宋_GB2312" w:hAnsi="仿宋_GB2312" w:eastAsia="仿宋_GB2312" w:cs="仿宋_GB2312"/>
          <w:color w:val="auto"/>
          <w:sz w:val="32"/>
          <w:szCs w:val="32"/>
          <w:lang w:eastAsia="zh-Hans"/>
        </w:rPr>
        <w:t>预算</w:t>
      </w:r>
      <w:r>
        <w:rPr>
          <w:rFonts w:hint="eastAsia" w:ascii="仿宋_GB2312" w:hAnsi="仿宋_GB2312" w:eastAsia="仿宋_GB2312" w:cs="仿宋_GB2312"/>
          <w:color w:val="auto"/>
          <w:sz w:val="32"/>
          <w:szCs w:val="32"/>
        </w:rPr>
        <w:t>安排资金</w:t>
      </w:r>
      <w:r>
        <w:rPr>
          <w:rFonts w:hint="eastAsia" w:ascii="仿宋_GB2312" w:hAnsi="仿宋_GB2312" w:eastAsia="仿宋_GB2312" w:cs="仿宋_GB2312"/>
          <w:color w:val="auto"/>
          <w:sz w:val="32"/>
          <w:szCs w:val="32"/>
          <w:lang w:eastAsia="zh-Hans"/>
        </w:rPr>
        <w:t>总额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Hans"/>
        </w:rPr>
        <w:t>其中</w:t>
      </w:r>
      <w:r>
        <w:rPr>
          <w:rFonts w:hint="eastAsia" w:ascii="仿宋_GB2312" w:hAnsi="仿宋_GB2312" w:eastAsia="仿宋_GB2312" w:cs="仿宋_GB2312"/>
          <w:color w:val="auto"/>
          <w:sz w:val="32"/>
          <w:szCs w:val="32"/>
        </w:rPr>
        <w:t>财政资金</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万元、其他资金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年实际收到预算资金</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万元，预算资金到位率为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28.84</w:t>
      </w:r>
      <w:r>
        <w:rPr>
          <w:rFonts w:hint="eastAsia" w:ascii="仿宋_GB2312"/>
          <w:color w:val="auto"/>
          <w:sz w:val="32"/>
          <w:szCs w:val="32"/>
        </w:rPr>
        <w:t>万元，预算执行率</w:t>
      </w:r>
      <w:r>
        <w:rPr>
          <w:rFonts w:hint="eastAsia" w:ascii="仿宋_GB2312"/>
          <w:color w:val="auto"/>
          <w:sz w:val="32"/>
          <w:szCs w:val="32"/>
          <w:lang w:val="en-US" w:eastAsia="zh-CN"/>
        </w:rPr>
        <w:t>96.13</w:t>
      </w:r>
      <w:r>
        <w:rPr>
          <w:rFonts w:hint="eastAsia" w:ascii="仿宋_GB2312"/>
          <w:color w:val="auto"/>
          <w:sz w:val="32"/>
          <w:szCs w:val="32"/>
        </w:rPr>
        <w:t>%。</w:t>
      </w:r>
      <w:r>
        <w:rPr>
          <w:rFonts w:hint="eastAsia" w:ascii="仿宋_GB2312"/>
          <w:color w:val="auto"/>
          <w:sz w:val="32"/>
          <w:szCs w:val="32"/>
          <w:lang w:eastAsia="zh-CN"/>
        </w:rPr>
        <w:t>剩余资金</w:t>
      </w:r>
      <w:r>
        <w:rPr>
          <w:rFonts w:hint="eastAsia" w:ascii="仿宋_GB2312"/>
          <w:color w:val="auto"/>
          <w:sz w:val="32"/>
          <w:szCs w:val="32"/>
          <w:lang w:val="en-US" w:eastAsia="zh-CN"/>
        </w:rPr>
        <w:t>1.16万元，为项目结余资金。项目资金主要用于野生动物康复中心维修9.2万元，救护车辆燃油、维护费6万元，防、救护物资采购及服务费11.17，饲草料2.47</w:t>
      </w:r>
    </w:p>
    <w:p>
      <w:pPr>
        <w:pStyle w:val="4"/>
        <w:pageBreakBefore w:val="0"/>
        <w:widowControl w:val="0"/>
        <w:numPr>
          <w:ilvl w:val="0"/>
          <w:numId w:val="2"/>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Style w:val="28"/>
        <w:ind w:firstLine="56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裕民县2023年中央财政林业草原生态保护恢复资金（国有林保护修复-生物多样性保护）项目的设立，是为进一步加强我县野生动物监测、救助以及疫源疫病防控，根据《中华人民共和国野生动物保护法》和国家林草局《陆生野生动物疫源疫病监测防控管理办法》要求，坚持以尊重科学、注重保护，统筹兼顾、分步实施，严格要求、加强监管，突出重点、合理布局，多方合作、走可持续发展道路的原则，建立符合我县实际的综合性管理体系，实现人与自然的和谐发展。全年项目计划实现目标如下：“目标1：提升野生动物救助环境</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目标2：增加对野生动物监测手段，提升监测能力；目标3：提升疫源疫病监测车辆保障能力，从而进一步提升我县野生动物保护管理工作，确保我县生态安全。</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项目产出</w:t>
      </w:r>
      <w:r>
        <w:rPr>
          <w:rFonts w:hint="eastAsia" w:ascii="仿宋_GB2312" w:hAnsi="仿宋_GB2312" w:eastAsia="仿宋_GB2312" w:cs="仿宋_GB2312"/>
          <w:color w:val="auto"/>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①数量指标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完成野生动物监测</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20次</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采购设备个数</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6台</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②质量指标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政府采购合格率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野生动物监测达标率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100</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③时效指标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资金拨付及时率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100</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项目完成时间</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2023年12月25日</w:t>
      </w:r>
      <w:r>
        <w:rPr>
          <w:rFonts w:hint="eastAsia" w:ascii="仿宋_GB2312" w:hAnsi="仿宋_GB2312" w:eastAsia="仿宋_GB2312" w:cs="仿宋_GB2312"/>
          <w:color w:val="auto"/>
          <w:sz w:val="32"/>
          <w:szCs w:val="32"/>
        </w:rPr>
        <w:t>”。</w:t>
      </w:r>
    </w:p>
    <w:p>
      <w:pPr>
        <w:pageBreakBefore w:val="0"/>
        <w:widowControl w:val="0"/>
        <w:numPr>
          <w:ilvl w:val="0"/>
          <w:numId w:val="3"/>
        </w:numP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highlight w:val="none"/>
        </w:rPr>
        <w:t>成本指标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项目所需成本</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监测设备采购成本</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项目效益</w:t>
      </w:r>
      <w:r>
        <w:rPr>
          <w:rFonts w:hint="eastAsia" w:ascii="仿宋_GB2312" w:hAnsi="仿宋_GB2312" w:eastAsia="仿宋_GB2312" w:cs="仿宋_GB2312"/>
          <w:color w:val="auto"/>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无此项指标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通过疫源疫病监测，及时发现、处置野生动物疫病传播</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有效处置</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保护生物多样性，维持生态平衡</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作用显著</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）相关满意度目标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无此项指标。</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2" w:name="_Toc22922"/>
      <w:bookmarkStart w:id="3" w:name="_Toc5462343"/>
      <w:bookmarkStart w:id="4" w:name="_Toc5258"/>
      <w:bookmarkStart w:id="5" w:name="_Toc22169_WPSOffice_Level2"/>
      <w:bookmarkStart w:id="6" w:name="_Toc12868"/>
      <w:bookmarkStart w:id="7" w:name="_Toc26632"/>
      <w:bookmarkStart w:id="8" w:name="_Toc21664"/>
      <w:bookmarkStart w:id="9" w:name="_Toc480473081"/>
      <w:r>
        <w:rPr>
          <w:rFonts w:hint="eastAsia" w:ascii="楷体_GB2312" w:eastAsia="楷体_GB2312"/>
          <w:szCs w:val="32"/>
        </w:rPr>
        <w:t>绩效评价的目的</w:t>
      </w:r>
      <w:bookmarkEnd w:id="2"/>
      <w:bookmarkEnd w:id="3"/>
      <w:bookmarkEnd w:id="4"/>
      <w:bookmarkEnd w:id="5"/>
      <w:bookmarkEnd w:id="6"/>
      <w:bookmarkEnd w:id="7"/>
      <w:bookmarkEnd w:id="8"/>
      <w:bookmarkEnd w:id="9"/>
      <w:r>
        <w:rPr>
          <w:rFonts w:hint="eastAsia" w:ascii="楷体_GB2312" w:eastAsia="楷体_GB2312"/>
          <w:szCs w:val="32"/>
        </w:rPr>
        <w:t>、对象和范围</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2023年中央财政林业草原生态保护恢复资金（国有林保护修复--生物多样性保护）项目开展部门绩效评价，主要围绕项目资金使用情况、财务管理状况和资产配置、使用、处置及其收益管理情况；项目管理相关制度及措施是否被认真执行；绩效目标的实现程度，包括是否达到预定产出和</w:t>
      </w:r>
      <w:r>
        <w:rPr>
          <w:rFonts w:hint="eastAsia" w:ascii="仿宋_GB2312"/>
          <w:color w:val="000000" w:themeColor="text1"/>
          <w:sz w:val="32"/>
          <w:szCs w:val="32"/>
          <w14:textFill>
            <w14:solidFill>
              <w14:schemeClr w14:val="tx1"/>
            </w14:solidFill>
          </w14:textFill>
        </w:rPr>
        <w:t>效果等方面开展综合评价。</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hAnsi="Arial" w:cs="宋体"/>
          <w:bCs/>
          <w:color w:val="auto"/>
          <w:sz w:val="32"/>
          <w:szCs w:val="32"/>
          <w:lang w:eastAsia="zh-CN"/>
        </w:rPr>
        <w:t>》《</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rPr>
        <w:t>2023年中央财政林业草原生态保护恢复资金（国有林保护修复--生物多样性保护）</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bookmarkStart w:id="10" w:name="_Toc419984722"/>
      <w:bookmarkStart w:id="11" w:name="_Toc26131"/>
      <w:bookmarkStart w:id="12" w:name="_Toc428278230"/>
      <w:bookmarkStart w:id="13" w:name="_Toc1913"/>
      <w:r>
        <w:rPr>
          <w:rFonts w:hint="eastAsia"/>
          <w:b/>
          <w:bCs/>
          <w:sz w:val="32"/>
          <w:szCs w:val="32"/>
        </w:rPr>
        <w:t>2.绩效评价指标体系及绩效评价</w:t>
      </w:r>
      <w:bookmarkEnd w:id="10"/>
      <w:bookmarkEnd w:id="11"/>
      <w:bookmarkEnd w:id="12"/>
      <w:bookmarkEnd w:id="13"/>
      <w:r>
        <w:rPr>
          <w:rFonts w:hint="eastAsia"/>
          <w:b/>
          <w:bCs/>
          <w:sz w:val="32"/>
          <w:szCs w:val="32"/>
        </w:rPr>
        <w:t>标准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w:t>
      </w:r>
      <w:r>
        <w:rPr>
          <w:rFonts w:hint="eastAsia" w:ascii="仿宋_GB2312"/>
          <w:color w:val="000000" w:themeColor="text1"/>
          <w:sz w:val="32"/>
          <w:szCs w:val="32"/>
          <w:lang w:val="en-US" w:eastAsia="zh-CN"/>
          <w14:textFill>
            <w14:solidFill>
              <w14:schemeClr w14:val="tx1"/>
            </w14:solidFill>
          </w14:textFill>
        </w:rPr>
        <w:t>控制</w:t>
      </w:r>
      <w:r>
        <w:rPr>
          <w:rFonts w:hint="eastAsia" w:ascii="仿宋_GB2312"/>
          <w:color w:val="000000" w:themeColor="text1"/>
          <w:sz w:val="32"/>
          <w:szCs w:val="32"/>
          <w14:textFill>
            <w14:solidFill>
              <w14:schemeClr w14:val="tx1"/>
            </w14:solidFill>
          </w14:textFill>
        </w:rPr>
        <w:t>率、社会效益、生态效益。</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3.评价方法</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郑云生</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张文军</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lang w:val="en-US" w:eastAsia="zh-CN"/>
        </w:rPr>
        <w:t>叶拉曼</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2618"/>
      <w:r>
        <w:rPr>
          <w:rFonts w:hint="eastAsia" w:ascii="仿宋_GB2312" w:hAnsi="仿宋_GB2312" w:cs="仿宋_GB2312"/>
          <w:sz w:val="32"/>
          <w:szCs w:val="32"/>
        </w:rPr>
        <w:t>第四阶段：撰写与提交评价报告</w:t>
      </w:r>
      <w:bookmarkEnd w:id="14"/>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5" w:name="_Toc5055"/>
      <w:r>
        <w:rPr>
          <w:rFonts w:hint="eastAsia" w:ascii="仿宋_GB2312" w:hAnsi="仿宋_GB2312" w:cs="仿宋_GB2312"/>
          <w:sz w:val="32"/>
          <w:szCs w:val="32"/>
        </w:rPr>
        <w:t>第五阶段：归集档案</w:t>
      </w:r>
      <w:bookmarkEnd w:id="15"/>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6" w:name="_Toc68364665"/>
      <w:r>
        <w:rPr>
          <w:rFonts w:hint="eastAsia" w:ascii="仿宋_GB2312" w:hAnsi="仿宋_GB2312" w:cs="仿宋_GB2312"/>
          <w:sz w:val="32"/>
        </w:rPr>
        <w:t>（一）综合评价情况</w:t>
      </w:r>
      <w:bookmarkEnd w:id="16"/>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sz w:val="32"/>
          <w:szCs w:val="32"/>
        </w:rPr>
      </w:pPr>
      <w:r>
        <w:rPr>
          <w:rFonts w:hint="eastAsia" w:ascii="仿宋_GB2312"/>
          <w:sz w:val="32"/>
          <w:szCs w:val="32"/>
        </w:rPr>
        <w:t>通过</w:t>
      </w:r>
      <w:r>
        <w:rPr>
          <w:rFonts w:hint="eastAsia" w:ascii="仿宋_GB2312"/>
          <w:color w:val="000000" w:themeColor="text1"/>
          <w:sz w:val="32"/>
          <w:szCs w:val="32"/>
          <w14:textFill>
            <w14:solidFill>
              <w14:schemeClr w14:val="tx1"/>
            </w14:solidFill>
          </w14:textFill>
        </w:rPr>
        <w:t>2023年中央财政林业草原生态保护恢复资金（国有林保护修复--生物多样性保护）项目</w:t>
      </w:r>
      <w:r>
        <w:rPr>
          <w:rFonts w:hint="eastAsia" w:ascii="仿宋_GB2312"/>
          <w:sz w:val="32"/>
          <w:szCs w:val="32"/>
        </w:rPr>
        <w:t>的实施，提升了野生动物救助环境</w:t>
      </w:r>
      <w:r>
        <w:rPr>
          <w:rFonts w:hint="eastAsia" w:ascii="仿宋_GB2312"/>
          <w:sz w:val="32"/>
          <w:szCs w:val="32"/>
          <w:lang w:val="en-US" w:eastAsia="zh-CN"/>
        </w:rPr>
        <w:t>及</w:t>
      </w:r>
      <w:r>
        <w:rPr>
          <w:rFonts w:hint="eastAsia" w:ascii="仿宋_GB2312"/>
          <w:sz w:val="32"/>
          <w:szCs w:val="32"/>
        </w:rPr>
        <w:t>救助综合能力，提高了监测能力</w:t>
      </w:r>
      <w:r>
        <w:rPr>
          <w:rFonts w:hint="eastAsia" w:ascii="仿宋_GB2312"/>
          <w:sz w:val="32"/>
          <w:szCs w:val="32"/>
          <w:lang w:eastAsia="zh-CN"/>
        </w:rPr>
        <w:t>，</w:t>
      </w:r>
      <w:r>
        <w:rPr>
          <w:rFonts w:hint="eastAsia" w:ascii="仿宋_GB2312"/>
          <w:sz w:val="32"/>
          <w:szCs w:val="32"/>
        </w:rPr>
        <w:t>增强了野生动物救助手段，对维护生物多样性和稳定性具有重要意义；该项目预算执行率达</w:t>
      </w:r>
      <w:r>
        <w:rPr>
          <w:rFonts w:hint="eastAsia" w:ascii="仿宋_GB2312"/>
          <w:sz w:val="32"/>
          <w:szCs w:val="32"/>
          <w:lang w:val="en-US" w:eastAsia="zh-CN"/>
        </w:rPr>
        <w:t>96.13</w:t>
      </w:r>
      <w:r>
        <w:rPr>
          <w:rFonts w:hint="eastAsia" w:ascii="仿宋_GB2312"/>
          <w:sz w:val="32"/>
          <w:szCs w:val="32"/>
        </w:rPr>
        <w:t>%，项目预期绩效目标及各项具体指标均已全部达成。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本次评价采取定量与定性评价相结合的方式，对2023年中央财政林业草原生态保护恢复资金（国有林保护修复--生物多样性保护）项目的绩效目标和各项具体绩效指标实现情况进行了客观评价，最终评分为</w:t>
      </w:r>
      <w:r>
        <w:rPr>
          <w:rFonts w:hint="eastAsia" w:ascii="仿宋_GB2312" w:hAnsi="仿宋_GB2312" w:cs="仿宋_GB2312"/>
          <w:bCs/>
          <w:sz w:val="32"/>
          <w:szCs w:val="32"/>
          <w:lang w:val="en-US" w:eastAsia="zh-CN"/>
        </w:rPr>
        <w:t>99.38</w:t>
      </w:r>
      <w:r>
        <w:rPr>
          <w:rFonts w:hint="eastAsia" w:ascii="仿宋_GB2312" w:hAnsi="仿宋_GB2312" w:cs="仿宋_GB2312"/>
          <w:bCs/>
          <w:sz w:val="32"/>
          <w:szCs w:val="32"/>
        </w:rPr>
        <w:t>分。绩效评级为“</w:t>
      </w:r>
      <w:r>
        <w:rPr>
          <w:rFonts w:hint="eastAsia" w:ascii="仿宋_GB2312" w:hAnsi="仿宋_GB2312" w:cs="仿宋_GB2312"/>
          <w:bCs/>
          <w:sz w:val="32"/>
          <w:szCs w:val="32"/>
          <w:lang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分、项目产出</w:t>
      </w:r>
      <w:r>
        <w:rPr>
          <w:rFonts w:hint="eastAsia" w:ascii="仿宋_GB2312" w:hAnsi="仿宋_GB2312" w:cs="仿宋_GB2312"/>
          <w:bCs/>
          <w:sz w:val="32"/>
          <w:szCs w:val="32"/>
          <w:lang w:val="en-US" w:eastAsia="zh-CN"/>
        </w:rPr>
        <w:t>39.38</w:t>
      </w:r>
      <w:r>
        <w:rPr>
          <w:rFonts w:hint="eastAsia" w:ascii="仿宋_GB2312" w:hAnsi="仿宋_GB2312" w:cs="仿宋_GB2312"/>
          <w:bCs/>
          <w:sz w:val="32"/>
          <w:szCs w:val="32"/>
        </w:rPr>
        <w:t>分、项目效益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 xml:space="preserve">评价项目前期准备工作，权重分值为 </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 xml:space="preserve"> 分，本项目实际得分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5"/>
        <w:pageBreakBefore w:val="0"/>
        <w:widowControl w:val="0"/>
        <w:kinsoku/>
        <w:wordWrap/>
        <w:topLinePunct w:val="0"/>
        <w:autoSpaceDE/>
        <w:autoSpaceDN/>
        <w:bidi w:val="0"/>
        <w:spacing w:line="570" w:lineRule="exact"/>
        <w:ind w:firstLine="667" w:firstLineChars="200"/>
        <w:jc w:val="both"/>
        <w:textAlignment w:val="auto"/>
        <w:rPr>
          <w:rFonts w:cs="仿宋_GB2312"/>
          <w:color w:val="FF0000"/>
        </w:rPr>
      </w:pPr>
      <w:r>
        <w:rPr>
          <w:rFonts w:hint="eastAsia" w:cs="仿宋_GB2312"/>
          <w:b/>
          <w:bCs/>
        </w:rPr>
        <w:t>1.立项依据充分性：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hAnsi="仿宋_GB2312" w:cs="仿宋_GB2312"/>
          <w:color w:val="auto"/>
          <w:spacing w:val="0"/>
          <w:kern w:val="2"/>
          <w:sz w:val="32"/>
          <w:szCs w:val="32"/>
          <w:lang w:val="en-US" w:eastAsia="zh-CN" w:bidi="ar-SA"/>
        </w:rPr>
        <w:t>野生动物救护站</w:t>
      </w:r>
      <w:r>
        <w:rPr>
          <w:rFonts w:hint="eastAsia" w:ascii="仿宋_GB2312" w:hAnsi="仿宋_GB2312" w:eastAsia="仿宋_GB2312" w:cs="仿宋_GB2312"/>
          <w:color w:val="auto"/>
          <w:spacing w:val="0"/>
          <w:kern w:val="2"/>
          <w:sz w:val="32"/>
          <w:szCs w:val="32"/>
          <w:lang w:val="en-US" w:eastAsia="zh-Hans" w:bidi="ar-SA"/>
        </w:rPr>
        <w:t>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color w:val="auto"/>
          <w:sz w:val="32"/>
          <w:szCs w:val="32"/>
          <w:lang w:val="en-US" w:eastAsia="zh-CN"/>
        </w:rPr>
        <w:t>《关于对裕民县2023年中央财政林业草原生态保护恢复资金（国有林保护修复-生物多样性保护）项目实施方案的批复》（塔地林草字〔2023〕63号）</w:t>
      </w:r>
      <w:r>
        <w:rPr>
          <w:rFonts w:hint="eastAsia" w:ascii="仿宋_GB2312" w:hAnsi="仿宋_GB2312" w:eastAsia="仿宋_GB2312" w:cs="仿宋_GB2312"/>
          <w:color w:val="auto"/>
          <w:spacing w:val="0"/>
          <w:kern w:val="2"/>
          <w:sz w:val="32"/>
          <w:szCs w:val="32"/>
          <w:lang w:val="en-US" w:eastAsia="zh-Hans" w:bidi="ar-SA"/>
        </w:rPr>
        <w:t>文件要求组织实施该项目。项目</w:t>
      </w:r>
      <w:r>
        <w:rPr>
          <w:rFonts w:hint="eastAsia" w:ascii="仿宋_GB2312" w:hAnsi="仿宋_GB2312" w:eastAsia="仿宋_GB2312" w:cs="仿宋_GB2312"/>
          <w:spacing w:val="0"/>
          <w:kern w:val="2"/>
          <w:sz w:val="32"/>
          <w:szCs w:val="32"/>
          <w:lang w:val="en-US" w:eastAsia="zh-Hans" w:bidi="ar-SA"/>
        </w:rPr>
        <w:t>立项符合国家法律法规、自治区和地区行业发展规划和政策要求，属于本部门履职所需。根据评分标准，该指标</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分，得</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w:t>
      </w:r>
    </w:p>
    <w:p>
      <w:pPr>
        <w:pStyle w:val="25"/>
        <w:pageBreakBefore w:val="0"/>
        <w:widowControl w:val="0"/>
        <w:kinsoku/>
        <w:wordWrap/>
        <w:topLinePunct w:val="0"/>
        <w:autoSpaceDE/>
        <w:autoSpaceDN/>
        <w:bidi w:val="0"/>
        <w:spacing w:line="570" w:lineRule="exact"/>
        <w:ind w:firstLine="667" w:firstLineChars="200"/>
        <w:jc w:val="both"/>
        <w:textAlignment w:val="auto"/>
        <w:rPr>
          <w:rFonts w:hint="eastAsia" w:ascii="仿宋_GB2312" w:hAnsi="仿宋_GB2312" w:eastAsia="仿宋_GB2312" w:cs="仿宋_GB2312"/>
          <w:spacing w:val="0"/>
          <w:kern w:val="2"/>
          <w:sz w:val="32"/>
          <w:szCs w:val="32"/>
          <w:lang w:val="en-US" w:eastAsia="zh-CN" w:bidi="ar-SA"/>
        </w:rPr>
      </w:pPr>
      <w:r>
        <w:rPr>
          <w:rFonts w:hint="eastAsia" w:cs="仿宋_GB2312"/>
          <w:b/>
          <w:bCs/>
        </w:rPr>
        <w:t>2.立项程序规范性：</w:t>
      </w:r>
      <w:r>
        <w:rPr>
          <w:rFonts w:hint="eastAsia" w:ascii="仿宋_GB2312" w:hAnsi="仿宋_GB2312" w:eastAsia="仿宋_GB2312" w:cs="仿宋_GB2312"/>
          <w:spacing w:val="0"/>
          <w:kern w:val="2"/>
          <w:sz w:val="32"/>
          <w:szCs w:val="32"/>
          <w:lang w:val="en-US" w:eastAsia="zh-CN" w:bidi="ar-SA"/>
        </w:rPr>
        <w:t>根据决策依据编制工作计划和经费预算，经过与部门县政府分管领导进行沟通、筛选确定经费预算计划，上党委会研究确定最终预算方案。根据评分标准，该指标2.5分，得2.5分。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制定了</w:t>
      </w:r>
      <w:r>
        <w:rPr>
          <w:rFonts w:hint="eastAsia" w:ascii="仿宋_GB2312" w:hAnsi="仿宋_GB2312" w:eastAsia="仿宋_GB2312" w:cs="仿宋_GB2312"/>
          <w:color w:val="000000"/>
          <w:spacing w:val="0"/>
          <w:kern w:val="2"/>
          <w:sz w:val="32"/>
          <w:szCs w:val="32"/>
          <w:lang w:val="en-US" w:eastAsia="zh-Hans" w:bidi="ar-SA"/>
        </w:rPr>
        <w:t>项目支出绩效目标</w:t>
      </w:r>
      <w:r>
        <w:rPr>
          <w:rFonts w:hint="eastAsia" w:ascii="仿宋_GB2312" w:hAnsi="仿宋_GB2312" w:eastAsia="仿宋_GB2312" w:cs="仿宋_GB2312"/>
          <w:color w:val="000000"/>
          <w:spacing w:val="0"/>
          <w:kern w:val="2"/>
          <w:sz w:val="32"/>
          <w:szCs w:val="32"/>
          <w:lang w:val="en-US" w:eastAsia="zh-CN" w:bidi="ar-SA"/>
        </w:rPr>
        <w:t>，明确了</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总体思路及</w:t>
      </w:r>
      <w:r>
        <w:rPr>
          <w:rFonts w:hint="eastAsia" w:ascii="仿宋_GB2312" w:hAnsi="仿宋_GB2312" w:eastAsia="仿宋_GB2312" w:cs="仿宋_GB2312"/>
          <w:color w:val="000000"/>
          <w:spacing w:val="0"/>
          <w:kern w:val="2"/>
          <w:sz w:val="32"/>
          <w:szCs w:val="32"/>
          <w:lang w:val="en-US" w:eastAsia="zh-Hans" w:bidi="ar-SA"/>
        </w:rPr>
        <w:t>总</w:t>
      </w:r>
      <w:r>
        <w:rPr>
          <w:rFonts w:hint="eastAsia" w:ascii="仿宋_GB2312" w:hAnsi="仿宋_GB2312" w:eastAsia="仿宋_GB2312" w:cs="仿宋_GB2312"/>
          <w:color w:val="000000"/>
          <w:spacing w:val="0"/>
          <w:kern w:val="2"/>
          <w:sz w:val="32"/>
          <w:szCs w:val="32"/>
          <w:lang w:val="en-US" w:eastAsia="zh-CN" w:bidi="ar-SA"/>
        </w:rPr>
        <w:t>目标、并对</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任务进行了详细分解，对目标进行了细化。根据评分标准，该指标3分，得3分。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4.绩效指标明确性：</w:t>
      </w:r>
      <w:r>
        <w:rPr>
          <w:rFonts w:hint="eastAsia" w:ascii="仿宋_GB2312" w:hAnsi="仿宋_GB2312" w:eastAsia="仿宋_GB2312" w:cs="仿宋_GB2312"/>
          <w:color w:val="000000"/>
          <w:spacing w:val="0"/>
          <w:kern w:val="2"/>
          <w:sz w:val="32"/>
          <w:szCs w:val="32"/>
          <w:lang w:val="en-US" w:eastAsia="zh-CN" w:bidi="ar-SA"/>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eastAsia="仿宋_GB2312" w:cs="仿宋_GB2312"/>
          <w:color w:val="000000"/>
          <w:spacing w:val="0"/>
          <w:kern w:val="2"/>
          <w:sz w:val="32"/>
          <w:szCs w:val="32"/>
          <w:lang w:val="en-US" w:eastAsia="zh-CN" w:bidi="ar-SA"/>
        </w:rPr>
        <w:t>预算编制经过科学论证，内容与项目内容匹配，项目投资额与工作任务相匹配，根据评分标准，该指标3分，得3分。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6.资金分配合理性：</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资金分配依据充分，资金分配额度合理，与项目地方实际相适应。根据评分标准，该指标2分，得2分。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w:t>
      </w:r>
      <w:r>
        <w:rPr>
          <w:rFonts w:hint="eastAsia" w:ascii="仿宋_GB2312" w:hAnsi="仿宋_GB2312" w:cs="仿宋_GB2312"/>
          <w:color w:val="auto"/>
          <w:sz w:val="32"/>
          <w:szCs w:val="32"/>
        </w:rPr>
        <w:t>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w:t>
      </w:r>
      <w:r>
        <w:rPr>
          <w:rFonts w:hint="eastAsia" w:ascii="仿宋_GB2312" w:hAnsi="仿宋_GB2312" w:cs="仿宋_GB2312"/>
          <w:sz w:val="32"/>
          <w:szCs w:val="32"/>
        </w:rPr>
        <w:t>，得分率为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sz w:val="32"/>
          <w:szCs w:val="32"/>
        </w:rPr>
        <w:t>该项目所需财政资金能够足额拨付到位，牵头单位能够及时足额按照合同约定将专项资金拨付给单位，根据评分标准，该指标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r>
        <w:rPr>
          <w:rFonts w:hint="eastAsia" w:ascii="仿宋_GB2312" w:cs="仿宋_GB2312"/>
          <w:color w:val="FF0000"/>
          <w:sz w:val="32"/>
          <w:szCs w:val="32"/>
        </w:rPr>
        <w:t xml:space="preserve">   </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rPr>
      </w:pPr>
      <w:r>
        <w:rPr>
          <w:rFonts w:hint="eastAsia" w:ascii="仿宋_GB2312" w:cs="仿宋_GB2312"/>
          <w:b/>
          <w:bCs/>
          <w:sz w:val="32"/>
          <w:szCs w:val="32"/>
        </w:rPr>
        <w:t>2.预算执行率：</w:t>
      </w:r>
      <w:r>
        <w:rPr>
          <w:rFonts w:hint="eastAsia" w:ascii="仿宋_GB2312" w:hAnsi="仿宋_GB2312" w:cs="仿宋_GB2312"/>
          <w:sz w:val="32"/>
          <w:szCs w:val="32"/>
          <w:lang w:eastAsia="zh-Hans"/>
        </w:rPr>
        <w:t>本项目</w:t>
      </w:r>
      <w:r>
        <w:rPr>
          <w:rFonts w:hint="eastAsia" w:ascii="仿宋_GB2312" w:hAnsi="仿宋_GB2312" w:cs="仿宋_GB2312"/>
          <w:sz w:val="32"/>
          <w:szCs w:val="32"/>
        </w:rPr>
        <w:t>预算编制较为详细，</w:t>
      </w:r>
      <w:r>
        <w:rPr>
          <w:rFonts w:hint="eastAsia" w:ascii="仿宋_GB2312" w:hAnsi="仿宋_GB2312" w:cs="仿宋_GB2312"/>
          <w:sz w:val="32"/>
          <w:szCs w:val="32"/>
          <w:lang w:eastAsia="zh-Hans"/>
        </w:rPr>
        <w:t>预算资金</w:t>
      </w:r>
      <w:r>
        <w:rPr>
          <w:rFonts w:hint="eastAsia" w:ascii="仿宋_GB2312" w:hAnsi="仿宋_GB2312" w:cs="仿宋_GB2312"/>
          <w:sz w:val="32"/>
          <w:szCs w:val="32"/>
          <w:lang w:val="en-US" w:eastAsia="zh-CN"/>
        </w:rPr>
        <w:t>30</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lang w:val="en-US" w:eastAsia="zh-CN"/>
        </w:rPr>
        <w:t>28.84</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96.13</w:t>
      </w:r>
      <w:r>
        <w:rPr>
          <w:rFonts w:hint="eastAsia" w:ascii="仿宋_GB2312" w:hAnsi="仿宋_GB2312" w:cs="仿宋_GB2312"/>
          <w:sz w:val="32"/>
          <w:szCs w:val="32"/>
          <w:lang w:eastAsia="zh-Hans"/>
        </w:rPr>
        <w:t>%，</w:t>
      </w:r>
      <w:r>
        <w:rPr>
          <w:rFonts w:hint="eastAsia" w:ascii="仿宋_GB2312" w:hAnsi="仿宋_GB2312" w:cs="仿宋_GB2312"/>
          <w:sz w:val="32"/>
          <w:szCs w:val="32"/>
        </w:rPr>
        <w:t>项目资金支出总体能够按照预算执行，</w:t>
      </w:r>
      <w:r>
        <w:rPr>
          <w:rFonts w:hint="eastAsia" w:ascii="仿宋_GB2312" w:hAnsi="仿宋_GB2312" w:cs="仿宋_GB2312"/>
          <w:sz w:val="32"/>
          <w:szCs w:val="32"/>
          <w:lang w:eastAsia="zh-CN"/>
        </w:rPr>
        <w:t>剩余未支付资金为</w:t>
      </w:r>
      <w:r>
        <w:rPr>
          <w:rFonts w:hint="eastAsia" w:ascii="仿宋_GB2312" w:hAnsi="仿宋_GB2312" w:cs="仿宋_GB2312"/>
          <w:sz w:val="32"/>
          <w:szCs w:val="32"/>
          <w:lang w:val="en-US" w:eastAsia="zh-CN"/>
        </w:rPr>
        <w:t>项目结余资金。</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3.资金使用合规性：</w:t>
      </w:r>
      <w:r>
        <w:rPr>
          <w:rFonts w:hint="eastAsia" w:ascii="仿宋_GB2312" w:hAnsi="仿宋_GB2312" w:cs="仿宋_GB2312"/>
          <w:sz w:val="32"/>
          <w:szCs w:val="32"/>
          <w:lang w:eastAsia="zh-Hans"/>
        </w:rPr>
        <w:t>项目任务下达后，我单位</w:t>
      </w:r>
      <w:r>
        <w:rPr>
          <w:rFonts w:hint="eastAsia" w:ascii="仿宋_GB2312" w:hAnsi="仿宋_GB2312" w:cs="仿宋_GB2312"/>
          <w:sz w:val="32"/>
          <w:szCs w:val="32"/>
          <w:lang w:eastAsia="zh-CN"/>
        </w:rPr>
        <w:t>制定了《预算绩效管理工作实施办法》制度和管理规定对经费使用进行规范管理，财务制度健全、执行严格；根据评分标准，该指标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4.管理制度健全性：</w:t>
      </w:r>
      <w:r>
        <w:rPr>
          <w:rFonts w:hint="eastAsia" w:ascii="仿宋_GB2312" w:hAnsi="仿宋_GB2312" w:cs="仿宋_GB2312"/>
          <w:sz w:val="32"/>
          <w:szCs w:val="32"/>
          <w:lang w:eastAsia="zh-Hans"/>
        </w:rPr>
        <w:t>我单位</w:t>
      </w:r>
      <w:r>
        <w:rPr>
          <w:rFonts w:hint="eastAsia" w:ascii="仿宋_GB2312" w:hAnsi="仿宋_GB2312" w:cs="仿宋_GB2312"/>
          <w:sz w:val="32"/>
          <w:szCs w:val="32"/>
          <w:lang w:eastAsia="zh-CN"/>
        </w:rPr>
        <w:t>制定了《预算绩效管理工作实施办法》</w:t>
      </w:r>
      <w:r>
        <w:rPr>
          <w:rFonts w:hint="eastAsia" w:ascii="仿宋_GB2312" w:hAnsi="仿宋_GB2312" w:cs="仿宋_GB2312"/>
          <w:sz w:val="32"/>
          <w:szCs w:val="32"/>
          <w:lang w:eastAsia="zh-Hans"/>
        </w:rPr>
        <w:t>等</w:t>
      </w:r>
      <w:r>
        <w:rPr>
          <w:rFonts w:hint="eastAsia" w:ascii="仿宋_GB2312" w:hAnsi="仿宋_GB2312" w:cs="仿宋_GB2312"/>
          <w:sz w:val="32"/>
          <w:szCs w:val="32"/>
          <w:lang w:eastAsia="zh-CN"/>
        </w:rPr>
        <w:t>相关</w:t>
      </w:r>
      <w:r>
        <w:rPr>
          <w:rFonts w:hint="eastAsia" w:ascii="仿宋_GB2312" w:hAnsi="仿宋_GB2312" w:cs="仿宋_GB2312"/>
          <w:sz w:val="32"/>
          <w:szCs w:val="32"/>
          <w:lang w:eastAsia="zh-Hans"/>
        </w:rPr>
        <w:t>项目</w:t>
      </w:r>
      <w:r>
        <w:rPr>
          <w:rFonts w:hint="eastAsia" w:ascii="仿宋_GB2312" w:hAnsi="仿宋_GB2312" w:cs="仿宋_GB2312"/>
          <w:sz w:val="32"/>
          <w:szCs w:val="32"/>
          <w:lang w:eastAsia="zh-CN"/>
        </w:rPr>
        <w:t>管理办法，</w:t>
      </w:r>
      <w:r>
        <w:rPr>
          <w:rFonts w:hint="eastAsia" w:ascii="仿宋_GB2312" w:hAnsi="仿宋_GB2312" w:cs="仿宋_GB2312"/>
          <w:sz w:val="32"/>
          <w:szCs w:val="32"/>
          <w:lang w:eastAsia="zh-Hans"/>
        </w:rPr>
        <w:t>同时</w:t>
      </w:r>
      <w:r>
        <w:rPr>
          <w:rFonts w:hint="eastAsia" w:ascii="仿宋_GB2312" w:hAnsi="仿宋_GB2312" w:cs="仿宋_GB2312"/>
          <w:sz w:val="32"/>
          <w:szCs w:val="32"/>
          <w:lang w:eastAsia="zh-CN"/>
        </w:rPr>
        <w:t>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lang w:eastAsia="zh-Hans"/>
        </w:rPr>
        <w:t>由部门提出经费预算支出可行性方案，经过与</w:t>
      </w:r>
      <w:r>
        <w:rPr>
          <w:rFonts w:hint="eastAsia" w:ascii="仿宋_GB2312" w:hAnsi="仿宋_GB2312" w:cs="仿宋_GB2312"/>
          <w:sz w:val="32"/>
          <w:szCs w:val="32"/>
          <w:lang w:eastAsia="zh-CN"/>
        </w:rPr>
        <w:t>县</w:t>
      </w:r>
      <w:r>
        <w:rPr>
          <w:rFonts w:hint="eastAsia" w:ascii="仿宋_GB2312" w:hAnsi="仿宋_GB2312" w:cs="仿宋_GB2312"/>
          <w:sz w:val="32"/>
          <w:szCs w:val="32"/>
          <w:lang w:eastAsia="zh-Hans"/>
        </w:rPr>
        <w:t>政府分管领导沟通后，报党</w:t>
      </w:r>
      <w:r>
        <w:rPr>
          <w:rFonts w:hint="eastAsia" w:ascii="仿宋_GB2312" w:hAnsi="仿宋_GB2312" w:cs="仿宋_GB2312"/>
          <w:sz w:val="32"/>
          <w:szCs w:val="32"/>
          <w:lang w:eastAsia="zh-CN"/>
        </w:rPr>
        <w:t>组</w:t>
      </w:r>
      <w:r>
        <w:rPr>
          <w:rFonts w:hint="eastAsia" w:ascii="仿宋_GB2312" w:hAnsi="仿宋_GB2312" w:cs="仿宋_GB2312"/>
          <w:sz w:val="32"/>
          <w:szCs w:val="32"/>
          <w:lang w:eastAsia="zh-Hans"/>
        </w:rPr>
        <w:t>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w:t>
      </w:r>
      <w:r>
        <w:rPr>
          <w:rFonts w:hint="eastAsia" w:ascii="仿宋_GB2312" w:cs="仿宋_GB2312"/>
          <w:sz w:val="32"/>
          <w:szCs w:val="32"/>
          <w:highlight w:val="none"/>
        </w:rPr>
        <w:t>方面的内容，由</w:t>
      </w:r>
      <w:r>
        <w:rPr>
          <w:rFonts w:hint="eastAsia" w:ascii="仿宋_GB2312" w:cs="仿宋_GB2312"/>
          <w:sz w:val="32"/>
          <w:szCs w:val="32"/>
          <w:highlight w:val="none"/>
          <w:lang w:val="en-US" w:eastAsia="zh-CN"/>
        </w:rPr>
        <w:t>8</w:t>
      </w:r>
      <w:r>
        <w:rPr>
          <w:rFonts w:hint="eastAsia" w:ascii="仿宋_GB2312" w:cs="仿宋_GB2312"/>
          <w:sz w:val="32"/>
          <w:szCs w:val="32"/>
          <w:highlight w:val="none"/>
        </w:rPr>
        <w:t>个三级指标构成，权重分为</w:t>
      </w:r>
      <w:r>
        <w:rPr>
          <w:rFonts w:hint="eastAsia" w:ascii="仿宋_GB2312" w:cs="仿宋_GB2312"/>
          <w:sz w:val="32"/>
          <w:szCs w:val="32"/>
          <w:highlight w:val="none"/>
          <w:lang w:val="en-US" w:eastAsia="zh-CN"/>
        </w:rPr>
        <w:t>4</w:t>
      </w:r>
      <w:r>
        <w:rPr>
          <w:rFonts w:ascii="仿宋_GB2312" w:cs="仿宋_GB2312"/>
          <w:sz w:val="32"/>
          <w:szCs w:val="32"/>
          <w:highlight w:val="none"/>
        </w:rPr>
        <w:t>0</w:t>
      </w:r>
      <w:r>
        <w:rPr>
          <w:rFonts w:hint="eastAsia" w:ascii="仿宋_GB2312" w:cs="仿宋_GB2312"/>
          <w:sz w:val="32"/>
          <w:szCs w:val="32"/>
          <w:highlight w:val="none"/>
        </w:rPr>
        <w:t>分，</w:t>
      </w:r>
      <w:r>
        <w:rPr>
          <w:rFonts w:hint="eastAsia" w:ascii="仿宋_GB2312" w:hAnsi="仿宋_GB2312" w:cs="仿宋_GB2312"/>
          <w:sz w:val="32"/>
          <w:szCs w:val="32"/>
          <w:highlight w:val="none"/>
          <w:lang w:eastAsia="zh-Hans"/>
        </w:rPr>
        <w:t>本项目</w:t>
      </w:r>
      <w:r>
        <w:rPr>
          <w:rFonts w:hint="eastAsia" w:ascii="仿宋_GB2312" w:hAnsi="仿宋_GB2312" w:cs="仿宋_GB2312"/>
          <w:sz w:val="32"/>
          <w:szCs w:val="32"/>
          <w:highlight w:val="none"/>
        </w:rPr>
        <w:t>实际得分</w:t>
      </w:r>
      <w:r>
        <w:rPr>
          <w:rFonts w:hint="eastAsia" w:ascii="仿宋_GB2312" w:cs="仿宋_GB2312"/>
          <w:sz w:val="32"/>
          <w:szCs w:val="32"/>
          <w:highlight w:val="none"/>
          <w:lang w:val="en-US" w:eastAsia="zh-CN"/>
        </w:rPr>
        <w:t>39.38</w:t>
      </w:r>
      <w:r>
        <w:rPr>
          <w:rFonts w:hint="eastAsia" w:ascii="仿宋_GB2312" w:cs="仿宋_GB2312"/>
          <w:sz w:val="32"/>
          <w:szCs w:val="32"/>
          <w:highlight w:val="none"/>
        </w:rPr>
        <w:t>分，得分率为</w:t>
      </w:r>
      <w:r>
        <w:rPr>
          <w:rFonts w:hint="eastAsia" w:ascii="仿宋_GB2312" w:cs="仿宋_GB2312"/>
          <w:sz w:val="32"/>
          <w:szCs w:val="32"/>
          <w:highlight w:val="none"/>
          <w:lang w:val="en-US" w:eastAsia="zh-CN"/>
        </w:rPr>
        <w:t>98.45</w:t>
      </w:r>
      <w:r>
        <w:rPr>
          <w:rFonts w:hint="eastAsia" w:ascii="仿宋_GB2312" w:cs="仿宋_GB2312"/>
          <w:sz w:val="32"/>
          <w:szCs w:val="32"/>
          <w:highlight w:val="none"/>
        </w:rPr>
        <w:t>%。</w:t>
      </w:r>
      <w:r>
        <w:rPr>
          <w:rFonts w:hint="eastAsia" w:ascii="仿宋_GB2312" w:cs="仿宋_GB2312"/>
          <w:sz w:val="32"/>
          <w:szCs w:val="32"/>
          <w:highlight w:val="none"/>
          <w:lang w:eastAsia="zh-Hans"/>
        </w:rPr>
        <w:t>具</w:t>
      </w:r>
      <w:r>
        <w:rPr>
          <w:rFonts w:hint="eastAsia" w:ascii="仿宋_GB2312" w:hAnsi="仿宋_GB2312" w:cs="仿宋_GB2312"/>
          <w:sz w:val="32"/>
          <w:szCs w:val="32"/>
          <w:highlight w:val="none"/>
          <w:lang w:eastAsia="zh-Hans"/>
        </w:rPr>
        <w:t>体</w:t>
      </w:r>
      <w:r>
        <w:rPr>
          <w:rFonts w:hint="eastAsia" w:ascii="仿宋_GB2312" w:hAnsi="仿宋_GB2312" w:cs="仿宋_GB2312"/>
          <w:sz w:val="32"/>
          <w:szCs w:val="32"/>
          <w:lang w:eastAsia="zh-Hans"/>
        </w:rPr>
        <w:t>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eastAsia="zh-Hans"/>
        </w:rPr>
      </w:pPr>
      <w:r>
        <w:rPr>
          <w:rFonts w:hint="eastAsia" w:ascii="仿宋_GB2312" w:hAnsi="仿宋_GB2312" w:cs="仿宋_GB2312"/>
          <w:sz w:val="32"/>
          <w:szCs w:val="32"/>
          <w:lang w:eastAsia="zh-Hans"/>
        </w:rPr>
        <w:t>“完成野生动物监测”指标，</w:t>
      </w:r>
      <w:r>
        <w:rPr>
          <w:rFonts w:hint="eastAsia" w:ascii="仿宋_GB2312" w:hAnsi="仿宋_GB2312" w:eastAsia="仿宋_GB2312" w:cs="仿宋_GB2312"/>
          <w:sz w:val="32"/>
          <w:szCs w:val="32"/>
          <w:lang w:eastAsia="zh-Hans"/>
        </w:rPr>
        <w:t>预期指标值为“≥20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lang w:val="en-US" w:eastAsia="zh-CN"/>
        </w:rPr>
        <w:t>年终工作总结</w:t>
      </w:r>
      <w:r>
        <w:rPr>
          <w:rFonts w:hint="eastAsia" w:ascii="仿宋_GB2312" w:hAnsi="仿宋_GB2312" w:eastAsia="仿宋_GB2312" w:cs="仿宋_GB2312"/>
          <w:sz w:val="32"/>
          <w:szCs w:val="32"/>
          <w:lang w:eastAsia="zh-Hans"/>
        </w:rPr>
        <w:t>可知，</w:t>
      </w:r>
      <w:r>
        <w:rPr>
          <w:rFonts w:hint="eastAsia" w:ascii="仿宋_GB2312" w:hAnsi="仿宋_GB2312" w:eastAsia="仿宋_GB2312" w:cs="仿宋_GB2312"/>
          <w:sz w:val="32"/>
          <w:szCs w:val="32"/>
        </w:rPr>
        <w:t>实际</w:t>
      </w:r>
      <w:r>
        <w:rPr>
          <w:rFonts w:hint="eastAsia" w:ascii="仿宋_GB2312" w:hAnsi="仿宋_GB2312" w:eastAsia="仿宋_GB2312" w:cs="仿宋_GB2312"/>
          <w:sz w:val="32"/>
          <w:szCs w:val="32"/>
          <w:lang w:eastAsia="zh-Hans"/>
        </w:rPr>
        <w:t>完成野生动物监测</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78次</w:t>
      </w:r>
      <w:r>
        <w:rPr>
          <w:rFonts w:hint="eastAsia" w:ascii="仿宋_GB2312" w:hAnsi="仿宋_GB2312" w:eastAsia="仿宋_GB2312" w:cs="仿宋_GB2312"/>
          <w:sz w:val="32"/>
          <w:szCs w:val="32"/>
        </w:rPr>
        <w:t>，与预期目标一致，根据评分标准，该指标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lang w:eastAsia="zh-Hans"/>
        </w:rPr>
        <w:t>得</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lang w:eastAsia="zh-Hans"/>
        </w:rPr>
      </w:pPr>
      <w:r>
        <w:rPr>
          <w:rFonts w:hint="eastAsia" w:ascii="仿宋_GB2312" w:hAnsi="仿宋_GB2312" w:eastAsia="仿宋_GB2312" w:cs="仿宋_GB2312"/>
          <w:sz w:val="32"/>
          <w:szCs w:val="32"/>
          <w:lang w:eastAsia="zh-Hans"/>
        </w:rPr>
        <w:t>“采购设备个数”指标，预期指标值为“≥6</w:t>
      </w:r>
      <w:r>
        <w:rPr>
          <w:rFonts w:hint="eastAsia" w:ascii="仿宋_GB2312" w:hAnsi="仿宋_GB2312" w:eastAsia="仿宋_GB2312" w:cs="仿宋_GB2312"/>
          <w:sz w:val="32"/>
          <w:szCs w:val="32"/>
          <w:lang w:val="en-US" w:eastAsia="zh-CN"/>
        </w:rPr>
        <w:t>台</w:t>
      </w:r>
      <w:r>
        <w:rPr>
          <w:rFonts w:hint="eastAsia"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lang w:val="en-US" w:eastAsia="zh-CN"/>
        </w:rPr>
        <w:t>采购合同</w:t>
      </w:r>
      <w:r>
        <w:rPr>
          <w:rFonts w:hint="eastAsia" w:ascii="仿宋_GB2312" w:hAnsi="仿宋_GB2312" w:eastAsia="仿宋_GB2312" w:cs="仿宋_GB2312"/>
          <w:sz w:val="32"/>
          <w:szCs w:val="32"/>
          <w:lang w:eastAsia="zh-Hans"/>
        </w:rPr>
        <w:t>可知，实际完成采购设备个数为</w:t>
      </w:r>
      <w:r>
        <w:rPr>
          <w:rFonts w:hint="eastAsia" w:ascii="仿宋_GB2312" w:hAnsi="仿宋_GB2312" w:eastAsia="仿宋_GB2312" w:cs="仿宋_GB2312"/>
          <w:sz w:val="32"/>
          <w:szCs w:val="32"/>
          <w:lang w:val="en-US" w:eastAsia="zh-CN"/>
        </w:rPr>
        <w:t>6台</w:t>
      </w:r>
      <w:r>
        <w:rPr>
          <w:rFonts w:hint="eastAsia" w:ascii="仿宋_GB2312" w:hAnsi="仿宋_GB2312" w:eastAsia="仿宋_GB2312" w:cs="仿宋_GB2312"/>
          <w:sz w:val="32"/>
          <w:szCs w:val="32"/>
          <w:lang w:eastAsia="zh-Hans"/>
        </w:rPr>
        <w:t>，与</w:t>
      </w:r>
      <w:r>
        <w:rPr>
          <w:rFonts w:hint="eastAsia" w:ascii="仿宋_GB2312" w:hAnsi="仿宋_GB2312" w:cs="仿宋_GB2312"/>
          <w:sz w:val="32"/>
          <w:szCs w:val="32"/>
          <w:lang w:eastAsia="zh-Hans"/>
        </w:rPr>
        <w:t>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“政府采购合格率”指标，预期指标值为“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w:t>
      </w:r>
      <w:r>
        <w:rPr>
          <w:rFonts w:hint="eastAsia" w:ascii="仿宋_GB2312" w:hAnsi="仿宋_GB2312" w:cs="仿宋_GB2312"/>
          <w:sz w:val="32"/>
          <w:szCs w:val="32"/>
          <w:lang w:val="en-US" w:eastAsia="zh-CN"/>
        </w:rPr>
        <w:t>采购</w:t>
      </w:r>
      <w:r>
        <w:rPr>
          <w:rFonts w:hint="eastAsia" w:ascii="仿宋_GB2312" w:hAnsi="仿宋_GB2312" w:cs="仿宋_GB2312"/>
          <w:sz w:val="32"/>
          <w:szCs w:val="32"/>
          <w:lang w:eastAsia="zh-Hans"/>
        </w:rPr>
        <w:t>验收</w:t>
      </w:r>
      <w:r>
        <w:rPr>
          <w:rFonts w:hint="eastAsia" w:ascii="仿宋_GB2312" w:hAnsi="仿宋_GB2312" w:cs="仿宋_GB2312"/>
          <w:sz w:val="32"/>
          <w:szCs w:val="32"/>
          <w:lang w:val="en-US" w:eastAsia="zh-CN"/>
        </w:rPr>
        <w:t>单、设备入库单</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红外夜视仪、望远镜等</w:t>
      </w:r>
      <w:r>
        <w:rPr>
          <w:rFonts w:hint="eastAsia" w:ascii="仿宋_GB2312" w:hAnsi="仿宋_GB2312" w:cs="仿宋_GB2312"/>
          <w:sz w:val="32"/>
          <w:szCs w:val="32"/>
          <w:lang w:eastAsia="zh-CN"/>
        </w:rPr>
        <w:t>设</w:t>
      </w:r>
      <w:r>
        <w:rPr>
          <w:rFonts w:hint="eastAsia" w:ascii="仿宋_GB2312" w:hAnsi="仿宋_GB2312" w:cs="仿宋_GB2312"/>
          <w:sz w:val="32"/>
          <w:szCs w:val="32"/>
          <w:lang w:val="en-US" w:eastAsia="zh-CN"/>
        </w:rPr>
        <w:t>备</w:t>
      </w:r>
      <w:r>
        <w:rPr>
          <w:rFonts w:hint="eastAsia" w:ascii="仿宋_GB2312" w:hAnsi="仿宋_GB2312" w:cs="仿宋_GB2312"/>
          <w:sz w:val="32"/>
          <w:szCs w:val="32"/>
          <w:lang w:eastAsia="zh-Hans"/>
        </w:rPr>
        <w:t>得到了有效利用，</w:t>
      </w:r>
      <w:r>
        <w:rPr>
          <w:rFonts w:hint="eastAsia" w:ascii="仿宋_GB2312" w:hAnsi="仿宋_GB2312" w:cs="仿宋_GB2312"/>
          <w:sz w:val="32"/>
          <w:szCs w:val="32"/>
          <w:lang w:val="en-US" w:eastAsia="zh-CN"/>
        </w:rPr>
        <w:t>合格</w:t>
      </w:r>
      <w:r>
        <w:rPr>
          <w:rFonts w:hint="eastAsia" w:ascii="仿宋_GB2312" w:hAnsi="仿宋_GB2312" w:cs="仿宋_GB2312"/>
          <w:sz w:val="32"/>
          <w:szCs w:val="32"/>
          <w:lang w:eastAsia="zh-Hans"/>
        </w:rPr>
        <w:t>率达100%，与预期目标一致，根据评分标准，该指标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“野生动物监测达标率”指标，预期指标值为“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”，根据</w:t>
      </w:r>
      <w:r>
        <w:rPr>
          <w:rFonts w:hint="eastAsia" w:ascii="仿宋_GB2312" w:hAnsi="仿宋_GB2312" w:cs="仿宋_GB2312"/>
          <w:sz w:val="32"/>
          <w:szCs w:val="32"/>
          <w:lang w:val="en-US" w:eastAsia="zh-CN"/>
        </w:rPr>
        <w:t>年终工作总结可知</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全年未发生野生动物疫情。</w:t>
      </w:r>
      <w:r>
        <w:rPr>
          <w:rFonts w:hint="eastAsia" w:ascii="仿宋_GB2312" w:hAnsi="仿宋_GB2312" w:cs="仿宋_GB2312"/>
          <w:sz w:val="32"/>
          <w:szCs w:val="32"/>
          <w:lang w:eastAsia="zh-Hans"/>
        </w:rPr>
        <w:t>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“资金</w:t>
      </w:r>
      <w:r>
        <w:rPr>
          <w:rFonts w:hint="eastAsia" w:ascii="仿宋_GB2312" w:hAnsi="仿宋_GB2312" w:cs="仿宋_GB2312"/>
          <w:sz w:val="32"/>
          <w:szCs w:val="32"/>
          <w:lang w:val="en-US" w:eastAsia="zh-CN"/>
        </w:rPr>
        <w:t>拨付及时</w:t>
      </w:r>
      <w:r>
        <w:rPr>
          <w:rFonts w:hint="eastAsia" w:ascii="仿宋_GB2312" w:hAnsi="仿宋_GB2312" w:cs="仿宋_GB2312"/>
          <w:sz w:val="32"/>
          <w:szCs w:val="32"/>
          <w:lang w:eastAsia="zh-Hans"/>
        </w:rPr>
        <w:t>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100%”；根据资金</w:t>
      </w:r>
      <w:r>
        <w:rPr>
          <w:rFonts w:hint="eastAsia" w:ascii="仿宋_GB2312" w:hAnsi="仿宋_GB2312" w:cs="仿宋_GB2312"/>
          <w:sz w:val="32"/>
          <w:szCs w:val="32"/>
          <w:lang w:eastAsia="zh-CN"/>
        </w:rPr>
        <w:t>下达文件</w:t>
      </w:r>
      <w:r>
        <w:rPr>
          <w:rFonts w:hint="eastAsia" w:ascii="仿宋_GB2312" w:hAnsi="仿宋_GB2312" w:cs="仿宋_GB2312"/>
          <w:sz w:val="32"/>
          <w:szCs w:val="32"/>
          <w:lang w:eastAsia="zh-Hans"/>
        </w:rPr>
        <w:t>显示，该项目</w:t>
      </w:r>
      <w:r>
        <w:rPr>
          <w:rFonts w:hint="eastAsia" w:ascii="仿宋_GB2312" w:hAnsi="仿宋_GB2312" w:cs="仿宋_GB2312"/>
          <w:sz w:val="32"/>
          <w:szCs w:val="32"/>
          <w:lang w:eastAsia="zh-CN"/>
        </w:rPr>
        <w:t>资金</w:t>
      </w:r>
      <w:r>
        <w:rPr>
          <w:rFonts w:hint="eastAsia" w:ascii="仿宋_GB2312" w:hAnsi="仿宋_GB2312" w:cs="仿宋_GB2312"/>
          <w:sz w:val="32"/>
          <w:szCs w:val="32"/>
          <w:lang w:eastAsia="zh-Hans"/>
        </w:rPr>
        <w:t>于202</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年</w:t>
      </w:r>
      <w:r>
        <w:rPr>
          <w:rFonts w:hint="eastAsia" w:ascii="仿宋_GB2312" w:hAnsi="仿宋_GB2312" w:cs="仿宋_GB2312"/>
          <w:sz w:val="32"/>
          <w:szCs w:val="32"/>
          <w:lang w:val="en-US" w:eastAsia="zh-CN"/>
        </w:rPr>
        <w:t>12</w:t>
      </w:r>
      <w:r>
        <w:rPr>
          <w:rFonts w:hint="eastAsia" w:ascii="仿宋_GB2312" w:hAnsi="仿宋_GB2312" w:cs="仿宋_GB2312"/>
          <w:sz w:val="32"/>
          <w:szCs w:val="32"/>
          <w:lang w:eastAsia="zh-Hans"/>
        </w:rPr>
        <w:t>月</w:t>
      </w:r>
      <w:r>
        <w:rPr>
          <w:rFonts w:hint="eastAsia" w:ascii="仿宋_GB2312" w:hAnsi="仿宋_GB2312" w:cs="仿宋_GB2312"/>
          <w:sz w:val="32"/>
          <w:szCs w:val="32"/>
          <w:lang w:eastAsia="zh-CN"/>
        </w:rPr>
        <w:t>拨付到位</w:t>
      </w:r>
      <w:r>
        <w:rPr>
          <w:rFonts w:hint="eastAsia" w:ascii="仿宋_GB2312" w:hAnsi="仿宋_GB2312" w:cs="仿宋_GB2312"/>
          <w:sz w:val="32"/>
          <w:szCs w:val="32"/>
          <w:lang w:eastAsia="zh-Hans"/>
        </w:rPr>
        <w:t>，与预期目标指标一致，根据评分标准，该指标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s="仿宋_GB2312"/>
          <w:b w:val="0"/>
          <w:color w:val="FF0000"/>
          <w:sz w:val="32"/>
          <w:szCs w:val="32"/>
        </w:rPr>
      </w:pPr>
      <w:r>
        <w:rPr>
          <w:rFonts w:hint="eastAsia" w:ascii="仿宋_GB2312" w:hAnsi="仿宋_GB2312" w:cs="仿宋_GB2312"/>
          <w:sz w:val="32"/>
          <w:szCs w:val="32"/>
          <w:lang w:eastAsia="zh-Hans"/>
        </w:rPr>
        <w:t>“项目完成时间”指标，预期指标值为“2023年</w:t>
      </w:r>
      <w:r>
        <w:rPr>
          <w:rFonts w:hint="eastAsia" w:ascii="仿宋_GB2312" w:hAnsi="仿宋_GB2312" w:cs="仿宋_GB2312"/>
          <w:sz w:val="32"/>
          <w:szCs w:val="32"/>
          <w:lang w:val="en-US" w:eastAsia="zh-CN"/>
        </w:rPr>
        <w:t>12</w:t>
      </w:r>
      <w:r>
        <w:rPr>
          <w:rFonts w:hint="eastAsia" w:ascii="仿宋_GB2312" w:hAnsi="仿宋_GB2312" w:cs="仿宋_GB2312"/>
          <w:sz w:val="32"/>
          <w:szCs w:val="32"/>
          <w:lang w:eastAsia="zh-Hans"/>
        </w:rPr>
        <w:t>月</w:t>
      </w:r>
      <w:r>
        <w:rPr>
          <w:rFonts w:hint="eastAsia" w:ascii="仿宋_GB2312" w:hAnsi="仿宋_GB2312" w:cs="仿宋_GB2312"/>
          <w:sz w:val="32"/>
          <w:szCs w:val="32"/>
          <w:lang w:val="en-US" w:eastAsia="zh-CN"/>
        </w:rPr>
        <w:t>25</w:t>
      </w:r>
      <w:r>
        <w:rPr>
          <w:rFonts w:hint="eastAsia" w:ascii="仿宋_GB2312" w:hAnsi="仿宋_GB2312" w:cs="仿宋_GB2312"/>
          <w:sz w:val="32"/>
          <w:szCs w:val="32"/>
          <w:lang w:eastAsia="zh-Hans"/>
        </w:rPr>
        <w:t>日”；根据</w:t>
      </w:r>
      <w:r>
        <w:rPr>
          <w:rFonts w:hint="eastAsia" w:ascii="仿宋_GB2312" w:hAnsi="仿宋_GB2312" w:cs="仿宋_GB2312"/>
          <w:sz w:val="32"/>
          <w:szCs w:val="32"/>
          <w:lang w:val="en-US" w:eastAsia="zh-CN"/>
        </w:rPr>
        <w:t>资金支付凭证显示</w:t>
      </w:r>
      <w:r>
        <w:rPr>
          <w:rFonts w:hint="eastAsia" w:ascii="仿宋_GB2312" w:hAnsi="仿宋_GB2312" w:cs="仿宋_GB2312"/>
          <w:sz w:val="32"/>
          <w:szCs w:val="32"/>
          <w:lang w:eastAsia="zh-Hans"/>
        </w:rPr>
        <w:t>，该项目</w:t>
      </w:r>
      <w:r>
        <w:rPr>
          <w:rFonts w:hint="eastAsia" w:ascii="仿宋_GB2312" w:hAnsi="仿宋_GB2312" w:cs="仿宋_GB2312"/>
          <w:sz w:val="32"/>
          <w:szCs w:val="32"/>
          <w:lang w:eastAsia="zh-CN"/>
        </w:rPr>
        <w:t>于</w:t>
      </w:r>
      <w:r>
        <w:rPr>
          <w:rFonts w:hint="eastAsia" w:ascii="仿宋_GB2312" w:hAnsi="仿宋_GB2312" w:cs="仿宋_GB2312"/>
          <w:sz w:val="32"/>
          <w:szCs w:val="32"/>
          <w:lang w:val="en-US" w:eastAsia="zh-CN"/>
        </w:rPr>
        <w:t>2023年12月已支付28.84万元</w:t>
      </w:r>
      <w:r>
        <w:rPr>
          <w:rFonts w:hint="eastAsia" w:ascii="仿宋_GB2312" w:hAnsi="仿宋_GB2312" w:cs="仿宋_GB2312"/>
          <w:sz w:val="32"/>
          <w:szCs w:val="32"/>
          <w:lang w:eastAsia="zh-CN"/>
        </w:rPr>
        <w:t>，</w:t>
      </w:r>
      <w:r>
        <w:rPr>
          <w:rFonts w:hint="eastAsia" w:ascii="仿宋_GB2312" w:hAnsi="仿宋_GB2312" w:cs="仿宋_GB2312"/>
          <w:sz w:val="32"/>
          <w:szCs w:val="32"/>
          <w:lang w:eastAsia="zh-Hans"/>
        </w:rPr>
        <w:t>已与预期目标指标一致，根据评分标准，该指标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highlight w:val="none"/>
          <w:lang w:eastAsia="zh-Hans"/>
        </w:rPr>
      </w:pPr>
      <w:r>
        <w:rPr>
          <w:rFonts w:hint="eastAsia" w:ascii="仿宋_GB2312" w:hAnsi="仿宋_GB2312" w:cs="仿宋_GB2312"/>
          <w:sz w:val="32"/>
          <w:szCs w:val="32"/>
          <w:highlight w:val="none"/>
          <w:lang w:val="en-US" w:eastAsia="zh-CN"/>
        </w:rPr>
        <w:t>经济成本</w:t>
      </w:r>
      <w:r>
        <w:rPr>
          <w:rFonts w:hint="eastAsia" w:ascii="仿宋_GB2312" w:hAnsi="仿宋_GB2312" w:cs="仿宋_GB2312"/>
          <w:sz w:val="32"/>
          <w:szCs w:val="32"/>
          <w:highlight w:val="none"/>
          <w:lang w:eastAsia="zh-Hans"/>
        </w:rPr>
        <w:t>“项目所需成本”指标，预期指标值为“</w:t>
      </w:r>
      <w:r>
        <w:rPr>
          <w:rFonts w:hint="eastAsia" w:ascii="仿宋_GB2312" w:hAnsi="仿宋_GB2312" w:eastAsia="仿宋_GB2312" w:cs="仿宋_GB2312"/>
          <w:color w:val="auto"/>
          <w:sz w:val="32"/>
          <w:szCs w:val="32"/>
          <w:highlight w:val="none"/>
        </w:rPr>
        <w:t>≤</w:t>
      </w:r>
      <w:r>
        <w:rPr>
          <w:rFonts w:hint="eastAsia" w:ascii="仿宋_GB2312" w:hAnsi="仿宋_GB2312" w:cs="仿宋_GB2312"/>
          <w:sz w:val="32"/>
          <w:szCs w:val="32"/>
          <w:highlight w:val="none"/>
          <w:lang w:eastAsia="zh-Hans"/>
        </w:rPr>
        <w:t>30万元”，根据</w:t>
      </w:r>
      <w:r>
        <w:rPr>
          <w:rFonts w:hint="eastAsia" w:ascii="仿宋_GB2312" w:hAnsi="仿宋_GB2312" w:cs="仿宋_GB2312"/>
          <w:sz w:val="32"/>
          <w:szCs w:val="32"/>
          <w:highlight w:val="none"/>
          <w:lang w:val="en-US" w:eastAsia="zh-CN"/>
        </w:rPr>
        <w:t>采购</w:t>
      </w:r>
      <w:r>
        <w:rPr>
          <w:rFonts w:hint="eastAsia" w:ascii="仿宋_GB2312" w:hAnsi="仿宋_GB2312" w:cs="仿宋_GB2312"/>
          <w:sz w:val="32"/>
          <w:szCs w:val="32"/>
          <w:highlight w:val="none"/>
          <w:lang w:eastAsia="zh-Hans"/>
        </w:rPr>
        <w:t>合同显示，本项目202</w:t>
      </w:r>
      <w:r>
        <w:rPr>
          <w:rFonts w:hint="default" w:ascii="仿宋_GB2312" w:hAnsi="仿宋_GB2312" w:cs="仿宋_GB2312"/>
          <w:sz w:val="32"/>
          <w:szCs w:val="32"/>
          <w:highlight w:val="none"/>
          <w:lang w:val="en-US" w:eastAsia="zh-Hans"/>
        </w:rPr>
        <w:t>3</w:t>
      </w:r>
      <w:r>
        <w:rPr>
          <w:rFonts w:hint="eastAsia" w:ascii="仿宋_GB2312" w:hAnsi="仿宋_GB2312" w:cs="仿宋_GB2312"/>
          <w:sz w:val="32"/>
          <w:szCs w:val="32"/>
          <w:highlight w:val="none"/>
          <w:lang w:eastAsia="zh-Hans"/>
        </w:rPr>
        <w:t>年共计</w:t>
      </w:r>
      <w:r>
        <w:rPr>
          <w:rFonts w:hint="eastAsia" w:ascii="仿宋_GB2312" w:hAnsi="仿宋_GB2312" w:cs="仿宋_GB2312"/>
          <w:sz w:val="32"/>
          <w:szCs w:val="32"/>
          <w:highlight w:val="none"/>
          <w:lang w:val="en-US" w:eastAsia="zh-CN"/>
        </w:rPr>
        <w:t>采购28.84万元</w:t>
      </w:r>
      <w:r>
        <w:rPr>
          <w:rFonts w:hint="eastAsia" w:ascii="仿宋_GB2312" w:hAnsi="仿宋_GB2312" w:cs="仿宋_GB2312"/>
          <w:sz w:val="32"/>
          <w:szCs w:val="32"/>
          <w:highlight w:val="none"/>
          <w:lang w:eastAsia="zh-Hans"/>
        </w:rPr>
        <w:t>，经费支出能够控制在</w:t>
      </w:r>
      <w:r>
        <w:rPr>
          <w:rFonts w:hint="eastAsia" w:ascii="仿宋_GB2312" w:hAnsi="仿宋_GB2312" w:cs="仿宋_GB2312"/>
          <w:sz w:val="32"/>
          <w:szCs w:val="32"/>
          <w:highlight w:val="none"/>
          <w:lang w:val="en-US" w:eastAsia="zh-CN"/>
        </w:rPr>
        <w:t>年度计划成本范</w:t>
      </w:r>
      <w:r>
        <w:rPr>
          <w:rFonts w:hint="eastAsia" w:ascii="仿宋_GB2312" w:hAnsi="仿宋_GB2312" w:cs="仿宋_GB2312"/>
          <w:sz w:val="32"/>
          <w:szCs w:val="32"/>
          <w:highlight w:val="none"/>
          <w:lang w:eastAsia="zh-Hans"/>
        </w:rPr>
        <w:t>围内，</w:t>
      </w:r>
      <w:r>
        <w:rPr>
          <w:rFonts w:hint="eastAsia" w:ascii="仿宋_GB2312" w:hAnsi="仿宋_GB2312" w:cs="仿宋_GB2312"/>
          <w:sz w:val="32"/>
          <w:szCs w:val="32"/>
          <w:highlight w:val="none"/>
          <w:lang w:val="en-US" w:eastAsia="zh-CN"/>
        </w:rPr>
        <w:t>剩余资金为结余资金。</w:t>
      </w:r>
      <w:r>
        <w:rPr>
          <w:rFonts w:hint="eastAsia" w:ascii="仿宋_GB2312" w:hAnsi="仿宋_GB2312" w:cs="仿宋_GB2312"/>
          <w:sz w:val="32"/>
          <w:szCs w:val="32"/>
          <w:highlight w:val="none"/>
          <w:lang w:eastAsia="zh-Hans"/>
        </w:rPr>
        <w:t>根据评分标准，该指标</w:t>
      </w:r>
      <w:r>
        <w:rPr>
          <w:rFonts w:hint="eastAsia" w:ascii="仿宋_GB2312" w:hAnsi="仿宋_GB2312" w:cs="仿宋_GB2312"/>
          <w:sz w:val="32"/>
          <w:szCs w:val="32"/>
          <w:highlight w:val="none"/>
          <w:lang w:val="en-US" w:eastAsia="zh-CN"/>
        </w:rPr>
        <w:t>5</w:t>
      </w:r>
      <w:r>
        <w:rPr>
          <w:rFonts w:hint="eastAsia" w:ascii="仿宋_GB2312" w:hAnsi="仿宋_GB2312" w:cs="仿宋_GB2312"/>
          <w:sz w:val="32"/>
          <w:szCs w:val="32"/>
          <w:highlight w:val="none"/>
          <w:lang w:eastAsia="zh-Hans"/>
        </w:rPr>
        <w:t>分，得</w:t>
      </w:r>
      <w:r>
        <w:rPr>
          <w:rFonts w:hint="eastAsia" w:ascii="仿宋_GB2312" w:hAnsi="仿宋_GB2312" w:cs="仿宋_GB2312"/>
          <w:sz w:val="32"/>
          <w:szCs w:val="32"/>
          <w:highlight w:val="none"/>
          <w:lang w:val="en-US" w:eastAsia="zh-CN"/>
        </w:rPr>
        <w:t>4.81</w:t>
      </w:r>
      <w:r>
        <w:rPr>
          <w:rFonts w:hint="eastAsia" w:ascii="仿宋_GB2312" w:hAnsi="仿宋_GB2312" w:cs="仿宋_GB2312"/>
          <w:sz w:val="32"/>
          <w:szCs w:val="32"/>
          <w:highlight w:val="none"/>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经济成本“监测设备采购成本”指标，预期指标值为“</w:t>
      </w:r>
      <w:r>
        <w:rPr>
          <w:rFonts w:hint="eastAsia" w:ascii="仿宋_GB2312" w:hAnsi="仿宋_GB2312" w:eastAsia="仿宋_GB2312" w:cs="仿宋_GB2312"/>
          <w:color w:val="auto"/>
          <w:sz w:val="32"/>
          <w:szCs w:val="32"/>
          <w:highlight w:val="none"/>
        </w:rPr>
        <w:t>≤</w:t>
      </w:r>
      <w:r>
        <w:rPr>
          <w:rFonts w:hint="eastAsia" w:ascii="仿宋_GB2312" w:hAnsi="仿宋_GB2312" w:cs="仿宋_GB2312"/>
          <w:sz w:val="32"/>
          <w:szCs w:val="32"/>
          <w:highlight w:val="none"/>
          <w:lang w:val="en-US" w:eastAsia="zh-CN"/>
        </w:rPr>
        <w:t>9.5万元”，</w:t>
      </w:r>
      <w:r>
        <w:rPr>
          <w:rFonts w:hint="eastAsia" w:ascii="仿宋_GB2312" w:hAnsi="仿宋_GB2312" w:cs="仿宋_GB2312"/>
          <w:sz w:val="32"/>
          <w:szCs w:val="32"/>
          <w:highlight w:val="none"/>
          <w:lang w:val="en-US" w:eastAsia="zh-Hans"/>
        </w:rPr>
        <w:t>根据项目合同显示，本</w:t>
      </w:r>
      <w:r>
        <w:rPr>
          <w:rFonts w:hint="eastAsia" w:ascii="仿宋_GB2312" w:hAnsi="仿宋_GB2312" w:cs="仿宋_GB2312"/>
          <w:sz w:val="32"/>
          <w:szCs w:val="32"/>
          <w:highlight w:val="none"/>
          <w:lang w:val="en-US" w:eastAsia="zh-CN"/>
        </w:rPr>
        <w:t>项目202</w:t>
      </w:r>
      <w:r>
        <w:rPr>
          <w:rFonts w:hint="default" w:ascii="仿宋_GB2312" w:hAnsi="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年设备采购8.68</w:t>
      </w:r>
      <w:r>
        <w:rPr>
          <w:rFonts w:hint="eastAsia" w:ascii="仿宋_GB2312" w:hAnsi="仿宋_GB2312" w:cs="仿宋_GB2312"/>
          <w:sz w:val="32"/>
          <w:szCs w:val="32"/>
          <w:highlight w:val="none"/>
          <w:lang w:val="en-US" w:eastAsia="zh-Hans"/>
        </w:rPr>
        <w:t>万元，</w:t>
      </w:r>
      <w:r>
        <w:rPr>
          <w:rFonts w:hint="eastAsia" w:ascii="仿宋_GB2312" w:hAnsi="仿宋_GB2312" w:cs="仿宋_GB2312"/>
          <w:sz w:val="32"/>
          <w:szCs w:val="32"/>
          <w:highlight w:val="none"/>
          <w:lang w:val="en-US" w:eastAsia="zh-CN"/>
        </w:rPr>
        <w:t>经费支出能够控制在年度计划成本范围内，剩余资金为结余资金。根据评分标准，该指标5分，得4.57分。</w:t>
      </w:r>
    </w:p>
    <w:p>
      <w:pPr>
        <w:pStyle w:val="4"/>
        <w:pageBreakBefore w:val="0"/>
        <w:widowControl w:val="0"/>
        <w:kinsoku/>
        <w:wordWrap/>
        <w:topLinePunct w:val="0"/>
        <w:autoSpaceDE/>
        <w:autoSpaceDN/>
        <w:bidi w:val="0"/>
        <w:spacing w:line="570" w:lineRule="exact"/>
        <w:ind w:left="0" w:leftChars="0"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0"/>
          <w:szCs w:val="30"/>
          <w:lang w:val="en-US" w:eastAsia="zh-Hans"/>
        </w:rPr>
      </w:pPr>
      <w:r>
        <w:rPr>
          <w:rFonts w:hint="eastAsia" w:ascii="仿宋_GB2312" w:hAnsi="仿宋_GB2312" w:cs="仿宋_GB2312"/>
          <w:sz w:val="32"/>
          <w:szCs w:val="32"/>
          <w:lang w:val="zh-TW" w:eastAsia="zh-TW"/>
        </w:rPr>
        <w:t>项目</w:t>
      </w:r>
      <w:r>
        <w:rPr>
          <w:rFonts w:hint="eastAsia" w:ascii="仿宋_GB2312" w:hAnsi="仿宋_GB2312" w:cs="仿宋_GB2312"/>
          <w:sz w:val="32"/>
          <w:szCs w:val="32"/>
          <w:lang w:val="en-US" w:eastAsia="zh-CN"/>
        </w:rPr>
        <w:t>效益</w:t>
      </w:r>
      <w:r>
        <w:rPr>
          <w:rFonts w:hint="eastAsia" w:ascii="仿宋_GB2312" w:hAnsi="仿宋_GB2312" w:cs="仿宋_GB2312"/>
          <w:sz w:val="32"/>
          <w:szCs w:val="32"/>
          <w:lang w:val="zh-TW" w:eastAsia="zh-TW"/>
        </w:rPr>
        <w:t>类指标由</w:t>
      </w:r>
      <w:r>
        <w:rPr>
          <w:rFonts w:hint="eastAsia" w:ascii="仿宋_GB2312" w:hAnsi="仿宋_GB2312" w:cs="仿宋_GB2312"/>
          <w:sz w:val="32"/>
          <w:szCs w:val="32"/>
          <w:lang w:val="en-US" w:eastAsia="zh-CN"/>
        </w:rPr>
        <w:t>社会效益、生态效益2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zh-TW" w:eastAsia="zh-CN"/>
        </w:rPr>
        <w:t>二</w:t>
      </w:r>
      <w:r>
        <w:rPr>
          <w:rFonts w:hint="eastAsia" w:ascii="仿宋_GB2312" w:hAnsi="仿宋_GB2312" w:cs="仿宋_GB2312"/>
          <w:sz w:val="32"/>
          <w:szCs w:val="32"/>
          <w:lang w:val="zh-TW" w:eastAsia="zh-TW"/>
        </w:rPr>
        <w:t>级指标和</w:t>
      </w:r>
      <w:r>
        <w:rPr>
          <w:rFonts w:hint="eastAsia" w:ascii="仿宋_GB2312" w:hAnsi="仿宋_GB2312" w:cs="仿宋_GB2312"/>
          <w:sz w:val="32"/>
          <w:szCs w:val="32"/>
          <w:lang w:val="en-US" w:eastAsia="zh-CN"/>
        </w:rPr>
        <w:t>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en-US" w:eastAsia="zh-CN"/>
        </w:rPr>
        <w:t>三</w:t>
      </w:r>
      <w:r>
        <w:rPr>
          <w:rFonts w:hint="eastAsia" w:ascii="仿宋_GB2312" w:hAnsi="仿宋_GB2312" w:cs="仿宋_GB2312"/>
          <w:sz w:val="32"/>
          <w:szCs w:val="32"/>
          <w:lang w:val="zh-TW" w:eastAsia="zh-TW"/>
        </w:rPr>
        <w:t>级指标构成，</w:t>
      </w:r>
      <w:r>
        <w:rPr>
          <w:rFonts w:hint="eastAsia" w:ascii="仿宋_GB2312" w:hAnsi="仿宋_GB2312" w:cs="仿宋_GB2312"/>
          <w:sz w:val="32"/>
          <w:szCs w:val="32"/>
          <w:lang w:val="en-US" w:eastAsia="zh-CN"/>
        </w:rPr>
        <w:t>权重分为20分，</w:t>
      </w:r>
      <w:r>
        <w:rPr>
          <w:rFonts w:hint="eastAsia" w:ascii="仿宋_GB2312" w:hAnsi="仿宋_GB2312" w:cs="仿宋_GB2312"/>
          <w:sz w:val="32"/>
          <w:szCs w:val="32"/>
          <w:lang w:val="en-US" w:eastAsia="zh-Hans"/>
        </w:rPr>
        <w:t>本项目</w:t>
      </w:r>
      <w:r>
        <w:rPr>
          <w:rFonts w:hint="eastAsia" w:ascii="仿宋_GB2312" w:hAnsi="仿宋_GB2312" w:cs="仿宋_GB2312"/>
          <w:sz w:val="32"/>
          <w:szCs w:val="32"/>
          <w:lang w:val="en-US" w:eastAsia="zh-CN"/>
        </w:rPr>
        <w:t>实际得分20分，得分率为100%。</w:t>
      </w:r>
      <w:r>
        <w:rPr>
          <w:rFonts w:hint="eastAsia" w:ascii="仿宋_GB2312" w:hAnsi="仿宋_GB2312" w:cs="仿宋_GB2312"/>
          <w:sz w:val="32"/>
          <w:szCs w:val="32"/>
          <w:lang w:val="en-US" w:eastAsia="zh-Hans"/>
        </w:rPr>
        <w:t>具体各项指标得分如下：</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TW"/>
        </w:rPr>
      </w:pPr>
      <w:r>
        <w:rPr>
          <w:rFonts w:hint="eastAsia" w:ascii="仿宋_GB2312" w:hAnsi="仿宋_GB2312" w:cs="仿宋_GB2312"/>
          <w:sz w:val="32"/>
          <w:szCs w:val="32"/>
          <w:lang w:val="zh-TW" w:eastAsia="zh-Hans"/>
        </w:rPr>
        <w:t>“通过疫源疫病监测，及时发现、处置野生动物疫病传播”指标，预期指标值为“有效处置”，</w:t>
      </w:r>
      <w:r>
        <w:rPr>
          <w:rFonts w:hint="eastAsia" w:ascii="仿宋_GB2312" w:hAnsi="仿宋_GB2312" w:cs="仿宋_GB2312"/>
          <w:sz w:val="32"/>
          <w:szCs w:val="32"/>
          <w:lang w:val="zh-TW" w:eastAsia="zh-TW"/>
        </w:rPr>
        <w:t>根据</w:t>
      </w:r>
      <w:r>
        <w:rPr>
          <w:rFonts w:hint="eastAsia" w:ascii="仿宋_GB2312" w:hAnsi="仿宋_GB2312" w:cs="仿宋_GB2312"/>
          <w:sz w:val="32"/>
          <w:szCs w:val="32"/>
          <w:lang w:val="en-US" w:eastAsia="zh-CN"/>
        </w:rPr>
        <w:t>年终工作总结</w:t>
      </w:r>
      <w:r>
        <w:rPr>
          <w:rFonts w:hint="eastAsia" w:ascii="仿宋_GB2312" w:hAnsi="仿宋_GB2312" w:cs="仿宋_GB2312"/>
          <w:sz w:val="32"/>
          <w:szCs w:val="32"/>
          <w:lang w:val="zh-TW" w:eastAsia="zh-TW"/>
        </w:rPr>
        <w:t>，实际完成值为</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zh-TW" w:eastAsia="zh-TW"/>
        </w:rPr>
        <w:t>根据评分标准，该指标</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Hans"/>
        </w:rPr>
      </w:pPr>
      <w:r>
        <w:rPr>
          <w:rFonts w:hint="eastAsia" w:ascii="仿宋_GB2312" w:hAnsi="仿宋_GB2312" w:cs="仿宋_GB2312"/>
          <w:sz w:val="32"/>
          <w:szCs w:val="32"/>
          <w:lang w:val="zh-TW" w:eastAsia="zh-Hans"/>
        </w:rPr>
        <w:t>本项目无该项指标。</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“保护生物多样性，维持生态平衡”指标，预期指标值为“作用显著”，</w:t>
      </w:r>
      <w:r>
        <w:rPr>
          <w:rFonts w:hint="eastAsia" w:ascii="仿宋_GB2312" w:hAnsi="仿宋_GB2312" w:cs="仿宋_GB2312"/>
          <w:sz w:val="32"/>
          <w:szCs w:val="32"/>
          <w:lang w:val="zh-TW" w:eastAsia="zh-Hans"/>
        </w:rPr>
        <w:t>根据</w:t>
      </w:r>
      <w:r>
        <w:rPr>
          <w:rFonts w:hint="eastAsia" w:ascii="仿宋_GB2312" w:hAnsi="仿宋_GB2312" w:cs="仿宋_GB2312"/>
          <w:sz w:val="32"/>
          <w:szCs w:val="32"/>
          <w:lang w:val="en-US" w:eastAsia="zh-CN"/>
        </w:rPr>
        <w:t>年终工作总结</w:t>
      </w:r>
      <w:r>
        <w:rPr>
          <w:rFonts w:hint="eastAsia" w:ascii="仿宋_GB2312" w:hAnsi="仿宋_GB2312" w:cs="仿宋_GB2312"/>
          <w:sz w:val="32"/>
          <w:szCs w:val="32"/>
          <w:lang w:val="zh-TW" w:eastAsia="zh-Hans"/>
        </w:rPr>
        <w:t>，实际完成值为</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根据评分标准，该指标10分，得10分。</w:t>
      </w:r>
    </w:p>
    <w:p>
      <w:pPr>
        <w:pStyle w:val="4"/>
        <w:pageBreakBefore w:val="0"/>
        <w:widowControl w:val="0"/>
        <w:kinsoku/>
        <w:wordWrap/>
        <w:topLinePunct w:val="0"/>
        <w:autoSpaceDE/>
        <w:autoSpaceDN/>
        <w:bidi w:val="0"/>
        <w:spacing w:line="570" w:lineRule="exact"/>
        <w:jc w:val="both"/>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cs="仿宋_GB2312"/>
          <w:color w:val="FF0000"/>
          <w:kern w:val="2"/>
          <w:sz w:val="32"/>
          <w:szCs w:val="32"/>
        </w:rPr>
      </w:pPr>
      <w:bookmarkStart w:id="17" w:name="_Toc1921"/>
      <w:bookmarkStart w:id="18" w:name="_Toc28290"/>
      <w:r>
        <w:rPr>
          <w:rFonts w:hint="eastAsia" w:ascii="仿宋_GB2312" w:hAnsi="仿宋_GB2312" w:cs="仿宋_GB2312"/>
          <w:sz w:val="32"/>
          <w:szCs w:val="32"/>
          <w:lang w:val="zh-TW" w:eastAsia="zh-Hans"/>
        </w:rPr>
        <w:t>本项目无该项指标。</w:t>
      </w:r>
      <w:r>
        <w:rPr>
          <w:rFonts w:hint="eastAsia" w:ascii="仿宋_GB2312" w:hAnsi="仿宋_GB2312" w:eastAsia="仿宋_GB2312" w:cs="仿宋_GB2312"/>
          <w:kern w:val="2"/>
          <w:sz w:val="32"/>
          <w:szCs w:val="32"/>
          <w:lang w:val="en-US" w:eastAsia="zh-CN" w:bidi="ar-SA"/>
        </w:rPr>
        <w:t>根据评分标准，该指标10分，得10分。</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五、预算执行进度与绩效指标偏差情况</w:t>
      </w:r>
    </w:p>
    <w:p>
      <w:pPr>
        <w:pStyle w:val="4"/>
        <w:pageBreakBefore w:val="0"/>
        <w:widowControl w:val="0"/>
        <w:numPr>
          <w:ilvl w:val="0"/>
          <w:numId w:val="6"/>
        </w:numPr>
        <w:kinsoku/>
        <w:wordWrap/>
        <w:topLinePunct w:val="0"/>
        <w:autoSpaceDE/>
        <w:autoSpaceDN/>
        <w:bidi w:val="0"/>
        <w:spacing w:line="570" w:lineRule="exact"/>
        <w:ind w:firstLine="643" w:firstLineChars="200"/>
        <w:jc w:val="both"/>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pStyle w:val="28"/>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bookmarkStart w:id="19" w:name="_Hlk20330113"/>
      <w:r>
        <w:rPr>
          <w:rFonts w:hint="eastAsia" w:ascii="仿宋_GB2312" w:hAnsi="仿宋_GB2312" w:eastAsia="仿宋_GB2312" w:cs="仿宋_GB2312"/>
          <w:color w:val="auto"/>
          <w:kern w:val="2"/>
          <w:sz w:val="32"/>
          <w:szCs w:val="32"/>
          <w:lang w:val="en-US" w:eastAsia="zh-Hans" w:bidi="ar-SA"/>
        </w:rPr>
        <w:t>裕民县2023年中央财政林业草原生态保护恢复资金（国有林保护修复-生物多样性保护）项目</w:t>
      </w:r>
      <w:bookmarkEnd w:id="19"/>
      <w:r>
        <w:rPr>
          <w:rFonts w:hint="eastAsia" w:ascii="仿宋_GB2312" w:hAnsi="仿宋_GB2312" w:eastAsia="仿宋_GB2312" w:cs="仿宋_GB2312"/>
          <w:color w:val="auto"/>
          <w:kern w:val="2"/>
          <w:sz w:val="32"/>
          <w:szCs w:val="32"/>
          <w:lang w:val="en-US" w:eastAsia="zh-Hans" w:bidi="ar-SA"/>
        </w:rPr>
        <w:t>预算金额</w:t>
      </w:r>
      <w:r>
        <w:rPr>
          <w:rFonts w:hint="eastAsia" w:ascii="仿宋_GB2312" w:hAnsi="仿宋_GB2312" w:cs="仿宋_GB2312"/>
          <w:color w:val="auto"/>
          <w:kern w:val="2"/>
          <w:sz w:val="32"/>
          <w:szCs w:val="32"/>
          <w:lang w:val="en-US" w:eastAsia="zh-CN" w:bidi="ar-SA"/>
        </w:rPr>
        <w:t>30</w:t>
      </w:r>
      <w:r>
        <w:rPr>
          <w:rFonts w:hint="eastAsia" w:ascii="仿宋_GB2312" w:hAnsi="仿宋_GB2312" w:eastAsia="仿宋_GB2312" w:cs="仿宋_GB2312"/>
          <w:color w:val="auto"/>
          <w:kern w:val="2"/>
          <w:sz w:val="32"/>
          <w:szCs w:val="32"/>
          <w:lang w:val="en-US" w:eastAsia="zh-Hans" w:bidi="ar-SA"/>
        </w:rPr>
        <w:t>万元，实际到位</w:t>
      </w:r>
      <w:r>
        <w:rPr>
          <w:rFonts w:hint="eastAsia" w:ascii="仿宋_GB2312" w:hAnsi="仿宋_GB2312" w:cs="仿宋_GB2312"/>
          <w:color w:val="auto"/>
          <w:kern w:val="2"/>
          <w:sz w:val="32"/>
          <w:szCs w:val="32"/>
          <w:lang w:val="en-US" w:eastAsia="zh-CN" w:bidi="ar-SA"/>
        </w:rPr>
        <w:t>30</w:t>
      </w:r>
      <w:r>
        <w:rPr>
          <w:rFonts w:hint="eastAsia" w:ascii="仿宋_GB2312" w:hAnsi="仿宋_GB2312" w:eastAsia="仿宋_GB2312" w:cs="仿宋_GB2312"/>
          <w:color w:val="auto"/>
          <w:kern w:val="2"/>
          <w:sz w:val="32"/>
          <w:szCs w:val="32"/>
          <w:lang w:val="en-US" w:eastAsia="zh-Hans" w:bidi="ar-SA"/>
        </w:rPr>
        <w:t>万元，</w:t>
      </w:r>
      <w:r>
        <w:rPr>
          <w:rFonts w:hint="eastAsia" w:ascii="仿宋_GB2312" w:hAnsi="仿宋_GB2312" w:eastAsia="仿宋_GB2312" w:cs="仿宋_GB2312"/>
          <w:color w:val="auto"/>
          <w:kern w:val="2"/>
          <w:sz w:val="32"/>
          <w:szCs w:val="32"/>
          <w:lang w:val="en-US" w:eastAsia="zh-CN" w:bidi="ar-SA"/>
        </w:rPr>
        <w:t>全年项目</w:t>
      </w:r>
      <w:r>
        <w:rPr>
          <w:rFonts w:hint="eastAsia" w:ascii="仿宋_GB2312" w:hAnsi="仿宋_GB2312" w:eastAsia="仿宋_GB2312" w:cs="仿宋_GB2312"/>
          <w:color w:val="auto"/>
          <w:kern w:val="2"/>
          <w:sz w:val="32"/>
          <w:szCs w:val="32"/>
          <w:lang w:val="en-US" w:eastAsia="zh-Hans" w:bidi="ar-SA"/>
        </w:rPr>
        <w:t>实际支出</w:t>
      </w:r>
      <w:r>
        <w:rPr>
          <w:rFonts w:hint="eastAsia" w:ascii="仿宋_GB2312" w:hAnsi="仿宋_GB2312" w:cs="仿宋_GB2312"/>
          <w:color w:val="auto"/>
          <w:kern w:val="2"/>
          <w:sz w:val="32"/>
          <w:szCs w:val="32"/>
          <w:lang w:val="en-US" w:eastAsia="zh-CN" w:bidi="ar-SA"/>
        </w:rPr>
        <w:t>28.84</w:t>
      </w:r>
      <w:r>
        <w:rPr>
          <w:rFonts w:hint="eastAsia" w:ascii="仿宋_GB2312" w:hAnsi="仿宋_GB2312" w:eastAsia="仿宋_GB2312" w:cs="仿宋_GB2312"/>
          <w:color w:val="auto"/>
          <w:kern w:val="2"/>
          <w:sz w:val="32"/>
          <w:szCs w:val="32"/>
          <w:lang w:val="en-US" w:eastAsia="zh-Hans" w:bidi="ar-SA"/>
        </w:rPr>
        <w:t>万元，预算执行率为</w:t>
      </w:r>
      <w:r>
        <w:rPr>
          <w:rFonts w:hint="eastAsia" w:ascii="仿宋_GB2312" w:hAnsi="仿宋_GB2312" w:cs="仿宋_GB2312"/>
          <w:color w:val="auto"/>
          <w:kern w:val="2"/>
          <w:sz w:val="32"/>
          <w:szCs w:val="32"/>
          <w:lang w:val="en-US" w:eastAsia="zh-CN" w:bidi="ar-SA"/>
        </w:rPr>
        <w:t>96.13</w:t>
      </w:r>
      <w:r>
        <w:rPr>
          <w:rFonts w:hint="eastAsia" w:ascii="仿宋_GB2312" w:hAnsi="仿宋_GB2312" w:eastAsia="仿宋_GB2312" w:cs="仿宋_GB2312"/>
          <w:color w:val="auto"/>
          <w:kern w:val="2"/>
          <w:sz w:val="32"/>
          <w:szCs w:val="32"/>
          <w:lang w:val="en-US" w:eastAsia="zh-Hans" w:bidi="ar-SA"/>
        </w:rPr>
        <w:t>%。项目绩效指标总体完成率为</w:t>
      </w:r>
      <w:r>
        <w:rPr>
          <w:rFonts w:hint="eastAsia" w:ascii="仿宋_GB2312" w:hAnsi="仿宋_GB2312" w:cs="仿宋_GB2312"/>
          <w:color w:val="auto"/>
          <w:kern w:val="2"/>
          <w:sz w:val="32"/>
          <w:szCs w:val="32"/>
          <w:lang w:val="en-US" w:eastAsia="zh-CN" w:bidi="ar-SA"/>
        </w:rPr>
        <w:t>96.13</w:t>
      </w:r>
      <w:r>
        <w:rPr>
          <w:rFonts w:hint="eastAsia" w:ascii="仿宋_GB2312" w:hAnsi="仿宋_GB2312" w:eastAsia="仿宋_GB2312" w:cs="仿宋_GB2312"/>
          <w:color w:val="auto"/>
          <w:kern w:val="2"/>
          <w:sz w:val="32"/>
          <w:szCs w:val="32"/>
          <w:lang w:val="en-US" w:eastAsia="zh-Hans" w:bidi="ar-SA"/>
        </w:rPr>
        <w:t>%，偏差率为</w:t>
      </w:r>
      <w:r>
        <w:rPr>
          <w:rFonts w:hint="eastAsia" w:ascii="仿宋_GB2312" w:hAnsi="仿宋_GB2312" w:eastAsia="仿宋_GB2312" w:cs="仿宋_GB2312"/>
          <w:color w:val="auto"/>
          <w:kern w:val="2"/>
          <w:sz w:val="32"/>
          <w:szCs w:val="32"/>
          <w:lang w:val="en-US" w:eastAsia="zh-CN" w:bidi="ar-SA"/>
        </w:rPr>
        <w:t>3.87</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偏差原因是</w:t>
      </w:r>
      <w:r>
        <w:rPr>
          <w:rFonts w:hint="eastAsia" w:ascii="仿宋_GB2312" w:hAnsi="仿宋_GB2312" w:eastAsia="仿宋_GB2312" w:cs="仿宋_GB2312"/>
          <w:color w:val="auto"/>
          <w:kern w:val="2"/>
          <w:sz w:val="32"/>
          <w:szCs w:val="32"/>
          <w:lang w:val="en-US" w:eastAsia="zh-CN" w:bidi="ar-SA"/>
        </w:rPr>
        <w:t>：存在项目招标差价，为1.16万元。</w:t>
      </w:r>
      <w:r>
        <w:rPr>
          <w:rFonts w:hint="eastAsia" w:ascii="仿宋_GB2312" w:hAnsi="仿宋_GB2312" w:eastAsia="仿宋_GB2312" w:cs="仿宋_GB2312"/>
          <w:color w:val="auto"/>
          <w:kern w:val="2"/>
          <w:sz w:val="32"/>
          <w:szCs w:val="32"/>
          <w:lang w:val="en-US" w:eastAsia="zh-Hans" w:bidi="ar-SA"/>
        </w:rPr>
        <w:t>拟采取的措施是</w:t>
      </w:r>
      <w:r>
        <w:rPr>
          <w:rFonts w:hint="eastAsia" w:ascii="仿宋_GB2312" w:hAnsi="仿宋_GB2312" w:eastAsia="仿宋_GB2312" w:cs="仿宋_GB2312"/>
          <w:color w:val="auto"/>
          <w:kern w:val="2"/>
          <w:sz w:val="32"/>
          <w:szCs w:val="32"/>
          <w:lang w:val="en-US" w:eastAsia="zh-CN" w:bidi="ar-SA"/>
        </w:rPr>
        <w:t>：对结余的项目招标差价申请财政收回。</w:t>
      </w:r>
    </w:p>
    <w:p>
      <w:pPr>
        <w:pStyle w:val="4"/>
        <w:pageBreakBefore w:val="0"/>
        <w:widowControl w:val="0"/>
        <w:numPr>
          <w:ilvl w:val="0"/>
          <w:numId w:val="6"/>
        </w:numPr>
        <w:kinsoku/>
        <w:wordWrap/>
        <w:topLinePunct w:val="0"/>
        <w:autoSpaceDE/>
        <w:autoSpaceDN/>
        <w:bidi w:val="0"/>
        <w:spacing w:line="570" w:lineRule="exact"/>
        <w:ind w:firstLine="643" w:firstLineChars="200"/>
        <w:jc w:val="both"/>
        <w:textAlignment w:val="auto"/>
        <w:rPr>
          <w:rFonts w:ascii="楷体_GB2312" w:eastAsia="楷体_GB2312"/>
          <w:szCs w:val="32"/>
          <w:lang w:eastAsia="zh-Hans"/>
        </w:rPr>
      </w:pPr>
      <w:r>
        <w:rPr>
          <w:rFonts w:hint="eastAsia" w:ascii="楷体_GB2312" w:eastAsia="楷体_GB2312"/>
          <w:szCs w:val="32"/>
          <w:lang w:eastAsia="zh-Hans"/>
        </w:rPr>
        <w:t>绩效指标偏差情况</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Hans" w:bidi="ar-SA"/>
        </w:rPr>
        <w:t>2023年中央财政林业草原生态保护恢复资金（国有林保护修复-生物多样性保护）项目</w:t>
      </w:r>
      <w:r>
        <w:rPr>
          <w:rFonts w:hint="eastAsia" w:ascii="仿宋_GB2312" w:hAnsi="仿宋_GB2312" w:eastAsia="仿宋_GB2312" w:cs="仿宋_GB2312"/>
          <w:kern w:val="2"/>
          <w:sz w:val="32"/>
          <w:szCs w:val="32"/>
          <w:lang w:val="en-US" w:eastAsia="zh-CN" w:bidi="ar-SA"/>
        </w:rPr>
        <w:t>当中，经济成本指标的实际完成情况未能达到预算指标值，存在偏差的原因如下：</w:t>
      </w:r>
    </w:p>
    <w:p>
      <w:pPr>
        <w:spacing w:line="600" w:lineRule="exact"/>
        <w:ind w:firstLine="640"/>
        <w:rPr>
          <w:rFonts w:ascii="仿宋_GB2312" w:hAnsi="仿宋_GB2312" w:cs="仿宋_GB2312"/>
          <w:b/>
          <w:bCs/>
          <w:color w:val="auto"/>
          <w:sz w:val="32"/>
          <w:szCs w:val="32"/>
        </w:rPr>
      </w:pPr>
      <w:r>
        <w:rPr>
          <w:rFonts w:hint="eastAsia" w:ascii="仿宋_GB2312" w:hAnsi="仿宋_GB2312" w:eastAsia="仿宋_GB2312" w:cs="仿宋_GB2312"/>
          <w:color w:val="auto"/>
          <w:sz w:val="32"/>
          <w:szCs w:val="32"/>
          <w:lang w:val="en-US" w:eastAsia="zh-CN"/>
        </w:rPr>
        <w:t>“项目所需成本”指标，预期指标值为“≤</w:t>
      </w:r>
      <w:r>
        <w:rPr>
          <w:rFonts w:hint="eastAsia" w:ascii="仿宋_GB2312" w:hAnsi="仿宋_GB2312" w:cs="仿宋_GB2312"/>
          <w:color w:val="auto"/>
          <w:sz w:val="32"/>
          <w:szCs w:val="32"/>
          <w:lang w:val="en-US" w:eastAsia="zh-CN"/>
        </w:rPr>
        <w:t>30</w:t>
      </w:r>
      <w:r>
        <w:rPr>
          <w:rFonts w:hint="eastAsia" w:ascii="仿宋_GB2312" w:hAnsi="仿宋_GB2312" w:eastAsia="仿宋_GB2312" w:cs="仿宋_GB2312"/>
          <w:color w:val="auto"/>
          <w:sz w:val="32"/>
          <w:szCs w:val="32"/>
          <w:lang w:val="en-US" w:eastAsia="zh-CN"/>
        </w:rPr>
        <w:t>万元”</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cs="仿宋_GB2312"/>
          <w:b w:val="0"/>
          <w:bCs w:val="0"/>
          <w:color w:val="auto"/>
          <w:sz w:val="32"/>
          <w:szCs w:val="32"/>
          <w:lang w:val="en-US" w:eastAsia="zh-CN"/>
        </w:rPr>
        <w:t>28.84</w:t>
      </w:r>
      <w:r>
        <w:rPr>
          <w:rFonts w:hint="eastAsia" w:ascii="仿宋_GB2312" w:hAnsi="仿宋_GB2312" w:eastAsia="仿宋_GB2312" w:cs="仿宋_GB2312"/>
          <w:b w:val="0"/>
          <w:bCs w:val="0"/>
          <w:color w:val="auto"/>
          <w:sz w:val="32"/>
          <w:szCs w:val="32"/>
          <w:lang w:val="en-US" w:eastAsia="zh-CN"/>
        </w:rPr>
        <w:t>万元</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eastAsia="仿宋_GB2312" w:cs="仿宋_GB2312"/>
          <w:b w:val="0"/>
          <w:bCs w:val="0"/>
          <w:color w:val="auto"/>
          <w:sz w:val="32"/>
          <w:szCs w:val="32"/>
          <w:lang w:val="en-US" w:eastAsia="zh-CN"/>
        </w:rPr>
        <w:t>剩余资金</w:t>
      </w:r>
      <w:r>
        <w:rPr>
          <w:rFonts w:hint="eastAsia" w:ascii="仿宋_GB2312" w:hAnsi="仿宋_GB2312" w:cs="仿宋_GB2312"/>
          <w:b w:val="0"/>
          <w:bCs w:val="0"/>
          <w:color w:val="auto"/>
          <w:sz w:val="32"/>
          <w:szCs w:val="32"/>
          <w:lang w:val="en-US" w:eastAsia="zh-CN"/>
        </w:rPr>
        <w:t>1.16万元</w:t>
      </w:r>
      <w:r>
        <w:rPr>
          <w:rFonts w:hint="eastAsia" w:ascii="仿宋_GB2312" w:hAnsi="仿宋_GB2312" w:eastAsia="仿宋_GB2312" w:cs="仿宋_GB2312"/>
          <w:b w:val="0"/>
          <w:bCs w:val="0"/>
          <w:color w:val="auto"/>
          <w:sz w:val="32"/>
          <w:szCs w:val="32"/>
          <w:lang w:val="en-US" w:eastAsia="zh-CN"/>
        </w:rPr>
        <w:t>为招标差价，财政已收回</w:t>
      </w:r>
      <w:r>
        <w:rPr>
          <w:rFonts w:ascii="仿宋_GB2312" w:hAnsi="仿宋_GB2312" w:cs="仿宋_GB2312"/>
          <w:color w:val="auto"/>
          <w:sz w:val="32"/>
          <w:szCs w:val="32"/>
        </w:rPr>
        <w:t>。</w:t>
      </w:r>
    </w:p>
    <w:bookmarkEnd w:id="17"/>
    <w:bookmarkEnd w:id="18"/>
    <w:p>
      <w:pPr>
        <w:pStyle w:val="3"/>
        <w:pageBreakBefore w:val="0"/>
        <w:widowControl w:val="0"/>
        <w:kinsoku/>
        <w:wordWrap/>
        <w:topLinePunct w:val="0"/>
        <w:autoSpaceDE/>
        <w:autoSpaceDN/>
        <w:bidi w:val="0"/>
        <w:spacing w:line="570" w:lineRule="exact"/>
        <w:ind w:left="0" w:leftChars="0"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eastAsia="zh-CN"/>
        </w:rPr>
        <w:t>加强组织领导，保障工作任务有序开展</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为有效推进项目工作开展，提高财政资金使用效益，</w:t>
      </w:r>
      <w:r>
        <w:rPr>
          <w:rFonts w:hint="eastAsia" w:ascii="仿宋_GB2312" w:hAnsi="仿宋_GB2312" w:cs="仿宋_GB2312"/>
          <w:color w:val="auto"/>
          <w:sz w:val="32"/>
          <w:szCs w:val="32"/>
          <w:lang w:eastAsia="zh-CN"/>
        </w:rPr>
        <w:t>该项目</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CN"/>
        </w:rPr>
        <w:t>成立了领导小组，由县分管领导任组长，相关单位参与。确保了项目在实施过程中顺利进行，严格按照</w:t>
      </w:r>
      <w:r>
        <w:rPr>
          <w:rFonts w:hint="eastAsia" w:ascii="仿宋_GB2312" w:hAnsi="仿宋_GB2312" w:cs="仿宋_GB2312"/>
          <w:color w:val="auto"/>
          <w:sz w:val="32"/>
          <w:szCs w:val="32"/>
        </w:rPr>
        <w:t>绩效目标</w:t>
      </w:r>
      <w:r>
        <w:rPr>
          <w:rFonts w:hint="eastAsia" w:ascii="仿宋_GB2312" w:hAnsi="仿宋_GB2312" w:cs="仿宋_GB2312"/>
          <w:color w:val="auto"/>
          <w:sz w:val="32"/>
          <w:szCs w:val="32"/>
          <w:lang w:eastAsia="zh-CN"/>
        </w:rPr>
        <w:t>完成各项建设任务。</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b/>
          <w:bCs/>
          <w:color w:val="auto"/>
          <w:sz w:val="32"/>
          <w:szCs w:val="32"/>
        </w:rPr>
        <w:t>2.</w:t>
      </w:r>
      <w:r>
        <w:rPr>
          <w:rFonts w:hint="eastAsia" w:ascii="仿宋_GB2312" w:hAnsi="仿宋_GB2312" w:cs="仿宋_GB2312"/>
          <w:b/>
          <w:bCs/>
          <w:color w:val="auto"/>
          <w:sz w:val="32"/>
          <w:szCs w:val="32"/>
          <w:lang w:eastAsia="zh-CN"/>
        </w:rPr>
        <w:t>严格落实项目资金闭环式管理</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bCs/>
          <w:color w:val="auto"/>
          <w:sz w:val="32"/>
          <w:szCs w:val="32"/>
          <w:lang w:eastAsia="zh-CN"/>
        </w:rPr>
      </w:pPr>
      <w:bookmarkStart w:id="20" w:name="_Toc68364674"/>
      <w:r>
        <w:rPr>
          <w:rFonts w:hint="eastAsia" w:ascii="仿宋_GB2312" w:hAnsi="仿宋_GB2312" w:cs="仿宋_GB2312"/>
          <w:color w:val="auto"/>
          <w:sz w:val="32"/>
          <w:szCs w:val="32"/>
          <w:lang w:eastAsia="zh-CN"/>
        </w:rPr>
        <w:t>根据财务相关制度，严格落实资金使用管理制度。根据项目实施进度，在项目资金支付前，严格按照闭环式资金管理流程申请资金，确保资金不被</w:t>
      </w:r>
      <w:r>
        <w:rPr>
          <w:rFonts w:hint="eastAsia" w:ascii="仿宋_GB2312" w:hAnsi="仿宋_GB2312" w:cs="仿宋_GB2312"/>
          <w:color w:val="auto"/>
          <w:sz w:val="32"/>
          <w:szCs w:val="32"/>
        </w:rPr>
        <w:t>截留、挤占或挪用</w:t>
      </w:r>
      <w:r>
        <w:rPr>
          <w:rFonts w:hint="eastAsia" w:ascii="仿宋_GB2312" w:hAnsi="仿宋_GB2312" w:cs="仿宋_GB2312"/>
          <w:color w:val="auto"/>
          <w:sz w:val="32"/>
          <w:szCs w:val="32"/>
          <w:lang w:eastAsia="zh-CN"/>
        </w:rPr>
        <w:t>。</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（二）存在问题及原因分析</w:t>
      </w:r>
      <w:bookmarkEnd w:id="20"/>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该项目在实施过程中，前期资金支付进度缓慢，主要原因为业务人员对业务能力不足，对项目实施进度不了解，闭环式资金申请资料收集缓慢，导致支付率进度缓慢。后期，通过对业务人员的培训后，支付率的到提升。</w:t>
      </w:r>
    </w:p>
    <w:p>
      <w:pPr>
        <w:pStyle w:val="3"/>
        <w:pageBreakBefore w:val="0"/>
        <w:widowControl w:val="0"/>
        <w:numPr>
          <w:ilvl w:val="0"/>
          <w:numId w:val="7"/>
        </w:numPr>
        <w:kinsoku/>
        <w:wordWrap/>
        <w:topLinePunct w:val="0"/>
        <w:autoSpaceDE/>
        <w:autoSpaceDN/>
        <w:bidi w:val="0"/>
        <w:spacing w:line="570" w:lineRule="exact"/>
        <w:ind w:firstLine="640" w:firstLineChars="200"/>
        <w:jc w:val="both"/>
        <w:textAlignment w:val="auto"/>
        <w:rPr>
          <w:rFonts w:hint="eastAsia"/>
          <w:szCs w:val="32"/>
          <w:lang w:eastAsia="zh-Hans"/>
        </w:rPr>
      </w:pPr>
      <w:r>
        <w:rPr>
          <w:rFonts w:hint="eastAsia"/>
          <w:szCs w:val="32"/>
          <w:lang w:eastAsia="zh-Hans"/>
        </w:rPr>
        <w:t>有关建议</w:t>
      </w:r>
    </w:p>
    <w:p>
      <w:pPr>
        <w:pageBreakBefore w:val="0"/>
        <w:widowControl w:val="0"/>
        <w:numPr>
          <w:ilvl w:val="0"/>
          <w:numId w:val="0"/>
        </w:numPr>
        <w:kinsoku/>
        <w:wordWrap/>
        <w:topLinePunct w:val="0"/>
        <w:autoSpaceDE/>
        <w:autoSpaceDN/>
        <w:bidi w:val="0"/>
        <w:spacing w:line="570" w:lineRule="exact"/>
        <w:ind w:firstLine="560" w:firstLineChars="200"/>
        <w:jc w:val="both"/>
        <w:textAlignment w:val="auto"/>
        <w:rPr>
          <w:rFonts w:hint="eastAsia" w:ascii="Times New Roman" w:hAnsi="Times New Roman" w:eastAsia="仿宋_GB2312" w:cs="Times New Roman"/>
          <w:spacing w:val="-4"/>
          <w:kern w:val="0"/>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spacing w:val="-4"/>
          <w:kern w:val="0"/>
          <w:sz w:val="32"/>
          <w:szCs w:val="32"/>
          <w:lang w:val="en-US" w:eastAsia="zh-CN" w:bidi="ar-SA"/>
        </w:rPr>
        <w:t>无</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八、其他需要说明的问题</w:t>
      </w:r>
    </w:p>
    <w:p>
      <w:pPr>
        <w:pStyle w:val="22"/>
        <w:pageBreakBefore w:val="0"/>
        <w:widowControl w:val="0"/>
        <w:kinsoku/>
        <w:wordWrap/>
        <w:topLinePunct w:val="0"/>
        <w:autoSpaceDE/>
        <w:autoSpaceDN/>
        <w:bidi w:val="0"/>
        <w:spacing w:line="570" w:lineRule="exact"/>
        <w:ind w:firstLine="624" w:firstLineChars="200"/>
        <w:jc w:val="both"/>
        <w:textAlignment w:val="auto"/>
        <w:rPr>
          <w:rFonts w:hint="eastAsia" w:ascii="仿宋_GB2312"/>
          <w:sz w:val="32"/>
          <w:szCs w:val="32"/>
        </w:rPr>
      </w:pPr>
      <w:r>
        <w:rPr>
          <w:rFonts w:hint="eastAsia"/>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3AC904C"/>
    <w:multiLevelType w:val="singleLevel"/>
    <w:tmpl w:val="13AC904C"/>
    <w:lvl w:ilvl="0" w:tentative="0">
      <w:start w:val="7"/>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 w:name="KSO_WPS_MARK_KEY" w:val="9f9dd1e4-113e-40df-9d71-8918c0b3be6e"/>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4C108A"/>
    <w:rsid w:val="04536448"/>
    <w:rsid w:val="05DE61E6"/>
    <w:rsid w:val="07124399"/>
    <w:rsid w:val="07ED0962"/>
    <w:rsid w:val="08713341"/>
    <w:rsid w:val="08B63682"/>
    <w:rsid w:val="08F55D20"/>
    <w:rsid w:val="0AA03A6A"/>
    <w:rsid w:val="0B6E1DBA"/>
    <w:rsid w:val="0BF24799"/>
    <w:rsid w:val="106B68C8"/>
    <w:rsid w:val="10E548CC"/>
    <w:rsid w:val="11C03D07"/>
    <w:rsid w:val="12F1313F"/>
    <w:rsid w:val="14E610AC"/>
    <w:rsid w:val="15A74EF4"/>
    <w:rsid w:val="1A041577"/>
    <w:rsid w:val="1AAC069C"/>
    <w:rsid w:val="21470C8B"/>
    <w:rsid w:val="21763072"/>
    <w:rsid w:val="21CB366A"/>
    <w:rsid w:val="22FB7EEA"/>
    <w:rsid w:val="24133A7D"/>
    <w:rsid w:val="242D5F16"/>
    <w:rsid w:val="245E1E24"/>
    <w:rsid w:val="24C820E3"/>
    <w:rsid w:val="253A4D8F"/>
    <w:rsid w:val="259B3353"/>
    <w:rsid w:val="26CF1507"/>
    <w:rsid w:val="29EB48A9"/>
    <w:rsid w:val="29FC5370"/>
    <w:rsid w:val="2DE0049D"/>
    <w:rsid w:val="2E483E7E"/>
    <w:rsid w:val="2F183841"/>
    <w:rsid w:val="2F527179"/>
    <w:rsid w:val="2FF22A22"/>
    <w:rsid w:val="300C7296"/>
    <w:rsid w:val="30FA3624"/>
    <w:rsid w:val="33944516"/>
    <w:rsid w:val="376E08C8"/>
    <w:rsid w:val="3BED61D2"/>
    <w:rsid w:val="3E2D1506"/>
    <w:rsid w:val="3F165ACD"/>
    <w:rsid w:val="3F404DAA"/>
    <w:rsid w:val="3F984740"/>
    <w:rsid w:val="41B00F03"/>
    <w:rsid w:val="430D5439"/>
    <w:rsid w:val="44501A81"/>
    <w:rsid w:val="445D0D2C"/>
    <w:rsid w:val="46472A10"/>
    <w:rsid w:val="47743CD8"/>
    <w:rsid w:val="49A75425"/>
    <w:rsid w:val="4C602A7D"/>
    <w:rsid w:val="4C6F2CC0"/>
    <w:rsid w:val="51645CB8"/>
    <w:rsid w:val="54D44008"/>
    <w:rsid w:val="56332FB1"/>
    <w:rsid w:val="5A0F163F"/>
    <w:rsid w:val="5A797F41"/>
    <w:rsid w:val="5C43557A"/>
    <w:rsid w:val="5D7317A1"/>
    <w:rsid w:val="5D746389"/>
    <w:rsid w:val="5EDF9208"/>
    <w:rsid w:val="5FAFB075"/>
    <w:rsid w:val="63C416EC"/>
    <w:rsid w:val="6569254B"/>
    <w:rsid w:val="65A15FC4"/>
    <w:rsid w:val="67982C74"/>
    <w:rsid w:val="68291A1A"/>
    <w:rsid w:val="691B1594"/>
    <w:rsid w:val="697D65C5"/>
    <w:rsid w:val="6ACE77FA"/>
    <w:rsid w:val="6BFC797E"/>
    <w:rsid w:val="6F0D6C22"/>
    <w:rsid w:val="6FD35114"/>
    <w:rsid w:val="6FE70C15"/>
    <w:rsid w:val="6FF38B9B"/>
    <w:rsid w:val="70C76713"/>
    <w:rsid w:val="726522EC"/>
    <w:rsid w:val="73D9A77D"/>
    <w:rsid w:val="73F90A54"/>
    <w:rsid w:val="7657F55C"/>
    <w:rsid w:val="76D2301A"/>
    <w:rsid w:val="77861774"/>
    <w:rsid w:val="77978BBA"/>
    <w:rsid w:val="77FD56A3"/>
    <w:rsid w:val="786D3A99"/>
    <w:rsid w:val="79300B45"/>
    <w:rsid w:val="7AAD77B6"/>
    <w:rsid w:val="7ADC5C1B"/>
    <w:rsid w:val="7AFFA044"/>
    <w:rsid w:val="7B3A4316"/>
    <w:rsid w:val="7C55A6FE"/>
    <w:rsid w:val="7C5C2225"/>
    <w:rsid w:val="7C7F22A6"/>
    <w:rsid w:val="7E1150D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8"/>
    <w:qFormat/>
    <w:uiPriority w:val="0"/>
    <w:pPr>
      <w:spacing w:line="240" w:lineRule="auto"/>
    </w:pPr>
    <w:rPr>
      <w:sz w:val="18"/>
      <w:szCs w:val="18"/>
    </w:rPr>
  </w:style>
  <w:style w:type="paragraph" w:styleId="8">
    <w:name w:val="footer"/>
    <w:basedOn w:val="1"/>
    <w:link w:val="2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ind w:left="1130" w:firstLine="0" w:firstLineChars="0"/>
      <w:outlineLvl w:val="0"/>
    </w:pPr>
    <w:rPr>
      <w:rFonts w:eastAsia="华文仿宋"/>
      <w:b/>
      <w:bCs/>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7"/>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8"/>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 w:type="paragraph" w:customStyle="1" w:styleId="28">
    <w:name w:val="段落"/>
    <w:basedOn w:val="1"/>
    <w:qFormat/>
    <w:uiPriority w:val="0"/>
    <w:rPr>
      <w:rFonts w:eastAsia="宋体" w:cs="Times New Roman"/>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7775</Words>
  <Characters>8175</Characters>
  <Lines>62</Lines>
  <Paragraphs>17</Paragraphs>
  <TotalTime>2</TotalTime>
  <ScaleCrop>false</ScaleCrop>
  <LinksUpToDate>false</LinksUpToDate>
  <CharactersWithSpaces>8193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2024-03-27T11:12:00Z</cp:lastPrinted>
  <dcterms:modified xsi:type="dcterms:W3CDTF">2025-10-23T05:11:03Z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BB7DFE14EF0E47C6A8BC119DBE156CA7</vt:lpwstr>
  </property>
</Properties>
</file>