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highlight w:val="none"/>
          <w:lang w:eastAsia="zh-Hans"/>
        </w:rPr>
      </w:pPr>
    </w:p>
    <w:p>
      <w:pPr>
        <w:pageBreakBefore w:val="0"/>
        <w:kinsoku/>
        <w:wordWrap/>
        <w:overflowPunct/>
        <w:topLinePunct w:val="0"/>
        <w:autoSpaceDE/>
        <w:autoSpaceDN/>
        <w:bidi w:val="0"/>
        <w:spacing w:line="570" w:lineRule="exact"/>
        <w:ind w:firstLine="880" w:firstLineChars="200"/>
        <w:jc w:val="both"/>
        <w:textAlignment w:val="auto"/>
        <w:rPr>
          <w:rFonts w:hint="eastAsia" w:ascii="方正小标宋_GBK" w:hAnsi="华文中宋" w:eastAsia="方正小标宋_GBK" w:cs="宋体"/>
          <w:kern w:val="0"/>
          <w:sz w:val="44"/>
          <w:szCs w:val="44"/>
          <w:highlight w:val="none"/>
          <w:lang w:eastAsia="zh-Hans"/>
        </w:rPr>
      </w:pPr>
    </w:p>
    <w:p>
      <w:pPr>
        <w:pageBreakBefore w:val="0"/>
        <w:kinsoku/>
        <w:wordWrap/>
        <w:overflowPunct/>
        <w:topLinePunct w:val="0"/>
        <w:autoSpaceDE/>
        <w:autoSpaceDN/>
        <w:bidi w:val="0"/>
        <w:spacing w:line="570" w:lineRule="exact"/>
        <w:ind w:firstLine="880" w:firstLineChars="200"/>
        <w:jc w:val="center"/>
        <w:textAlignment w:val="auto"/>
        <w:rPr>
          <w:rFonts w:ascii="方正小标宋_GBK" w:hAnsi="华文中宋" w:eastAsia="方正小标宋_GBK" w:cs="宋体"/>
          <w:kern w:val="0"/>
          <w:sz w:val="44"/>
          <w:szCs w:val="44"/>
          <w:highlight w:val="none"/>
          <w:lang w:eastAsia="zh-Hans"/>
        </w:rPr>
      </w:pPr>
    </w:p>
    <w:p>
      <w:pPr>
        <w:pageBreakBefore w:val="0"/>
        <w:kinsoku/>
        <w:wordWrap/>
        <w:overflowPunct/>
        <w:topLinePunct w:val="0"/>
        <w:autoSpaceDE/>
        <w:autoSpaceDN/>
        <w:bidi w:val="0"/>
        <w:spacing w:line="570" w:lineRule="exact"/>
        <w:ind w:left="0" w:leftChars="0" w:firstLine="0" w:firstLineChars="0"/>
        <w:jc w:val="center"/>
        <w:textAlignment w:val="auto"/>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lang w:val="en-US" w:eastAsia="zh-CN"/>
        </w:rPr>
        <w:t>裕民县库沙河生态治理工程工作站</w:t>
      </w:r>
      <w:r>
        <w:rPr>
          <w:rFonts w:hint="eastAsia" w:ascii="方正小标宋_GBK" w:hAnsi="华文中宋" w:eastAsia="方正小标宋_GBK" w:cs="宋体"/>
          <w:color w:val="auto"/>
          <w:kern w:val="0"/>
          <w:sz w:val="44"/>
          <w:szCs w:val="44"/>
          <w:highlight w:val="none"/>
        </w:rPr>
        <w:t>部门单位整体支出绩效自评报告</w:t>
      </w:r>
    </w:p>
    <w:p>
      <w:pPr>
        <w:pageBreakBefore w:val="0"/>
        <w:kinsoku/>
        <w:wordWrap/>
        <w:overflowPunct/>
        <w:topLinePunct w:val="0"/>
        <w:autoSpaceDE/>
        <w:autoSpaceDN/>
        <w:bidi w:val="0"/>
        <w:spacing w:line="570" w:lineRule="exact"/>
        <w:ind w:firstLine="1044" w:firstLineChars="200"/>
        <w:jc w:val="center"/>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left="0" w:leftChars="0" w:firstLine="0" w:firstLineChars="0"/>
        <w:jc w:val="center"/>
        <w:textAlignment w:val="auto"/>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w:t>
      </w:r>
      <w:r>
        <w:rPr>
          <w:rFonts w:hint="eastAsia" w:ascii="仿宋_GB2312" w:hAnsi="宋体" w:eastAsia="仿宋_GB2312" w:cs="宋体"/>
          <w:color w:val="auto"/>
          <w:kern w:val="0"/>
          <w:sz w:val="36"/>
          <w:szCs w:val="36"/>
          <w:highlight w:val="none"/>
          <w:lang w:val="en-US" w:eastAsia="zh-CN"/>
        </w:rPr>
        <w:t>3</w:t>
      </w:r>
      <w:r>
        <w:rPr>
          <w:rFonts w:hint="eastAsia" w:ascii="仿宋_GB2312" w:hAnsi="宋体" w:eastAsia="仿宋_GB2312" w:cs="宋体"/>
          <w:color w:val="auto"/>
          <w:kern w:val="0"/>
          <w:sz w:val="36"/>
          <w:szCs w:val="36"/>
          <w:highlight w:val="none"/>
        </w:rPr>
        <w:t>年度</w:t>
      </w:r>
      <w:r>
        <w:rPr>
          <w:rFonts w:hint="eastAsia" w:ascii="仿宋_GB2312" w:hAnsi="Malgun Gothic Semilight" w:eastAsia="仿宋_GB2312" w:cs="Malgun Gothic Semilight"/>
          <w:color w:val="auto"/>
          <w:kern w:val="0"/>
          <w:sz w:val="36"/>
          <w:szCs w:val="36"/>
          <w:highlight w:val="none"/>
        </w:rPr>
        <w:t>）</w:t>
      </w: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hint="eastAsia"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spacing w:line="570" w:lineRule="exact"/>
        <w:ind w:firstLine="640" w:firstLineChars="200"/>
        <w:jc w:val="both"/>
        <w:textAlignment w:val="auto"/>
        <w:rPr>
          <w:rFonts w:hint="default" w:ascii="黑体" w:hAnsi="黑体" w:eastAsia="黑体" w:cs="黑体"/>
          <w:bCs/>
          <w:color w:val="auto"/>
          <w:sz w:val="32"/>
          <w:szCs w:val="32"/>
          <w:highlight w:val="none"/>
          <w:lang w:val="en-US" w:eastAsia="zh-CN"/>
        </w:rPr>
      </w:pPr>
      <w:r>
        <w:rPr>
          <w:rFonts w:hint="eastAsia" w:ascii="黑体" w:hAnsi="黑体" w:eastAsia="黑体" w:cs="黑体"/>
          <w:bCs/>
          <w:color w:val="auto"/>
          <w:sz w:val="32"/>
          <w:szCs w:val="32"/>
          <w:highlight w:val="none"/>
        </w:rPr>
        <w:t>部门单位名称（公章）：</w:t>
      </w:r>
      <w:r>
        <w:rPr>
          <w:rFonts w:hint="eastAsia" w:ascii="黑体" w:hAnsi="黑体" w:eastAsia="黑体" w:cs="黑体"/>
          <w:bCs/>
          <w:color w:val="auto"/>
          <w:sz w:val="32"/>
          <w:szCs w:val="32"/>
          <w:highlight w:val="none"/>
          <w:lang w:val="en-US" w:eastAsia="zh-CN"/>
        </w:rPr>
        <w:t>裕民县库沙河生态治理工程工作站</w:t>
      </w:r>
    </w:p>
    <w:p>
      <w:pPr>
        <w:pageBreakBefore w:val="0"/>
        <w:kinsoku/>
        <w:wordWrap/>
        <w:overflowPunct/>
        <w:topLinePunct w:val="0"/>
        <w:autoSpaceDE/>
        <w:autoSpaceDN/>
        <w:bidi w:val="0"/>
        <w:spacing w:line="570" w:lineRule="exact"/>
        <w:ind w:firstLine="640" w:firstLineChars="200"/>
        <w:jc w:val="both"/>
        <w:textAlignment w:val="auto"/>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填报时间：</w:t>
      </w:r>
      <w:r>
        <w:rPr>
          <w:rFonts w:hint="eastAsia" w:ascii="黑体" w:hAnsi="黑体" w:eastAsia="黑体" w:cs="黑体"/>
          <w:bCs/>
          <w:color w:val="auto"/>
          <w:sz w:val="32"/>
          <w:szCs w:val="32"/>
          <w:highlight w:val="none"/>
          <w:lang w:val="en-US" w:eastAsia="zh-CN"/>
        </w:rPr>
        <w:t>2024</w:t>
      </w:r>
      <w:r>
        <w:rPr>
          <w:rFonts w:hint="eastAsia" w:ascii="黑体" w:hAnsi="黑体" w:eastAsia="黑体" w:cs="黑体"/>
          <w:bCs/>
          <w:color w:val="auto"/>
          <w:sz w:val="32"/>
          <w:szCs w:val="32"/>
          <w:highlight w:val="none"/>
        </w:rPr>
        <w:t>年</w:t>
      </w:r>
      <w:r>
        <w:rPr>
          <w:rFonts w:hint="eastAsia" w:ascii="黑体" w:hAnsi="黑体" w:eastAsia="黑体" w:cs="黑体"/>
          <w:bCs/>
          <w:color w:val="auto"/>
          <w:sz w:val="32"/>
          <w:szCs w:val="32"/>
          <w:highlight w:val="none"/>
          <w:lang w:val="en-US" w:eastAsia="zh-CN"/>
        </w:rPr>
        <w:t>3</w:t>
      </w:r>
      <w:r>
        <w:rPr>
          <w:rFonts w:hint="eastAsia" w:ascii="黑体" w:hAnsi="黑体" w:eastAsia="黑体" w:cs="黑体"/>
          <w:bCs/>
          <w:color w:val="auto"/>
          <w:sz w:val="32"/>
          <w:szCs w:val="32"/>
          <w:highlight w:val="none"/>
        </w:rPr>
        <w:t>月</w:t>
      </w:r>
      <w:r>
        <w:rPr>
          <w:rFonts w:hint="eastAsia" w:ascii="黑体" w:hAnsi="黑体" w:eastAsia="黑体" w:cs="黑体"/>
          <w:bCs/>
          <w:color w:val="auto"/>
          <w:sz w:val="32"/>
          <w:szCs w:val="32"/>
          <w:highlight w:val="none"/>
          <w:lang w:val="en-US" w:eastAsia="zh-CN"/>
        </w:rPr>
        <w:t>12</w:t>
      </w:r>
      <w:r>
        <w:rPr>
          <w:rFonts w:hint="eastAsia" w:ascii="黑体" w:hAnsi="黑体" w:eastAsia="黑体" w:cs="黑体"/>
          <w:bCs/>
          <w:color w:val="auto"/>
          <w:sz w:val="32"/>
          <w:szCs w:val="32"/>
          <w:highlight w:val="none"/>
        </w:rPr>
        <w:t>日</w:t>
      </w:r>
    </w:p>
    <w:p>
      <w:pPr>
        <w:pageBreakBefore w:val="0"/>
        <w:kinsoku/>
        <w:wordWrap/>
        <w:overflowPunct/>
        <w:topLinePunct w:val="0"/>
        <w:autoSpaceDE/>
        <w:autoSpaceDN/>
        <w:bidi w:val="0"/>
        <w:adjustRightInd w:val="0"/>
        <w:snapToGrid w:val="0"/>
        <w:spacing w:line="570" w:lineRule="exact"/>
        <w:ind w:firstLine="643" w:firstLineChars="200"/>
        <w:jc w:val="both"/>
        <w:textAlignment w:val="auto"/>
        <w:rPr>
          <w:rFonts w:hint="eastAsia" w:ascii="仿宋_GB2312" w:eastAsia="仿宋_GB2312"/>
          <w:b/>
          <w:bCs/>
          <w:color w:val="auto"/>
          <w:sz w:val="32"/>
          <w:szCs w:val="32"/>
          <w:highlight w:val="none"/>
        </w:rPr>
      </w:pPr>
    </w:p>
    <w:p>
      <w:pPr>
        <w:pStyle w:val="2"/>
        <w:pageBreakBefore w:val="0"/>
        <w:kinsoku/>
        <w:wordWrap/>
        <w:overflowPunct/>
        <w:topLinePunct w:val="0"/>
        <w:autoSpaceDE/>
        <w:autoSpaceDN/>
        <w:bidi w:val="0"/>
        <w:spacing w:line="570" w:lineRule="exact"/>
        <w:ind w:firstLine="643" w:firstLineChars="200"/>
        <w:jc w:val="both"/>
        <w:textAlignment w:val="auto"/>
        <w:rPr>
          <w:rStyle w:val="14"/>
          <w:rFonts w:ascii="黑体" w:hAnsi="黑体" w:cs="仿宋_GB2312"/>
          <w:b/>
          <w:bCs w:val="0"/>
          <w:color w:val="000000" w:themeColor="text1"/>
          <w:kern w:val="2"/>
          <w:sz w:val="32"/>
          <w:szCs w:val="32"/>
          <w:highlight w:val="none"/>
          <w:lang w:eastAsia="zh-Hans" w:bidi="ar"/>
          <w14:textFill>
            <w14:solidFill>
              <w14:schemeClr w14:val="tx1"/>
            </w14:solidFill>
          </w14:textFill>
        </w:rPr>
      </w:pPr>
      <w:r>
        <w:rPr>
          <w:rStyle w:val="14"/>
          <w:rFonts w:hint="eastAsia" w:ascii="黑体" w:hAnsi="黑体" w:cs="仿宋_GB2312"/>
          <w:b/>
          <w:bCs w:val="0"/>
          <w:color w:val="000000" w:themeColor="text1"/>
          <w:kern w:val="2"/>
          <w:sz w:val="32"/>
          <w:szCs w:val="32"/>
          <w:highlight w:val="none"/>
          <w:lang w:eastAsia="zh-Hans" w:bidi="ar"/>
          <w14:textFill>
            <w14:solidFill>
              <w14:schemeClr w14:val="tx1"/>
            </w14:solidFill>
          </w14:textFill>
        </w:rPr>
        <w:t>一、基本概况</w:t>
      </w:r>
    </w:p>
    <w:p>
      <w:pPr>
        <w:pStyle w:val="3"/>
        <w:pageBreakBefore w:val="0"/>
        <w:kinsoku/>
        <w:wordWrap/>
        <w:overflowPunct/>
        <w:topLinePunct w:val="0"/>
        <w:autoSpaceDE/>
        <w:autoSpaceDN/>
        <w:bidi w:val="0"/>
        <w:spacing w:line="570" w:lineRule="exact"/>
        <w:ind w:firstLine="643" w:firstLineChars="200"/>
        <w:jc w:val="both"/>
        <w:textAlignment w:val="auto"/>
        <w:rPr>
          <w:rFonts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（一）</w:t>
      </w:r>
      <w:r>
        <w:rPr>
          <w:rFonts w:hint="eastAsia" w:ascii="楷体_GB2312" w:eastAsia="楷体_GB2312"/>
          <w:color w:val="000000" w:themeColor="text1"/>
          <w:szCs w:val="32"/>
          <w:highlight w:val="none"/>
          <w:lang w:val="en-US" w:eastAsia="zh-CN"/>
          <w14:textFill>
            <w14:solidFill>
              <w14:schemeClr w14:val="tx1"/>
            </w14:solidFill>
          </w14:textFill>
        </w:rPr>
        <w:t>部门</w:t>
      </w:r>
      <w:r>
        <w:rPr>
          <w:rFonts w:hint="eastAsia" w:ascii="楷体_GB2312" w:eastAsia="楷体_GB2312"/>
          <w:color w:val="000000" w:themeColor="text1"/>
          <w:szCs w:val="32"/>
          <w:highlight w:val="none"/>
          <w14:textFill>
            <w14:solidFill>
              <w14:schemeClr w14:val="tx1"/>
            </w14:solidFill>
          </w14:textFill>
        </w:rPr>
        <w:t>单位基本情况</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1.部门主要职能</w:t>
      </w:r>
    </w:p>
    <w:p>
      <w:pPr>
        <w:pStyle w:val="26"/>
        <w:pageBreakBefore w:val="0"/>
        <w:widowControl w:val="0"/>
        <w:kinsoku/>
        <w:wordWrap/>
        <w:overflowPunct/>
        <w:topLinePunct w:val="0"/>
        <w:autoSpaceDE/>
        <w:autoSpaceDN/>
        <w:bidi w:val="0"/>
        <w:adjustRightInd/>
        <w:snapToGrid w:val="0"/>
        <w:spacing w:line="570" w:lineRule="exact"/>
        <w:ind w:firstLine="640" w:firstLineChars="200"/>
        <w:jc w:val="both"/>
        <w:textAlignment w:val="auto"/>
        <w:rPr>
          <w:rStyle w:val="14"/>
          <w:rFonts w:ascii="仿宋_GB2312" w:hAnsi="仿宋_GB2312" w:eastAsia="仿宋_GB2312" w:cs="仿宋_GB2312"/>
          <w:b w:val="0"/>
          <w:color w:val="FF0000"/>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Style w:val="14"/>
          <w:rFonts w:hint="eastAsia" w:ascii="仿宋_GB2312" w:hAnsi="仿宋_GB2312" w:eastAsia="仿宋_GB2312" w:cs="仿宋_GB2312"/>
          <w:b w:val="0"/>
          <w:color w:val="auto"/>
          <w:sz w:val="32"/>
          <w:szCs w:val="32"/>
          <w:highlight w:val="none"/>
          <w:lang w:eastAsia="zh-Hans" w:bidi="ar"/>
        </w:rPr>
        <w:t>的主要职能是</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kern w:val="2"/>
          <w:sz w:val="32"/>
          <w:szCs w:val="32"/>
          <w:highlight w:val="none"/>
          <w:lang w:val="en-US" w:eastAsia="zh-CN" w:bidi="ar"/>
        </w:rPr>
        <w:t xml:space="preserve">贯彻执行党和国家关于生态建设的法律、法规和方针、政策，改善生态环境，拟订生态区林业发展战略、中长期规划；组织开展库沙河生态二期、三期林带区对生态种植树林的管护，负责库沙河区的植树造林及绿化荒漠的监督管理。组织、协调、指导和监督库沙河生态区经营工作、开展对生态林区土地的经营，认真执行相关国家标准和规定，畜牧养殖经营利用。认真执行国家生态建设发展的法律、法规、和方针、政策，严格按照有关法律法规和财政专项资金管理制度，编制本部门预算并组织实施。 </w:t>
      </w:r>
      <w:r>
        <w:rPr>
          <w:rStyle w:val="14"/>
          <w:rFonts w:hint="eastAsia" w:ascii="仿宋_GB2312" w:hAnsi="仿宋_GB2312" w:eastAsia="仿宋_GB2312" w:cs="仿宋_GB2312"/>
          <w:b w:val="0"/>
          <w:color w:val="FF0000"/>
          <w:sz w:val="32"/>
          <w:szCs w:val="32"/>
          <w:highlight w:val="none"/>
          <w:lang w:bidi="ar"/>
        </w:rPr>
        <w:t xml:space="preserve"> </w:t>
      </w:r>
    </w:p>
    <w:p>
      <w:pPr>
        <w:pageBreakBefore w:val="0"/>
        <w:widowControl w:val="0"/>
        <w:kinsoku/>
        <w:wordWrap/>
        <w:overflowPunct/>
        <w:topLinePunct w:val="0"/>
        <w:autoSpaceDE/>
        <w:autoSpaceDN/>
        <w:bidi w:val="0"/>
        <w:adjustRightInd/>
        <w:spacing w:line="570" w:lineRule="exact"/>
        <w:ind w:firstLine="643" w:firstLineChars="20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2.部门机构设置及人员构成</w:t>
      </w:r>
    </w:p>
    <w:p>
      <w:pPr>
        <w:pageBreakBefore w:val="0"/>
        <w:widowControl w:val="0"/>
        <w:kinsoku/>
        <w:wordWrap/>
        <w:overflowPunct/>
        <w:topLinePunct w:val="0"/>
        <w:autoSpaceDE/>
        <w:autoSpaceDN/>
        <w:bidi w:val="0"/>
        <w:adjustRightInd/>
        <w:spacing w:line="570" w:lineRule="exact"/>
        <w:ind w:firstLine="640" w:firstLineChars="200"/>
        <w:jc w:val="both"/>
        <w:textAlignment w:val="auto"/>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Fonts w:hint="eastAsia" w:ascii="仿宋_GB2312" w:hAnsi="仿宋_GB2312" w:cs="仿宋_GB2312"/>
          <w:color w:val="auto"/>
          <w:kern w:val="0"/>
          <w:sz w:val="32"/>
          <w:szCs w:val="32"/>
          <w:highlight w:val="none"/>
          <w:lang w:eastAsia="zh-Hans"/>
        </w:rPr>
        <w:t>为行政单位</w:t>
      </w:r>
      <w:r>
        <w:rPr>
          <w:rFonts w:ascii="仿宋_GB2312" w:hAnsi="仿宋_GB2312" w:cs="仿宋_GB2312"/>
          <w:color w:val="auto"/>
          <w:kern w:val="0"/>
          <w:sz w:val="32"/>
          <w:szCs w:val="32"/>
          <w:highlight w:val="none"/>
          <w:lang w:eastAsia="zh-Hans"/>
        </w:rPr>
        <w:t>，</w:t>
      </w:r>
      <w:r>
        <w:rPr>
          <w:rFonts w:hint="eastAsia" w:ascii="仿宋_GB2312" w:hAnsi="仿宋_GB2312" w:cs="仿宋_GB2312"/>
          <w:color w:val="auto"/>
          <w:kern w:val="0"/>
          <w:sz w:val="32"/>
          <w:szCs w:val="32"/>
          <w:highlight w:val="none"/>
          <w:lang w:eastAsia="zh-Hans"/>
        </w:rPr>
        <w:t>下设</w:t>
      </w:r>
      <w:r>
        <w:rPr>
          <w:rFonts w:hint="eastAsia" w:ascii="仿宋_GB2312" w:hAnsi="仿宋_GB2312" w:cs="仿宋_GB2312"/>
          <w:color w:val="auto"/>
          <w:kern w:val="0"/>
          <w:sz w:val="32"/>
          <w:szCs w:val="32"/>
          <w:highlight w:val="none"/>
          <w:lang w:val="en-US" w:eastAsia="zh-CN"/>
        </w:rPr>
        <w:t>2</w:t>
      </w:r>
      <w:r>
        <w:rPr>
          <w:rFonts w:hint="eastAsia" w:ascii="仿宋_GB2312" w:hAnsi="仿宋_GB2312" w:cs="仿宋_GB2312"/>
          <w:color w:val="auto"/>
          <w:kern w:val="0"/>
          <w:sz w:val="32"/>
          <w:szCs w:val="32"/>
          <w:highlight w:val="none"/>
          <w:lang w:eastAsia="zh-Hans"/>
        </w:rPr>
        <w:t>个办公室</w:t>
      </w:r>
      <w:r>
        <w:rPr>
          <w:rFonts w:ascii="仿宋_GB2312" w:hAnsi="仿宋_GB2312" w:cs="仿宋_GB2312"/>
          <w:color w:val="auto"/>
          <w:kern w:val="0"/>
          <w:sz w:val="32"/>
          <w:szCs w:val="32"/>
          <w:highlight w:val="none"/>
          <w:lang w:eastAsia="zh-Hans"/>
        </w:rPr>
        <w:t>，</w:t>
      </w:r>
      <w:r>
        <w:rPr>
          <w:rFonts w:hint="eastAsia" w:ascii="仿宋_GB2312" w:hAnsi="仿宋_GB2312" w:cs="仿宋_GB2312"/>
          <w:color w:val="auto"/>
          <w:kern w:val="0"/>
          <w:sz w:val="32"/>
          <w:szCs w:val="32"/>
          <w:highlight w:val="none"/>
          <w:lang w:eastAsia="zh-Hans"/>
        </w:rPr>
        <w:t>分别为</w:t>
      </w:r>
      <w:r>
        <w:rPr>
          <w:rFonts w:ascii="仿宋_GB2312" w:hAnsi="仿宋_GB2312" w:cs="仿宋_GB2312"/>
          <w:color w:val="auto"/>
          <w:kern w:val="0"/>
          <w:sz w:val="32"/>
          <w:szCs w:val="32"/>
          <w:highlight w:val="none"/>
          <w:lang w:eastAsia="zh-Hans"/>
        </w:rPr>
        <w:t>：</w:t>
      </w:r>
      <w:r>
        <w:rPr>
          <w:rStyle w:val="14"/>
          <w:rFonts w:hint="eastAsia" w:ascii="仿宋_GB2312" w:hAnsi="仿宋_GB2312" w:eastAsia="仿宋_GB2312" w:cs="仿宋_GB2312"/>
          <w:b w:val="0"/>
          <w:color w:val="auto"/>
          <w:sz w:val="32"/>
          <w:szCs w:val="32"/>
          <w:highlight w:val="none"/>
          <w:lang w:val="en-US" w:eastAsia="zh-CN" w:bidi="ar"/>
        </w:rPr>
        <w:t>办公室、财务室</w:t>
      </w:r>
      <w:r>
        <w:rPr>
          <w:rFonts w:hint="eastAsia" w:ascii="仿宋_GB2312" w:hAnsi="仿宋_GB2312" w:cs="仿宋_GB2312"/>
          <w:color w:val="auto"/>
          <w:kern w:val="0"/>
          <w:sz w:val="32"/>
          <w:szCs w:val="32"/>
          <w:highlight w:val="none"/>
          <w:lang w:eastAsia="zh-Hans"/>
        </w:rPr>
        <w:t>。</w:t>
      </w:r>
    </w:p>
    <w:p>
      <w:pPr>
        <w:pageBreakBefore w:val="0"/>
        <w:widowControl w:val="0"/>
        <w:kinsoku/>
        <w:wordWrap/>
        <w:overflowPunct/>
        <w:topLinePunct w:val="0"/>
        <w:autoSpaceDE/>
        <w:autoSpaceDN/>
        <w:bidi w:val="0"/>
        <w:adjustRightInd/>
        <w:spacing w:line="57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编制人数为2人，其中：行政人员编制2人。实有在职人数1人，其中：行政在职1人。离退休人员1人，其中：行政退休人员1人。</w:t>
      </w:r>
    </w:p>
    <w:p>
      <w:pPr>
        <w:pStyle w:val="3"/>
        <w:pageBreakBefore w:val="0"/>
        <w:widowControl w:val="0"/>
        <w:numPr>
          <w:ilvl w:val="0"/>
          <w:numId w:val="1"/>
        </w:numPr>
        <w:kinsoku/>
        <w:wordWrap/>
        <w:overflowPunct/>
        <w:topLinePunct w:val="0"/>
        <w:autoSpaceDE/>
        <w:autoSpaceDN/>
        <w:bidi w:val="0"/>
        <w:adjustRightInd/>
        <w:spacing w:line="570" w:lineRule="exact"/>
        <w:ind w:firstLine="643" w:firstLineChars="200"/>
        <w:jc w:val="both"/>
        <w:textAlignment w:val="auto"/>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部门</w:t>
      </w:r>
      <w:r>
        <w:rPr>
          <w:rFonts w:hint="eastAsia" w:ascii="楷体_GB2312" w:eastAsia="楷体_GB2312"/>
          <w:color w:val="000000" w:themeColor="text1"/>
          <w:szCs w:val="32"/>
          <w:highlight w:val="none"/>
          <w14:textFill>
            <w14:solidFill>
              <w14:schemeClr w14:val="tx1"/>
            </w14:solidFill>
          </w14:textFill>
        </w:rPr>
        <w:t>单位</w:t>
      </w:r>
      <w:r>
        <w:rPr>
          <w:rFonts w:hint="eastAsia" w:ascii="楷体_GB2312" w:eastAsia="楷体_GB2312"/>
          <w:color w:val="000000" w:themeColor="text1"/>
          <w:szCs w:val="32"/>
          <w:highlight w:val="none"/>
          <w:lang w:val="en-US" w:eastAsia="zh-CN"/>
          <w14:textFill>
            <w14:solidFill>
              <w14:schemeClr w14:val="tx1"/>
            </w14:solidFill>
          </w14:textFill>
        </w:rPr>
        <w:t>年度重点工作</w:t>
      </w:r>
    </w:p>
    <w:p>
      <w:pPr>
        <w:pageBreakBefore w:val="0"/>
        <w:widowControl w:val="0"/>
        <w:kinsoku/>
        <w:wordWrap/>
        <w:overflowPunct/>
        <w:topLinePunct w:val="0"/>
        <w:autoSpaceDE/>
        <w:autoSpaceDN/>
        <w:bidi w:val="0"/>
        <w:adjustRightInd/>
        <w:spacing w:line="570" w:lineRule="exact"/>
        <w:ind w:firstLine="643" w:firstLineChars="200"/>
        <w:jc w:val="both"/>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1.年度工作计划</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1）加强重点点位日常监督工作，为了更好管护生态区林带正常生长，做到严格管理护林员并签订责任书，将生态区眼井均匀分配给护林员管理。实行统一浇水日制度，护林员负责督促监督每眼井承包地种植户浇灌生态区林带，时间为六月到十月每月初和月中浇灌，每眼井种植户凡是不浇林带由护林员开具罚款单种植户签字，扣去上缴押金2000元/次。</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2）确保病虫害防治工作落到实处，贯彻“预防为主、科学防控”的防控方针，加强对林业有害生物预报、监测、防治力度，一旦发现病虫害及时与林业站及林业技术推广站对接，制定方案、组织人员、购买物资、进行防治、后期监管等工作。避免因树叶被虫吃空造成树木死亡的现象。进一步巩固生态区造林成果。</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default"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3）保障生态区林带防火巡逻工作不出问题，为了加大防火宣传力度，安排专职人员进行每天巡查，发放《生态区防火通知》，安排人员巡查，有效防治火灾的发生。一是春季针对各井承包林间土地遗留的农作物秸秆进行处理，严禁在地里焚烧麦茬及作物秸秆，并给每位种植户发放了《生态区防火通知》；二是到了秋季，组织人员对150亩地周边滚滚草进行清理，并每日对生态区林带进行巡逻，有效的防止了火害的发生，使防火工作落到了实处，杜绝了林带火险事故。</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（4）加强环境卫生管理，进促环境卫生整体水平不断提高</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以营造整洁优美的环境为目的，贯彻落实上级部门卫生环境工作要求。我站组织人员利用多种渠道进行宣传，组织人员积极开展爱国卫生活动，做好我站院内外卫生，保持了工作环境区域及后勤区域的环境卫生。我站每周组织人员对路两边的垃圾进行清理，一个月对生态区域内的垃圾坑进行清理政治，形成良好的舆论气氛，促进良好文明习惯的养成。</w:t>
      </w:r>
    </w:p>
    <w:p>
      <w:pPr>
        <w:pageBreakBefore w:val="0"/>
        <w:widowControl w:val="0"/>
        <w:kinsoku/>
        <w:wordWrap/>
        <w:overflowPunct/>
        <w:topLinePunct w:val="0"/>
        <w:autoSpaceDE/>
        <w:autoSpaceDN/>
        <w:bidi w:val="0"/>
        <w:adjustRightInd/>
        <w:spacing w:line="570" w:lineRule="exact"/>
        <w:ind w:firstLine="643" w:firstLineChars="200"/>
        <w:jc w:val="both"/>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2.年度总体绩效目标</w:t>
      </w:r>
    </w:p>
    <w:p>
      <w:pPr>
        <w:pageBreakBefore w:val="0"/>
        <w:widowControl w:val="0"/>
        <w:kinsoku/>
        <w:wordWrap/>
        <w:overflowPunct/>
        <w:topLinePunct w:val="0"/>
        <w:autoSpaceDE/>
        <w:autoSpaceDN/>
        <w:bidi w:val="0"/>
        <w:adjustRightInd/>
        <w:spacing w:line="570" w:lineRule="exact"/>
        <w:ind w:firstLine="640" w:firstLineChars="200"/>
        <w:jc w:val="both"/>
        <w:textAlignment w:val="auto"/>
        <w:rPr>
          <w:rStyle w:val="14"/>
          <w:rFonts w:hint="default"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完成植树造林、绿化荒漠、改善生态环境。生态林区土地经营、畜牧养殖、农机服务及生态旅游业等工作；完成年度林带灌溉及巡护，为营造良好的林区生态环境不懈努力。</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highlight w:val="none"/>
          <w:lang w:val="en-US" w:eastAsia="zh-Hans"/>
        </w:rPr>
      </w:pPr>
      <w:r>
        <w:rPr>
          <w:rFonts w:hint="eastAsia" w:ascii="仿宋_GB2312" w:hAnsi="仿宋_GB2312" w:eastAsia="仿宋_GB2312" w:cs="仿宋_GB2312"/>
          <w:b/>
          <w:bCs/>
          <w:sz w:val="32"/>
          <w:szCs w:val="32"/>
          <w:highlight w:val="none"/>
          <w:lang w:val="en-US" w:eastAsia="zh-CN"/>
        </w:rPr>
        <w:t>3.机构人员保障情况</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 w:hAnsi="仿宋" w:eastAsia="仿宋" w:cs="仿宋"/>
          <w:b w:val="0"/>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裕民县库沙河生态治理工程工作站2023年通过本部门预算支出，</w:t>
      </w:r>
      <w:r>
        <w:rPr>
          <w:rStyle w:val="14"/>
          <w:rFonts w:hint="eastAsia" w:ascii="仿宋_GB2312" w:hAnsi="仿宋_GB2312" w:eastAsia="仿宋_GB2312" w:cs="仿宋_GB2312"/>
          <w:b w:val="0"/>
          <w:color w:val="auto"/>
          <w:sz w:val="32"/>
          <w:szCs w:val="32"/>
          <w:highlight w:val="none"/>
          <w:lang w:eastAsia="zh-Hans" w:bidi="ar"/>
        </w:rPr>
        <w:t>确保</w:t>
      </w:r>
      <w:r>
        <w:rPr>
          <w:rStyle w:val="14"/>
          <w:rFonts w:hint="eastAsia" w:ascii="仿宋_GB2312" w:hAnsi="仿宋_GB2312" w:eastAsia="仿宋_GB2312" w:cs="仿宋_GB2312"/>
          <w:b w:val="0"/>
          <w:color w:val="auto"/>
          <w:sz w:val="32"/>
          <w:szCs w:val="32"/>
          <w:highlight w:val="none"/>
          <w:lang w:val="en-US" w:eastAsia="zh-CN" w:bidi="ar"/>
        </w:rPr>
        <w:t>了1名</w:t>
      </w:r>
      <w:r>
        <w:rPr>
          <w:rStyle w:val="14"/>
          <w:rFonts w:hint="eastAsia" w:ascii="仿宋_GB2312" w:hAnsi="仿宋_GB2312" w:eastAsia="仿宋_GB2312" w:cs="仿宋_GB2312"/>
          <w:b w:val="0"/>
          <w:color w:val="auto"/>
          <w:sz w:val="32"/>
          <w:szCs w:val="32"/>
          <w:highlight w:val="none"/>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highlight w:val="none"/>
          <w:lang w:val="en-US" w:eastAsia="zh-CN" w:bidi="ar"/>
        </w:rPr>
        <w:t>1名</w:t>
      </w:r>
      <w:r>
        <w:rPr>
          <w:rStyle w:val="14"/>
          <w:rFonts w:hint="eastAsia" w:ascii="仿宋_GB2312" w:hAnsi="仿宋_GB2312" w:eastAsia="仿宋_GB2312" w:cs="仿宋_GB2312"/>
          <w:b w:val="0"/>
          <w:color w:val="auto"/>
          <w:sz w:val="32"/>
          <w:szCs w:val="32"/>
          <w:highlight w:val="none"/>
          <w:lang w:eastAsia="zh-Hans" w:bidi="ar"/>
        </w:rPr>
        <w:t>离退休人员的工资、医疗费等人员保障性经费能够依规、按时、足额发放或缴纳，</w:t>
      </w:r>
      <w:r>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提升部门人员工作积极性和服务质量。</w:t>
      </w:r>
      <w:r>
        <w:rPr>
          <w:rStyle w:val="14"/>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同时，</w:t>
      </w:r>
      <w:r>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保障</w:t>
      </w:r>
      <w:r>
        <w:rPr>
          <w:rStyle w:val="14"/>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了</w:t>
      </w:r>
      <w:r>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部门</w:t>
      </w:r>
      <w:r>
        <w:rPr>
          <w:rStyle w:val="14"/>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全年正</w:t>
      </w:r>
      <w:r>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常运转，为部门正常履职和开展综合性事务管理提供有效支撑。</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eastAsia="zh-Hans" w:bidi="ar"/>
        </w:rPr>
      </w:pPr>
      <w:r>
        <w:rPr>
          <w:rStyle w:val="14"/>
          <w:rFonts w:hint="eastAsia" w:ascii="仿宋_GB2312" w:hAnsi="仿宋_GB2312" w:eastAsia="仿宋_GB2312" w:cs="仿宋_GB2312"/>
          <w:b w:val="0"/>
          <w:color w:val="auto"/>
          <w:sz w:val="32"/>
          <w:szCs w:val="32"/>
          <w:highlight w:val="none"/>
          <w:lang w:eastAsia="zh-Hans" w:bidi="ar"/>
        </w:rPr>
        <w:t>为进一步推进</w:t>
      </w:r>
      <w:r>
        <w:rPr>
          <w:rStyle w:val="14"/>
          <w:rFonts w:hint="eastAsia" w:ascii="仿宋_GB2312" w:hAnsi="仿宋_GB2312" w:eastAsia="仿宋_GB2312" w:cs="仿宋_GB2312"/>
          <w:b w:val="0"/>
          <w:color w:val="auto"/>
          <w:sz w:val="32"/>
          <w:szCs w:val="32"/>
          <w:highlight w:val="none"/>
          <w:lang w:eastAsia="zh-CN" w:bidi="ar"/>
        </w:rPr>
        <w:t>单位年度重点</w:t>
      </w:r>
      <w:r>
        <w:rPr>
          <w:rStyle w:val="14"/>
          <w:rFonts w:hint="eastAsia" w:ascii="仿宋_GB2312" w:hAnsi="仿宋_GB2312" w:eastAsia="仿宋_GB2312" w:cs="仿宋_GB2312"/>
          <w:b w:val="0"/>
          <w:color w:val="auto"/>
          <w:sz w:val="32"/>
          <w:szCs w:val="32"/>
          <w:highlight w:val="none"/>
          <w:lang w:eastAsia="zh-Hans" w:bidi="ar"/>
        </w:rPr>
        <w:t>工作</w:t>
      </w:r>
      <w:r>
        <w:rPr>
          <w:rStyle w:val="14"/>
          <w:rFonts w:hint="eastAsia" w:ascii="仿宋_GB2312" w:hAnsi="仿宋_GB2312" w:eastAsia="仿宋_GB2312" w:cs="仿宋_GB2312"/>
          <w:b w:val="0"/>
          <w:color w:val="auto"/>
          <w:sz w:val="32"/>
          <w:szCs w:val="32"/>
          <w:highlight w:val="none"/>
          <w:lang w:eastAsia="zh-CN" w:bidi="ar"/>
        </w:rPr>
        <w:t>落地生效</w:t>
      </w:r>
      <w:r>
        <w:rPr>
          <w:rStyle w:val="14"/>
          <w:rFonts w:hint="eastAsia" w:ascii="仿宋_GB2312" w:hAnsi="仿宋_GB2312" w:eastAsia="仿宋_GB2312" w:cs="仿宋_GB2312"/>
          <w:b w:val="0"/>
          <w:color w:val="auto"/>
          <w:sz w:val="32"/>
          <w:szCs w:val="32"/>
          <w:highlight w:val="none"/>
          <w:lang w:eastAsia="zh-Hans" w:bidi="ar"/>
        </w:rPr>
        <w:t>，</w:t>
      </w:r>
      <w:r>
        <w:rPr>
          <w:rStyle w:val="14"/>
          <w:rFonts w:hint="eastAsia" w:ascii="仿宋_GB2312" w:hAnsi="仿宋_GB2312" w:eastAsia="仿宋_GB2312" w:cs="仿宋_GB2312"/>
          <w:b w:val="0"/>
          <w:color w:val="auto"/>
          <w:sz w:val="32"/>
          <w:szCs w:val="32"/>
          <w:highlight w:val="none"/>
          <w:lang w:val="en-US" w:eastAsia="zh-CN" w:bidi="ar"/>
        </w:rPr>
        <w:t>我</w:t>
      </w:r>
      <w:r>
        <w:rPr>
          <w:rStyle w:val="14"/>
          <w:rFonts w:hint="eastAsia" w:ascii="仿宋_GB2312" w:hAnsi="仿宋_GB2312" w:eastAsia="仿宋_GB2312" w:cs="仿宋_GB2312"/>
          <w:b w:val="0"/>
          <w:color w:val="auto"/>
          <w:sz w:val="32"/>
          <w:szCs w:val="32"/>
          <w:highlight w:val="none"/>
          <w:lang w:eastAsia="zh-CN" w:bidi="ar"/>
        </w:rPr>
        <w:t>单位</w:t>
      </w:r>
      <w:r>
        <w:rPr>
          <w:rStyle w:val="14"/>
          <w:rFonts w:hint="eastAsia" w:ascii="仿宋_GB2312" w:hAnsi="仿宋_GB2312" w:eastAsia="仿宋_GB2312" w:cs="仿宋_GB2312"/>
          <w:b w:val="0"/>
          <w:color w:val="auto"/>
          <w:sz w:val="32"/>
          <w:szCs w:val="32"/>
          <w:highlight w:val="none"/>
          <w:lang w:eastAsia="zh-Hans" w:bidi="ar"/>
        </w:rPr>
        <w:t>成立了以局长为组长、</w:t>
      </w:r>
      <w:r>
        <w:rPr>
          <w:rStyle w:val="14"/>
          <w:rFonts w:hint="eastAsia" w:ascii="仿宋_GB2312" w:hAnsi="仿宋_GB2312" w:eastAsia="仿宋_GB2312" w:cs="仿宋_GB2312"/>
          <w:b w:val="0"/>
          <w:color w:val="auto"/>
          <w:sz w:val="32"/>
          <w:szCs w:val="32"/>
          <w:highlight w:val="none"/>
          <w:lang w:val="en-US" w:eastAsia="zh-CN" w:bidi="ar"/>
        </w:rPr>
        <w:t>站所负责人</w:t>
      </w:r>
      <w:r>
        <w:rPr>
          <w:rStyle w:val="14"/>
          <w:rFonts w:hint="eastAsia" w:ascii="仿宋_GB2312" w:hAnsi="仿宋_GB2312" w:eastAsia="仿宋_GB2312" w:cs="仿宋_GB2312"/>
          <w:b w:val="0"/>
          <w:color w:val="auto"/>
          <w:sz w:val="32"/>
          <w:szCs w:val="32"/>
          <w:highlight w:val="none"/>
          <w:lang w:eastAsia="zh-Hans" w:bidi="ar"/>
        </w:rPr>
        <w:t>为副组长，</w:t>
      </w:r>
      <w:r>
        <w:rPr>
          <w:rStyle w:val="14"/>
          <w:rFonts w:hint="eastAsia" w:ascii="仿宋_GB2312" w:hAnsi="仿宋_GB2312" w:eastAsia="仿宋_GB2312" w:cs="仿宋_GB2312"/>
          <w:b w:val="0"/>
          <w:color w:val="auto"/>
          <w:sz w:val="32"/>
          <w:szCs w:val="32"/>
          <w:highlight w:val="none"/>
          <w:lang w:val="en-US" w:eastAsia="zh-CN" w:bidi="ar"/>
        </w:rPr>
        <w:t>办公室</w:t>
      </w:r>
      <w:bookmarkStart w:id="0" w:name="_GoBack"/>
      <w:bookmarkEnd w:id="0"/>
      <w:r>
        <w:rPr>
          <w:rStyle w:val="14"/>
          <w:rFonts w:hint="eastAsia" w:ascii="仿宋_GB2312" w:hAnsi="仿宋_GB2312" w:eastAsia="仿宋_GB2312" w:cs="仿宋_GB2312"/>
          <w:b w:val="0"/>
          <w:color w:val="auto"/>
          <w:sz w:val="32"/>
          <w:szCs w:val="32"/>
          <w:highlight w:val="none"/>
          <w:lang w:eastAsia="zh-Hans" w:bidi="ar"/>
        </w:rPr>
        <w:t>和财务室为成员的重点工作小组，办公室设在</w:t>
      </w:r>
      <w:r>
        <w:rPr>
          <w:rStyle w:val="14"/>
          <w:rFonts w:hint="eastAsia" w:ascii="仿宋_GB2312" w:hAnsi="仿宋_GB2312" w:eastAsia="仿宋_GB2312" w:cs="仿宋_GB2312"/>
          <w:b w:val="0"/>
          <w:color w:val="auto"/>
          <w:sz w:val="32"/>
          <w:szCs w:val="32"/>
          <w:highlight w:val="none"/>
          <w:lang w:val="en-US" w:eastAsia="zh-CN" w:bidi="ar"/>
        </w:rPr>
        <w:t>办公</w:t>
      </w:r>
      <w:r>
        <w:rPr>
          <w:rStyle w:val="14"/>
          <w:rFonts w:hint="eastAsia" w:ascii="仿宋_GB2312" w:hAnsi="仿宋_GB2312" w:eastAsia="仿宋_GB2312" w:cs="仿宋_GB2312"/>
          <w:b w:val="0"/>
          <w:color w:val="auto"/>
          <w:sz w:val="32"/>
          <w:szCs w:val="32"/>
          <w:highlight w:val="none"/>
          <w:lang w:eastAsia="zh-Hans" w:bidi="ar"/>
        </w:rPr>
        <w:t>室，负责牵头完成</w:t>
      </w:r>
      <w:r>
        <w:rPr>
          <w:rStyle w:val="14"/>
          <w:rFonts w:hint="eastAsia" w:ascii="仿宋_GB2312" w:hAnsi="仿宋_GB2312" w:eastAsia="仿宋_GB2312" w:cs="仿宋_GB2312"/>
          <w:b w:val="0"/>
          <w:color w:val="auto"/>
          <w:sz w:val="32"/>
          <w:szCs w:val="32"/>
          <w:highlight w:val="none"/>
          <w:lang w:eastAsia="zh-CN" w:bidi="ar"/>
        </w:rPr>
        <w:t>年度</w:t>
      </w:r>
      <w:r>
        <w:rPr>
          <w:rStyle w:val="14"/>
          <w:rFonts w:hint="eastAsia" w:ascii="仿宋_GB2312" w:hAnsi="仿宋_GB2312" w:eastAsia="仿宋_GB2312" w:cs="仿宋_GB2312"/>
          <w:b w:val="0"/>
          <w:color w:val="auto"/>
          <w:sz w:val="32"/>
          <w:szCs w:val="32"/>
          <w:highlight w:val="none"/>
          <w:lang w:eastAsia="zh-Hans" w:bidi="ar"/>
        </w:rPr>
        <w:t>重点工作。</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highlight w:val="none"/>
          <w:lang w:eastAsia="zh-Hans" w:bidi="ar"/>
        </w:rPr>
      </w:pP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Style w:val="14"/>
          <w:rFonts w:hint="eastAsia" w:ascii="仿宋_GB2312" w:hAnsi="仿宋_GB2312" w:eastAsia="仿宋_GB2312" w:cs="仿宋_GB2312"/>
          <w:b w:val="0"/>
          <w:color w:val="auto"/>
          <w:sz w:val="32"/>
          <w:szCs w:val="32"/>
          <w:highlight w:val="none"/>
          <w:lang w:eastAsia="zh-Hans" w:bidi="ar"/>
        </w:rPr>
        <w:t>年度重点工作小组成员如下：</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default"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Hans" w:bidi="ar"/>
        </w:rPr>
        <w:t>组</w:t>
      </w:r>
      <w:r>
        <w:rPr>
          <w:rStyle w:val="14"/>
          <w:rFonts w:hint="eastAsia" w:ascii="仿宋_GB2312" w:hAnsi="仿宋_GB2312" w:eastAsia="仿宋_GB2312" w:cs="仿宋_GB2312"/>
          <w:b w:val="0"/>
          <w:color w:val="auto"/>
          <w:sz w:val="32"/>
          <w:szCs w:val="32"/>
          <w:highlight w:val="none"/>
          <w:lang w:val="en-US" w:eastAsia="zh-CN" w:bidi="ar"/>
        </w:rPr>
        <w:t xml:space="preserve">  </w:t>
      </w:r>
      <w:r>
        <w:rPr>
          <w:rStyle w:val="14"/>
          <w:rFonts w:hint="eastAsia" w:ascii="仿宋_GB2312" w:hAnsi="仿宋_GB2312" w:eastAsia="仿宋_GB2312" w:cs="仿宋_GB2312"/>
          <w:b w:val="0"/>
          <w:color w:val="auto"/>
          <w:sz w:val="32"/>
          <w:szCs w:val="32"/>
          <w:highlight w:val="none"/>
          <w:lang w:eastAsia="zh-Hans" w:bidi="ar"/>
        </w:rPr>
        <w:t>长：</w:t>
      </w:r>
      <w:r>
        <w:rPr>
          <w:rStyle w:val="14"/>
          <w:rFonts w:hint="eastAsia" w:ascii="仿宋_GB2312" w:hAnsi="仿宋_GB2312" w:eastAsia="仿宋_GB2312" w:cs="仿宋_GB2312"/>
          <w:b w:val="0"/>
          <w:color w:val="auto"/>
          <w:sz w:val="32"/>
          <w:szCs w:val="32"/>
          <w:highlight w:val="none"/>
          <w:lang w:val="en-US" w:eastAsia="zh-CN" w:bidi="ar"/>
        </w:rPr>
        <w:t xml:space="preserve">王雪莲   </w:t>
      </w:r>
      <w:r>
        <w:rPr>
          <w:rStyle w:val="14"/>
          <w:rFonts w:hint="eastAsia" w:ascii="仿宋_GB2312" w:hAnsi="仿宋_GB2312" w:eastAsia="仿宋_GB2312" w:cs="仿宋_GB2312"/>
          <w:b w:val="0"/>
          <w:color w:val="auto"/>
          <w:sz w:val="32"/>
          <w:szCs w:val="32"/>
          <w:highlight w:val="none"/>
          <w:lang w:eastAsia="zh-Hans" w:bidi="ar"/>
        </w:rPr>
        <w:t>局长</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党组副书记</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default"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Hans" w:bidi="ar"/>
        </w:rPr>
        <w:t>副组长：</w:t>
      </w:r>
      <w:r>
        <w:rPr>
          <w:rStyle w:val="14"/>
          <w:rFonts w:hint="eastAsia" w:ascii="仿宋_GB2312" w:hAnsi="仿宋_GB2312" w:eastAsia="仿宋_GB2312" w:cs="仿宋_GB2312"/>
          <w:b w:val="0"/>
          <w:color w:val="auto"/>
          <w:sz w:val="32"/>
          <w:szCs w:val="32"/>
          <w:highlight w:val="none"/>
          <w:lang w:val="en-US" w:eastAsia="zh-CN" w:bidi="ar"/>
        </w:rPr>
        <w:t>张栋年   三级主任科员</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default"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Hans" w:bidi="ar"/>
        </w:rPr>
        <w:t>成</w:t>
      </w:r>
      <w:r>
        <w:rPr>
          <w:rStyle w:val="14"/>
          <w:rFonts w:hint="eastAsia" w:ascii="仿宋_GB2312" w:hAnsi="仿宋_GB2312" w:eastAsia="仿宋_GB2312" w:cs="仿宋_GB2312"/>
          <w:b w:val="0"/>
          <w:color w:val="auto"/>
          <w:sz w:val="32"/>
          <w:szCs w:val="32"/>
          <w:highlight w:val="none"/>
          <w:lang w:val="en-US" w:eastAsia="zh-CN" w:bidi="ar"/>
        </w:rPr>
        <w:t xml:space="preserve">  </w:t>
      </w:r>
      <w:r>
        <w:rPr>
          <w:rStyle w:val="14"/>
          <w:rFonts w:hint="eastAsia" w:ascii="仿宋_GB2312" w:hAnsi="仿宋_GB2312" w:eastAsia="仿宋_GB2312" w:cs="仿宋_GB2312"/>
          <w:b w:val="0"/>
          <w:color w:val="auto"/>
          <w:sz w:val="32"/>
          <w:szCs w:val="32"/>
          <w:highlight w:val="none"/>
          <w:lang w:eastAsia="zh-Hans" w:bidi="ar"/>
        </w:rPr>
        <w:t>员：</w:t>
      </w:r>
      <w:r>
        <w:rPr>
          <w:rStyle w:val="14"/>
          <w:rFonts w:hint="eastAsia" w:ascii="仿宋_GB2312" w:hAnsi="仿宋_GB2312" w:eastAsia="仿宋_GB2312" w:cs="仿宋_GB2312"/>
          <w:b w:val="0"/>
          <w:color w:val="auto"/>
          <w:sz w:val="32"/>
          <w:szCs w:val="32"/>
          <w:highlight w:val="none"/>
          <w:lang w:val="en-US" w:eastAsia="zh-CN" w:bidi="ar"/>
        </w:rPr>
        <w:t>沙  亚   四级主任科员</w:t>
      </w:r>
    </w:p>
    <w:p>
      <w:pPr>
        <w:pageBreakBefore w:val="0"/>
        <w:kinsoku/>
        <w:wordWrap/>
        <w:overflowPunct/>
        <w:topLinePunct w:val="0"/>
        <w:autoSpaceDE/>
        <w:autoSpaceDN/>
        <w:bidi w:val="0"/>
        <w:snapToGrid w:val="0"/>
        <w:spacing w:line="570" w:lineRule="exact"/>
        <w:ind w:firstLine="1920" w:firstLineChars="600"/>
        <w:jc w:val="both"/>
        <w:textAlignment w:val="auto"/>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val="en-US" w:eastAsia="zh-CN" w:bidi="ar"/>
        </w:rPr>
        <w:t>呼  明   一般干部</w:t>
      </w:r>
    </w:p>
    <w:p>
      <w:pPr>
        <w:pageBreakBefore w:val="0"/>
        <w:kinsoku/>
        <w:wordWrap/>
        <w:overflowPunct/>
        <w:topLinePunct w:val="0"/>
        <w:autoSpaceDE/>
        <w:autoSpaceDN/>
        <w:bidi w:val="0"/>
        <w:snapToGrid w:val="0"/>
        <w:spacing w:line="570" w:lineRule="exact"/>
        <w:ind w:firstLine="1920" w:firstLineChars="600"/>
        <w:jc w:val="both"/>
        <w:textAlignment w:val="auto"/>
        <w:rPr>
          <w:rStyle w:val="14"/>
          <w:rFonts w:hint="eastAsia" w:ascii="仿宋_GB2312" w:hAnsi="仿宋_GB2312" w:eastAsia="仿宋_GB2312" w:cs="仿宋_GB2312"/>
          <w:b w:val="0"/>
          <w:color w:val="auto"/>
          <w:sz w:val="32"/>
          <w:szCs w:val="32"/>
          <w:highlight w:val="none"/>
          <w:lang w:eastAsia="zh-CN" w:bidi="ar"/>
        </w:rPr>
      </w:pPr>
      <w:r>
        <w:rPr>
          <w:rStyle w:val="14"/>
          <w:rFonts w:hint="eastAsia" w:ascii="仿宋_GB2312" w:hAnsi="仿宋_GB2312" w:eastAsia="仿宋_GB2312" w:cs="仿宋_GB2312"/>
          <w:b w:val="0"/>
          <w:color w:val="auto"/>
          <w:sz w:val="32"/>
          <w:szCs w:val="32"/>
          <w:highlight w:val="none"/>
          <w:lang w:val="en-US" w:eastAsia="zh-CN" w:bidi="ar"/>
        </w:rPr>
        <w:t>刘晓芳   会计</w:t>
      </w:r>
    </w:p>
    <w:p>
      <w:pPr>
        <w:pStyle w:val="3"/>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部门单位整体预算规模及安排情况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
          <w:bCs w:val="0"/>
          <w:color w:val="333333"/>
          <w:sz w:val="32"/>
          <w:szCs w:val="32"/>
          <w:highlight w:val="none"/>
          <w:lang w:bidi="ar"/>
        </w:rPr>
      </w:pPr>
      <w:r>
        <w:rPr>
          <w:rStyle w:val="14"/>
          <w:rFonts w:hint="eastAsia" w:ascii="仿宋_GB2312" w:hAnsi="仿宋_GB2312" w:eastAsia="仿宋_GB2312" w:cs="仿宋_GB2312"/>
          <w:b/>
          <w:bCs w:val="0"/>
          <w:color w:val="333333"/>
          <w:sz w:val="32"/>
          <w:szCs w:val="32"/>
          <w:highlight w:val="none"/>
          <w:lang w:bidi="ar"/>
        </w:rPr>
        <w:t>1.部门单位预算编制及分配依据</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val="en-US" w:eastAsia="zh-CN" w:bidi="ar"/>
        </w:rPr>
        <w:t>本</w:t>
      </w:r>
      <w:r>
        <w:rPr>
          <w:rStyle w:val="14"/>
          <w:rFonts w:hint="eastAsia" w:ascii="仿宋_GB2312" w:hAnsi="仿宋_GB2312" w:eastAsia="仿宋_GB2312" w:cs="仿宋_GB2312"/>
          <w:b w:val="0"/>
          <w:color w:val="333333"/>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期支出性质为公共管理事务类项目。公共管理事务类项目反映用于社会管理、公共事业发展、社会保障等方面的项目资金。</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2.分配结果</w:t>
      </w:r>
    </w:p>
    <w:p>
      <w:pPr>
        <w:pageBreakBefore w:val="0"/>
        <w:widowControl/>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b/>
          <w:bCs/>
          <w:sz w:val="32"/>
          <w:szCs w:val="32"/>
          <w:highlight w:val="none"/>
          <w:lang w:val="en-US" w:eastAsia="zh-CN"/>
        </w:rPr>
      </w:pPr>
      <w:r>
        <w:rPr>
          <w:rStyle w:val="14"/>
          <w:rFonts w:hint="eastAsia" w:ascii="仿宋_GB2312" w:hAnsi="仿宋_GB2312" w:eastAsia="仿宋_GB2312" w:cs="仿宋_GB2312"/>
          <w:b w:val="0"/>
          <w:color w:val="333333"/>
          <w:sz w:val="32"/>
          <w:szCs w:val="32"/>
          <w:highlight w:val="none"/>
          <w:lang w:bidi="ar"/>
        </w:rPr>
        <w:t>预算编制和分配符合</w:t>
      </w:r>
      <w:r>
        <w:rPr>
          <w:rStyle w:val="14"/>
          <w:rFonts w:hint="eastAsia" w:ascii="仿宋_GB2312" w:hAnsi="仿宋_GB2312" w:eastAsia="仿宋_GB2312" w:cs="仿宋_GB2312"/>
          <w:b w:val="0"/>
          <w:color w:val="333333"/>
          <w:sz w:val="32"/>
          <w:szCs w:val="32"/>
          <w:highlight w:val="none"/>
          <w:lang w:eastAsia="zh-Hans" w:bidi="ar"/>
        </w:rPr>
        <w:t>本</w:t>
      </w:r>
      <w:r>
        <w:rPr>
          <w:rStyle w:val="14"/>
          <w:rFonts w:hint="eastAsia" w:ascii="仿宋_GB2312" w:hAnsi="仿宋_GB2312" w:eastAsia="仿宋_GB2312" w:cs="仿宋_GB2312"/>
          <w:b w:val="0"/>
          <w:color w:val="333333"/>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70" w:lineRule="exact"/>
        <w:ind w:firstLine="643" w:firstLineChars="200"/>
        <w:jc w:val="both"/>
        <w:textAlignment w:val="auto"/>
        <w:rPr>
          <w:rFonts w:hint="eastAsia" w:ascii="方正仿宋_GBK" w:hAnsi="方正仿宋_GBK" w:eastAsia="方正仿宋_GBK" w:cs="方正仿宋_GBK"/>
          <w:b/>
          <w:bCs/>
          <w:kern w:val="2"/>
          <w:sz w:val="32"/>
          <w:szCs w:val="32"/>
          <w:highlight w:val="none"/>
          <w:lang w:val="en-US" w:eastAsia="zh-CN" w:bidi="ar-SA"/>
        </w:rPr>
      </w:pPr>
      <w:r>
        <w:rPr>
          <w:rFonts w:hint="eastAsia" w:ascii="仿宋_GB2312" w:eastAsia="仿宋_GB2312"/>
          <w:b/>
          <w:bCs/>
          <w:sz w:val="32"/>
          <w:szCs w:val="32"/>
          <w:highlight w:val="none"/>
          <w:lang w:val="en-US" w:eastAsia="zh-CN"/>
        </w:rPr>
        <w:t>3.</w:t>
      </w:r>
      <w:r>
        <w:rPr>
          <w:rFonts w:hint="eastAsia" w:ascii="方正仿宋_GBK" w:hAnsi="方正仿宋_GBK" w:eastAsia="方正仿宋_GBK" w:cs="方正仿宋_GBK"/>
          <w:b/>
          <w:bCs/>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2023年整体支出年初预算为29.31万元。</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基本支出年初预算为29.31万元，主要用于发放人员工资及保障单位基本办公需求。</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项目支出年初预算为0.00万元，其中：2023年本单位全年未安排项目支出预算。</w:t>
      </w:r>
    </w:p>
    <w:p>
      <w:pPr>
        <w:pStyle w:val="4"/>
        <w:pageBreakBefore w:val="0"/>
        <w:kinsoku/>
        <w:wordWrap/>
        <w:overflowPunct/>
        <w:topLinePunct w:val="0"/>
        <w:autoSpaceDE/>
        <w:autoSpaceDN/>
        <w:bidi w:val="0"/>
        <w:spacing w:line="570" w:lineRule="exact"/>
        <w:ind w:firstLine="640" w:firstLineChars="200"/>
        <w:jc w:val="both"/>
        <w:textAlignment w:val="auto"/>
        <w:rPr>
          <w:rFonts w:hint="eastAsia" w:ascii="方正仿宋_GBK" w:hAnsi="方正仿宋_GBK" w:eastAsia="方正仿宋_GBK" w:cs="方正仿宋_GBK"/>
          <w:color w:val="FF0000"/>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4.全年预算安排规模</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2023年整体支出年初预算为29.31万元，预算调整数为2.1万元，全年预算数为31.41万元。</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基本支出年初预算为29.31万元，预算调整数为2.10万元，全年预算数为31.41万元。主要用于发放人员工资及保障单位基本办公需求。</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项目支出年初预算为0.00万元，预算调整数为0.00万元，全年预算数为0.00万元。2023年本单位全年未安排项目支出预算。</w:t>
      </w:r>
    </w:p>
    <w:p>
      <w:pPr>
        <w:pStyle w:val="2"/>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highlight w:val="none"/>
        </w:rPr>
      </w:pPr>
      <w:r>
        <w:rPr>
          <w:rFonts w:hint="eastAsia" w:ascii="黑体" w:hAnsi="黑体"/>
          <w:b w:val="0"/>
          <w:sz w:val="32"/>
          <w:szCs w:val="32"/>
          <w:highlight w:val="none"/>
        </w:rPr>
        <w:t>二、部门单位整体支出管理及使用情况</w:t>
      </w:r>
    </w:p>
    <w:p>
      <w:pPr>
        <w:pStyle w:val="3"/>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szCs w:val="32"/>
          <w:highlight w:val="none"/>
        </w:rPr>
      </w:pPr>
      <w:r>
        <w:rPr>
          <w:rFonts w:hint="eastAsia" w:ascii="楷体_GB2312" w:eastAsia="楷体_GB2312"/>
          <w:bCs/>
          <w:szCs w:val="32"/>
          <w:highlight w:val="none"/>
        </w:rPr>
        <w:t>预算管理情况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1.管理制度健全性</w:t>
      </w:r>
    </w:p>
    <w:p>
      <w:pPr>
        <w:pageBreakBefore w:val="0"/>
        <w:kinsoku/>
        <w:wordWrap/>
        <w:overflowPunct/>
        <w:topLinePunct w:val="0"/>
        <w:autoSpaceDE/>
        <w:autoSpaceDN/>
        <w:bidi w:val="0"/>
        <w:spacing w:line="570" w:lineRule="exact"/>
        <w:ind w:firstLine="640" w:firstLineChars="200"/>
        <w:jc w:val="both"/>
        <w:textAlignment w:val="auto"/>
        <w:rPr>
          <w:rStyle w:val="14"/>
          <w:rFonts w:ascii="仿宋_GB2312" w:eastAsia="仿宋_GB2312"/>
          <w:b w:val="0"/>
          <w:bCs w:val="0"/>
          <w:color w:val="000000" w:themeColor="text1"/>
          <w:sz w:val="32"/>
          <w:szCs w:val="32"/>
          <w:highlight w:val="none"/>
          <w14:textFill>
            <w14:solidFill>
              <w14:schemeClr w14:val="tx1"/>
            </w14:solidFill>
          </w14:textFill>
        </w:rPr>
      </w:pPr>
      <w:r>
        <w:rPr>
          <w:rStyle w:val="14"/>
          <w:rFonts w:hint="eastAsia" w:ascii="仿宋_GB2312" w:hAnsi="仿宋_GB2312" w:eastAsia="仿宋_GB2312" w:cs="仿宋_GB2312"/>
          <w:b w:val="0"/>
          <w:color w:val="auto"/>
          <w:sz w:val="32"/>
          <w:szCs w:val="32"/>
          <w:highlight w:val="none"/>
          <w:lang w:bidi="ar"/>
        </w:rPr>
        <w:t>本单位为加强预算管理，规范财务行为，已制定了《</w:t>
      </w: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Style w:val="14"/>
          <w:rFonts w:hint="eastAsia" w:ascii="仿宋_GB2312" w:hAnsi="仿宋_GB2312" w:eastAsia="仿宋_GB2312" w:cs="仿宋_GB2312"/>
          <w:b w:val="0"/>
          <w:color w:val="auto"/>
          <w:sz w:val="32"/>
          <w:szCs w:val="32"/>
          <w:highlight w:val="none"/>
          <w:lang w:bidi="ar"/>
        </w:rPr>
        <w:t>预算绩效管理工作实施办法</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Style w:val="14"/>
          <w:rFonts w:hint="eastAsia" w:ascii="仿宋_GB2312" w:hAnsi="仿宋_GB2312" w:eastAsia="仿宋_GB2312" w:cs="仿宋_GB2312"/>
          <w:b w:val="0"/>
          <w:color w:val="auto"/>
          <w:sz w:val="32"/>
          <w:szCs w:val="32"/>
          <w:highlight w:val="none"/>
          <w:lang w:bidi="ar"/>
        </w:rPr>
        <w:t>财务管理</w:t>
      </w:r>
      <w:r>
        <w:rPr>
          <w:rStyle w:val="14"/>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制度》等较为健全的各项管理制度，</w:t>
      </w:r>
      <w:r>
        <w:rPr>
          <w:rFonts w:hint="eastAsia" w:ascii="仿宋_GB2312" w:eastAsia="仿宋_GB2312"/>
          <w:color w:val="000000" w:themeColor="text1"/>
          <w:sz w:val="32"/>
          <w:szCs w:val="32"/>
          <w:highlight w:val="none"/>
          <w14:textFill>
            <w14:solidFill>
              <w14:schemeClr w14:val="tx1"/>
            </w14:solidFill>
          </w14:textFill>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有效提高了本单位高效的履行工作职能，较好的促进了相关事业的发展。</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2.资金使用合规性和安全性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3.预决算信息公开性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bidi="ar"/>
        </w:rPr>
        <w:t>按照</w:t>
      </w:r>
      <w:r>
        <w:rPr>
          <w:rStyle w:val="14"/>
          <w:rFonts w:hint="eastAsia" w:ascii="仿宋_GB2312" w:hAnsi="仿宋_GB2312" w:eastAsia="仿宋_GB2312" w:cs="仿宋_GB2312"/>
          <w:b w:val="0"/>
          <w:color w:val="auto"/>
          <w:sz w:val="32"/>
          <w:szCs w:val="32"/>
          <w:highlight w:val="none"/>
          <w:lang w:eastAsia="zh-CN" w:bidi="ar"/>
        </w:rPr>
        <w:t>塔城</w:t>
      </w:r>
      <w:r>
        <w:rPr>
          <w:rStyle w:val="14"/>
          <w:rFonts w:hint="eastAsia" w:ascii="仿宋_GB2312" w:hAnsi="仿宋_GB2312" w:eastAsia="仿宋_GB2312" w:cs="仿宋_GB2312"/>
          <w:b w:val="0"/>
          <w:color w:val="auto"/>
          <w:sz w:val="32"/>
          <w:szCs w:val="32"/>
          <w:highlight w:val="none"/>
          <w:lang w:bidi="ar"/>
        </w:rPr>
        <w:t>地区财政局</w:t>
      </w:r>
      <w:r>
        <w:rPr>
          <w:rStyle w:val="14"/>
          <w:rFonts w:hint="eastAsia" w:ascii="仿宋_GB2312" w:hAnsi="仿宋_GB2312" w:eastAsia="仿宋_GB2312" w:cs="仿宋_GB2312"/>
          <w:b w:val="0"/>
          <w:color w:val="333333"/>
          <w:sz w:val="32"/>
          <w:szCs w:val="32"/>
          <w:highlight w:val="none"/>
          <w:lang w:bidi="ar"/>
        </w:rPr>
        <w:t>预决算信息公</w:t>
      </w:r>
      <w:r>
        <w:rPr>
          <w:rStyle w:val="14"/>
          <w:rFonts w:hint="eastAsia" w:ascii="仿宋_GB2312" w:hAnsi="仿宋_GB2312" w:eastAsia="仿宋_GB2312" w:cs="仿宋_GB2312"/>
          <w:b w:val="0"/>
          <w:color w:val="auto"/>
          <w:sz w:val="32"/>
          <w:szCs w:val="32"/>
          <w:highlight w:val="none"/>
          <w:lang w:bidi="ar"/>
        </w:rPr>
        <w:t>开工作要求，我单位在</w:t>
      </w:r>
      <w:r>
        <w:rPr>
          <w:rStyle w:val="14"/>
          <w:rFonts w:hint="eastAsia" w:ascii="仿宋_GB2312" w:hAnsi="仿宋_GB2312" w:eastAsia="仿宋_GB2312" w:cs="仿宋_GB2312"/>
          <w:b w:val="0"/>
          <w:color w:val="auto"/>
          <w:sz w:val="32"/>
          <w:szCs w:val="32"/>
          <w:highlight w:val="none"/>
          <w:lang w:val="en-US" w:eastAsia="zh-CN" w:bidi="ar"/>
        </w:rPr>
        <w:t>裕民县</w:t>
      </w:r>
      <w:r>
        <w:rPr>
          <w:rStyle w:val="14"/>
          <w:rFonts w:hint="eastAsia" w:ascii="仿宋_GB2312" w:hAnsi="仿宋_GB2312" w:eastAsia="仿宋_GB2312" w:cs="仿宋_GB2312"/>
          <w:b w:val="0"/>
          <w:color w:val="auto"/>
          <w:sz w:val="32"/>
          <w:szCs w:val="32"/>
          <w:highlight w:val="none"/>
          <w:lang w:bidi="ar"/>
        </w:rPr>
        <w:t>政府信息网财政信息公开专栏对本</w:t>
      </w:r>
      <w:r>
        <w:rPr>
          <w:rStyle w:val="14"/>
          <w:rFonts w:hint="eastAsia" w:ascii="仿宋_GB2312" w:hAnsi="仿宋_GB2312" w:eastAsia="仿宋_GB2312" w:cs="仿宋_GB2312"/>
          <w:b w:val="0"/>
          <w:color w:val="333333"/>
          <w:sz w:val="32"/>
          <w:szCs w:val="32"/>
          <w:highlight w:val="none"/>
          <w:lang w:bidi="ar"/>
        </w:rPr>
        <w:t>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3"/>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bCs/>
          <w:szCs w:val="32"/>
          <w:highlight w:val="none"/>
        </w:rPr>
      </w:pPr>
      <w:r>
        <w:rPr>
          <w:rFonts w:hint="eastAsia" w:ascii="楷体_GB2312" w:eastAsia="楷体_GB2312"/>
          <w:bCs/>
          <w:szCs w:val="32"/>
          <w:highlight w:val="none"/>
        </w:rPr>
        <w:t>基本支出预算安排及支出情况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highlight w:val="none"/>
        </w:rPr>
      </w:pPr>
      <w:r>
        <w:rPr>
          <w:rFonts w:hint="eastAsia" w:ascii="仿宋_GB2312" w:eastAsia="仿宋_GB2312"/>
          <w:b/>
          <w:bCs/>
          <w:sz w:val="32"/>
          <w:szCs w:val="32"/>
          <w:highlight w:val="none"/>
        </w:rPr>
        <w:t>1.基本支出情况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Style w:val="14"/>
          <w:rFonts w:hint="eastAsia" w:ascii="仿宋_GB2312" w:hAnsi="仿宋_GB2312" w:eastAsia="仿宋_GB2312" w:cs="仿宋_GB2312"/>
          <w:b w:val="0"/>
          <w:color w:val="auto"/>
          <w:sz w:val="32"/>
          <w:szCs w:val="32"/>
          <w:highlight w:val="none"/>
          <w:lang w:val="en-US" w:eastAsia="zh-CN" w:bidi="ar"/>
        </w:rPr>
        <w:t>裕民县库沙河生态治理工程工作站</w:t>
      </w:r>
      <w:r>
        <w:rPr>
          <w:rFonts w:hint="eastAsia" w:ascii="仿宋_GB2312" w:eastAsia="仿宋_GB2312"/>
          <w:color w:val="auto"/>
          <w:sz w:val="32"/>
          <w:szCs w:val="32"/>
          <w:highlight w:val="none"/>
        </w:rPr>
        <w:t>基本支出年初预算金额为</w:t>
      </w:r>
      <w:r>
        <w:rPr>
          <w:rFonts w:hint="eastAsia" w:ascii="仿宋_GB2312" w:eastAsia="仿宋_GB2312"/>
          <w:color w:val="auto"/>
          <w:sz w:val="32"/>
          <w:szCs w:val="32"/>
          <w:highlight w:val="none"/>
          <w:lang w:val="en-US" w:eastAsia="zh-CN"/>
        </w:rPr>
        <w:t>29.31</w:t>
      </w:r>
      <w:r>
        <w:rPr>
          <w:rFonts w:hint="eastAsia" w:ascii="仿宋_GB2312" w:eastAsia="仿宋_GB2312"/>
          <w:color w:val="auto"/>
          <w:sz w:val="32"/>
          <w:szCs w:val="32"/>
          <w:highlight w:val="none"/>
        </w:rPr>
        <w:t>万元，实际支出金额为</w:t>
      </w:r>
      <w:r>
        <w:rPr>
          <w:rFonts w:hint="eastAsia" w:ascii="仿宋_GB2312" w:eastAsia="仿宋_GB2312"/>
          <w:color w:val="auto"/>
          <w:sz w:val="32"/>
          <w:szCs w:val="32"/>
          <w:highlight w:val="none"/>
          <w:lang w:val="en-US" w:eastAsia="zh-CN"/>
        </w:rPr>
        <w:t>29.31</w:t>
      </w:r>
      <w:r>
        <w:rPr>
          <w:rFonts w:hint="eastAsia" w:ascii="仿宋_GB2312" w:eastAsia="仿宋_GB2312"/>
          <w:color w:val="auto"/>
          <w:sz w:val="32"/>
          <w:szCs w:val="32"/>
          <w:highlight w:val="none"/>
        </w:rPr>
        <w:t>万元，预算执行率为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年中调整预算金额为</w:t>
      </w:r>
      <w:r>
        <w:rPr>
          <w:rFonts w:hint="eastAsia" w:ascii="仿宋_GB2312" w:eastAsia="仿宋_GB2312"/>
          <w:color w:val="auto"/>
          <w:sz w:val="32"/>
          <w:szCs w:val="32"/>
          <w:highlight w:val="none"/>
          <w:lang w:val="en-US" w:eastAsia="zh-CN"/>
        </w:rPr>
        <w:t>2.10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调整后基本支出总预算金额为31.41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全年基本支出总预算执行率为99.71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综上所述，我单位基本支出预算总额为</w:t>
      </w:r>
      <w:r>
        <w:rPr>
          <w:rFonts w:hint="eastAsia" w:ascii="仿宋_GB2312" w:eastAsia="仿宋_GB2312"/>
          <w:color w:val="auto"/>
          <w:sz w:val="32"/>
          <w:szCs w:val="32"/>
          <w:highlight w:val="none"/>
          <w:lang w:val="en-US" w:eastAsia="zh-CN"/>
        </w:rPr>
        <w:t>31.41</w:t>
      </w:r>
      <w:r>
        <w:rPr>
          <w:rFonts w:hint="eastAsia" w:ascii="仿宋_GB2312" w:eastAsia="仿宋_GB2312"/>
          <w:color w:val="auto"/>
          <w:sz w:val="32"/>
          <w:szCs w:val="32"/>
          <w:highlight w:val="none"/>
        </w:rPr>
        <w:t>万元，实际支出总额为</w:t>
      </w:r>
      <w:r>
        <w:rPr>
          <w:rFonts w:hint="eastAsia" w:ascii="仿宋_GB2312" w:eastAsia="仿宋_GB2312"/>
          <w:color w:val="auto"/>
          <w:sz w:val="32"/>
          <w:szCs w:val="32"/>
          <w:highlight w:val="none"/>
          <w:lang w:val="en-US" w:eastAsia="zh-CN"/>
        </w:rPr>
        <w:t>31.32</w:t>
      </w:r>
      <w:r>
        <w:rPr>
          <w:rFonts w:hint="eastAsia" w:ascii="仿宋_GB2312" w:eastAsia="仿宋_GB2312"/>
          <w:color w:val="auto"/>
          <w:sz w:val="32"/>
          <w:szCs w:val="32"/>
          <w:highlight w:val="none"/>
        </w:rPr>
        <w:t>万元，预算总执行率为</w:t>
      </w:r>
      <w:r>
        <w:rPr>
          <w:rFonts w:hint="eastAsia" w:ascii="仿宋_GB2312" w:eastAsia="仿宋_GB2312"/>
          <w:color w:val="auto"/>
          <w:sz w:val="32"/>
          <w:szCs w:val="32"/>
          <w:highlight w:val="none"/>
          <w:lang w:val="en-US" w:eastAsia="zh-CN"/>
        </w:rPr>
        <w:t>99.71</w:t>
      </w:r>
      <w:r>
        <w:rPr>
          <w:rFonts w:hint="eastAsia" w:ascii="仿宋_GB2312" w:eastAsia="仿宋_GB2312"/>
          <w:color w:val="auto"/>
          <w:sz w:val="32"/>
          <w:szCs w:val="32"/>
          <w:highlight w:val="none"/>
        </w:rPr>
        <w:t>%，其中人员经费</w:t>
      </w:r>
      <w:r>
        <w:rPr>
          <w:rFonts w:hint="eastAsia" w:ascii="仿宋_GB2312" w:eastAsia="仿宋_GB2312"/>
          <w:color w:val="auto"/>
          <w:sz w:val="32"/>
          <w:szCs w:val="32"/>
          <w:highlight w:val="none"/>
          <w:lang w:val="en-US" w:eastAsia="zh-CN"/>
        </w:rPr>
        <w:t>30.19</w:t>
      </w:r>
      <w:r>
        <w:rPr>
          <w:rFonts w:hint="eastAsia" w:ascii="仿宋_GB2312" w:eastAsia="仿宋_GB2312"/>
          <w:color w:val="auto"/>
          <w:sz w:val="32"/>
          <w:szCs w:val="32"/>
          <w:highlight w:val="none"/>
        </w:rPr>
        <w:t>万元，公用经费</w:t>
      </w:r>
      <w:r>
        <w:rPr>
          <w:rFonts w:hint="eastAsia" w:ascii="仿宋_GB2312" w:eastAsia="仿宋_GB2312"/>
          <w:color w:val="auto"/>
          <w:sz w:val="32"/>
          <w:szCs w:val="32"/>
          <w:highlight w:val="none"/>
          <w:lang w:val="en-US" w:eastAsia="zh-CN"/>
        </w:rPr>
        <w:t>1.23</w:t>
      </w:r>
      <w:r>
        <w:rPr>
          <w:rFonts w:hint="eastAsia" w:ascii="仿宋_GB2312" w:eastAsia="仿宋_GB2312"/>
          <w:color w:val="auto"/>
          <w:sz w:val="32"/>
          <w:szCs w:val="32"/>
          <w:highlight w:val="none"/>
        </w:rPr>
        <w:t>万元。</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Cs/>
          <w:sz w:val="32"/>
          <w:szCs w:val="32"/>
          <w:highlight w:val="none"/>
        </w:rPr>
      </w:pPr>
      <w:r>
        <w:rPr>
          <w:rFonts w:hint="eastAsia" w:ascii="仿宋_GB2312" w:eastAsia="仿宋_GB2312"/>
          <w:bCs/>
          <w:sz w:val="32"/>
          <w:szCs w:val="32"/>
          <w:highlight w:val="none"/>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highlight w:val="none"/>
        </w:rPr>
      </w:pPr>
      <w:r>
        <w:rPr>
          <w:rFonts w:hint="eastAsia" w:ascii="仿宋_GB2312" w:eastAsia="仿宋_GB2312"/>
          <w:b/>
          <w:bCs/>
          <w:sz w:val="32"/>
          <w:szCs w:val="32"/>
          <w:highlight w:val="none"/>
        </w:rPr>
        <w:t>2.“三公”经费情况</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cs="宋体"/>
          <w:bCs/>
          <w:color w:val="333333"/>
          <w:sz w:val="32"/>
          <w:szCs w:val="32"/>
          <w:highlight w:val="none"/>
          <w:lang w:bidi="ar"/>
        </w:rPr>
      </w:pPr>
      <w:r>
        <w:rPr>
          <w:rFonts w:hint="eastAsia" w:ascii="仿宋_GB2312" w:eastAsia="仿宋_GB2312" w:cs="宋体"/>
          <w:bCs/>
          <w:color w:val="333333"/>
          <w:sz w:val="32"/>
          <w:szCs w:val="32"/>
          <w:highlight w:val="none"/>
          <w:lang w:bidi="ar"/>
        </w:rPr>
        <w:t>本单位坚决贯彻落实中央、自治区、地委行署厉行勤俭办公的工作要求，</w:t>
      </w:r>
      <w:r>
        <w:rPr>
          <w:rFonts w:hint="eastAsia" w:ascii="仿宋_GB2312" w:eastAsia="仿宋_GB2312" w:cs="宋体"/>
          <w:sz w:val="32"/>
          <w:szCs w:val="32"/>
          <w:highlight w:val="none"/>
        </w:rPr>
        <w:t>严格执行《党政机关厉行节约反对浪费条例》</w:t>
      </w:r>
      <w:r>
        <w:rPr>
          <w:rFonts w:hint="eastAsia" w:ascii="仿宋_GB2312" w:eastAsia="仿宋_GB2312" w:cs="宋体"/>
          <w:sz w:val="32"/>
          <w:szCs w:val="32"/>
          <w:highlight w:val="none"/>
          <w:lang w:eastAsia="zh-CN"/>
        </w:rPr>
        <w:t>，</w:t>
      </w:r>
      <w:r>
        <w:rPr>
          <w:rFonts w:hint="eastAsia" w:ascii="仿宋_GB2312" w:eastAsia="仿宋_GB2312" w:cs="宋体"/>
          <w:bCs/>
          <w:color w:val="333333"/>
          <w:sz w:val="32"/>
          <w:szCs w:val="32"/>
          <w:highlight w:val="none"/>
          <w:lang w:bidi="ar"/>
        </w:rPr>
        <w:t>提倡本单位全体干部</w:t>
      </w:r>
      <w:r>
        <w:rPr>
          <w:rFonts w:hint="eastAsia" w:ascii="仿宋_GB2312" w:eastAsia="仿宋_GB2312" w:cs="宋体"/>
          <w:bCs/>
          <w:color w:val="auto"/>
          <w:sz w:val="32"/>
          <w:szCs w:val="32"/>
          <w:highlight w:val="none"/>
          <w:lang w:bidi="ar"/>
        </w:rPr>
        <w:t>职工，勤俭节约，切实降低行政运行成本，确保每年“三公经费”只减不增。</w:t>
      </w:r>
      <w:r>
        <w:rPr>
          <w:rFonts w:hint="eastAsia" w:ascii="仿宋_GB2312" w:eastAsia="仿宋_GB2312" w:cs="宋体"/>
          <w:bCs/>
          <w:color w:val="auto"/>
          <w:sz w:val="32"/>
          <w:szCs w:val="32"/>
          <w:highlight w:val="none"/>
          <w:lang w:eastAsia="zh-CN" w:bidi="ar"/>
        </w:rPr>
        <w:t>2023</w:t>
      </w:r>
      <w:r>
        <w:rPr>
          <w:rFonts w:hint="eastAsia" w:ascii="仿宋_GB2312" w:eastAsia="仿宋_GB2312" w:cs="宋体"/>
          <w:bCs/>
          <w:color w:val="auto"/>
          <w:sz w:val="32"/>
          <w:szCs w:val="32"/>
          <w:highlight w:val="none"/>
          <w:lang w:bidi="ar"/>
        </w:rPr>
        <w:t>年“三公经费”预算为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w:t>
      </w:r>
      <w:r>
        <w:rPr>
          <w:rFonts w:hint="eastAsia" w:ascii="仿宋_GB2312" w:eastAsia="仿宋_GB2312" w:cs="宋体"/>
          <w:color w:val="auto"/>
          <w:sz w:val="32"/>
          <w:szCs w:val="32"/>
          <w:highlight w:val="none"/>
        </w:rPr>
        <w:t>较上年“三公”经费决算支出</w:t>
      </w:r>
      <w:r>
        <w:rPr>
          <w:rFonts w:hint="eastAsia" w:ascii="仿宋_GB2312" w:eastAsia="仿宋_GB2312"/>
          <w:color w:val="auto"/>
          <w:sz w:val="32"/>
          <w:szCs w:val="32"/>
          <w:highlight w:val="none"/>
          <w:lang w:val="en-US" w:eastAsia="zh-CN"/>
        </w:rPr>
        <w:t>0.00</w:t>
      </w:r>
      <w:r>
        <w:rPr>
          <w:rFonts w:hint="eastAsia" w:ascii="仿宋_GB2312" w:eastAsia="仿宋_GB2312" w:cs="宋体"/>
          <w:color w:val="auto"/>
          <w:sz w:val="32"/>
          <w:szCs w:val="32"/>
          <w:highlight w:val="none"/>
        </w:rPr>
        <w:t>万元，减少</w:t>
      </w:r>
      <w:r>
        <w:rPr>
          <w:rFonts w:hint="eastAsia" w:ascii="仿宋_GB2312" w:eastAsia="仿宋_GB2312"/>
          <w:color w:val="auto"/>
          <w:sz w:val="32"/>
          <w:szCs w:val="32"/>
          <w:highlight w:val="none"/>
          <w:lang w:val="en-US" w:eastAsia="zh-CN"/>
        </w:rPr>
        <w:t>0.00</w:t>
      </w:r>
      <w:r>
        <w:rPr>
          <w:rFonts w:hint="eastAsia" w:ascii="仿宋_GB2312" w:eastAsia="仿宋_GB2312" w:cs="宋体"/>
          <w:color w:val="auto"/>
          <w:sz w:val="32"/>
          <w:szCs w:val="32"/>
          <w:highlight w:val="none"/>
        </w:rPr>
        <w:t>万元，下降</w:t>
      </w:r>
      <w:r>
        <w:rPr>
          <w:rFonts w:hint="eastAsia" w:ascii="仿宋_GB2312" w:eastAsia="仿宋_GB2312" w:cs="宋体"/>
          <w:color w:val="auto"/>
          <w:sz w:val="32"/>
          <w:szCs w:val="32"/>
          <w:highlight w:val="none"/>
          <w:lang w:val="en-US" w:eastAsia="zh-CN"/>
        </w:rPr>
        <w:t>0.0</w:t>
      </w:r>
      <w:r>
        <w:rPr>
          <w:rFonts w:hint="eastAsia" w:ascii="仿宋_GB2312" w:eastAsia="仿宋_GB2312" w:cs="宋体"/>
          <w:color w:val="auto"/>
          <w:sz w:val="32"/>
          <w:szCs w:val="32"/>
          <w:highlight w:val="none"/>
        </w:rPr>
        <w:t>%</w:t>
      </w:r>
      <w:r>
        <w:rPr>
          <w:rFonts w:hint="eastAsia" w:ascii="仿宋_GB2312" w:eastAsia="仿宋_GB2312" w:cs="宋体"/>
          <w:color w:val="auto"/>
          <w:sz w:val="32"/>
          <w:szCs w:val="32"/>
          <w:highlight w:val="none"/>
          <w:lang w:eastAsia="zh-CN"/>
        </w:rPr>
        <w:t>。</w:t>
      </w:r>
      <w:r>
        <w:rPr>
          <w:rFonts w:hint="eastAsia" w:ascii="仿宋_GB2312" w:eastAsia="仿宋_GB2312" w:cs="宋体"/>
          <w:bCs/>
          <w:color w:val="auto"/>
          <w:sz w:val="32"/>
          <w:szCs w:val="32"/>
          <w:highlight w:val="none"/>
          <w:lang w:bidi="ar"/>
        </w:rPr>
        <w:t>其中：因公出国（境）费预算为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万元；公务接待费预算为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万元；公务用车购置费预算为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万元；公务用车运行维护费预算为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0.00</w:t>
      </w:r>
      <w:r>
        <w:rPr>
          <w:rFonts w:hint="eastAsia" w:ascii="仿宋_GB2312" w:eastAsia="仿宋_GB2312" w:cs="宋体"/>
          <w:bCs/>
          <w:color w:val="auto"/>
          <w:sz w:val="32"/>
          <w:szCs w:val="32"/>
          <w:highlight w:val="none"/>
          <w:lang w:bidi="ar"/>
        </w:rPr>
        <w:t>万元，</w:t>
      </w:r>
      <w:r>
        <w:rPr>
          <w:rFonts w:hint="eastAsia" w:ascii="仿宋_GB2312" w:eastAsia="仿宋_GB2312" w:cs="宋体"/>
          <w:bCs/>
          <w:color w:val="auto"/>
          <w:sz w:val="32"/>
          <w:szCs w:val="32"/>
          <w:highlight w:val="none"/>
          <w:lang w:eastAsia="zh-Hans" w:bidi="ar"/>
        </w:rPr>
        <w:t>各项支出均</w:t>
      </w:r>
      <w:r>
        <w:rPr>
          <w:rFonts w:hint="eastAsia" w:ascii="仿宋_GB2312" w:eastAsia="仿宋_GB2312" w:cs="宋体"/>
          <w:bCs/>
          <w:color w:val="auto"/>
          <w:sz w:val="32"/>
          <w:szCs w:val="32"/>
          <w:highlight w:val="none"/>
          <w:lang w:bidi="ar"/>
        </w:rPr>
        <w:t>符合财</w:t>
      </w:r>
      <w:r>
        <w:rPr>
          <w:rFonts w:hint="eastAsia" w:ascii="仿宋_GB2312" w:eastAsia="仿宋_GB2312" w:cs="宋体"/>
          <w:bCs/>
          <w:color w:val="333333"/>
          <w:sz w:val="32"/>
          <w:szCs w:val="32"/>
          <w:highlight w:val="none"/>
          <w:lang w:bidi="ar"/>
        </w:rPr>
        <w:t>政部门本年预算要求和相关管理制度要求。</w:t>
      </w:r>
    </w:p>
    <w:p>
      <w:pPr>
        <w:pStyle w:val="3"/>
        <w:pageBreakBefore w:val="0"/>
        <w:numPr>
          <w:ilvl w:val="0"/>
          <w:numId w:val="2"/>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Cs/>
          <w:szCs w:val="32"/>
          <w:highlight w:val="none"/>
        </w:rPr>
      </w:pPr>
      <w:r>
        <w:rPr>
          <w:rFonts w:hint="eastAsia" w:ascii="楷体_GB2312" w:eastAsia="楷体_GB2312"/>
          <w:bCs/>
          <w:szCs w:val="32"/>
          <w:highlight w:val="none"/>
        </w:rPr>
        <w:t>项目支出预算安排及支出情况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highlight w:val="none"/>
        </w:rPr>
      </w:pPr>
      <w:r>
        <w:rPr>
          <w:rFonts w:hint="eastAsia" w:ascii="仿宋_GB2312" w:eastAsia="仿宋_GB2312"/>
          <w:b/>
          <w:bCs/>
          <w:sz w:val="32"/>
          <w:szCs w:val="32"/>
          <w:highlight w:val="none"/>
        </w:rPr>
        <w:t>1.项目支出情况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年本单位全年未安排中央、自治区、本级项目支出预算。</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lang w:val="en-US" w:eastAsia="zh-CN"/>
        </w:rPr>
        <w:t>2.</w:t>
      </w:r>
      <w:r>
        <w:rPr>
          <w:rFonts w:hint="eastAsia" w:ascii="仿宋_GB2312" w:eastAsia="仿宋_GB2312"/>
          <w:b/>
          <w:bCs/>
          <w:sz w:val="32"/>
          <w:szCs w:val="32"/>
          <w:highlight w:val="none"/>
        </w:rPr>
        <w:t>专项资金总投入及实际使用情况分析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年本单位全年未安排中央</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sz w:val="32"/>
          <w:szCs w:val="32"/>
          <w:highlight w:val="none"/>
        </w:rPr>
        <w:t>自治区</w:t>
      </w:r>
      <w:r>
        <w:rPr>
          <w:rFonts w:hint="eastAsia" w:ascii="仿宋_GB2312" w:hAnsi="仿宋_GB2312" w:eastAsia="仿宋_GB2312" w:cs="仿宋_GB2312"/>
          <w:sz w:val="32"/>
          <w:szCs w:val="32"/>
          <w:highlight w:val="none"/>
          <w:lang w:val="en-US" w:eastAsia="zh-CN"/>
        </w:rPr>
        <w:t>专项转移支付</w:t>
      </w:r>
      <w:r>
        <w:rPr>
          <w:rFonts w:hint="eastAsia" w:ascii="仿宋_GB2312" w:hAnsi="仿宋_GB2312" w:eastAsia="仿宋_GB2312" w:cs="仿宋_GB2312"/>
          <w:sz w:val="32"/>
          <w:szCs w:val="32"/>
          <w:highlight w:val="none"/>
        </w:rPr>
        <w:t>项目支出预算。</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ascii="黑体" w:hAnsi="黑体" w:eastAsia="黑体"/>
          <w:b w:val="0"/>
          <w:sz w:val="32"/>
          <w:szCs w:val="32"/>
          <w:highlight w:val="none"/>
          <w:lang w:val="en-US" w:eastAsia="zh-CN"/>
        </w:rPr>
      </w:pPr>
      <w:r>
        <w:rPr>
          <w:rFonts w:hint="eastAsia" w:ascii="黑体" w:hAnsi="黑体"/>
          <w:b w:val="0"/>
          <w:sz w:val="32"/>
          <w:szCs w:val="32"/>
          <w:highlight w:val="none"/>
          <w:lang w:val="en-US" w:eastAsia="zh-CN"/>
        </w:rPr>
        <w:t>三</w:t>
      </w:r>
      <w:r>
        <w:rPr>
          <w:rFonts w:hint="eastAsia" w:ascii="黑体" w:hAnsi="黑体"/>
          <w:b w:val="0"/>
          <w:sz w:val="32"/>
          <w:szCs w:val="32"/>
          <w:highlight w:val="none"/>
        </w:rPr>
        <w:t>、部门单位整体支出</w:t>
      </w:r>
      <w:r>
        <w:rPr>
          <w:rFonts w:hint="eastAsia" w:ascii="黑体" w:hAnsi="黑体"/>
          <w:b w:val="0"/>
          <w:sz w:val="32"/>
          <w:szCs w:val="32"/>
          <w:highlight w:val="none"/>
          <w:lang w:val="en-US" w:eastAsia="zh-CN"/>
        </w:rPr>
        <w:t>绩效分析</w:t>
      </w:r>
    </w:p>
    <w:p>
      <w:pPr>
        <w:pStyle w:val="3"/>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highlight w:val="none"/>
          <w14:textFill>
            <w14:solidFill>
              <w14:schemeClr w14:val="tx1"/>
            </w14:solidFill>
          </w14:textFill>
        </w:rPr>
        <w:t>（一）</w:t>
      </w:r>
      <w:r>
        <w:rPr>
          <w:rFonts w:hint="eastAsia" w:ascii="楷体_GB2312" w:eastAsia="楷体_GB2312"/>
          <w:color w:val="000000" w:themeColor="text1"/>
          <w:szCs w:val="32"/>
          <w:highlight w:val="none"/>
          <w:lang w:val="en-US" w:eastAsia="zh-CN"/>
          <w14:textFill>
            <w14:solidFill>
              <w14:schemeClr w14:val="tx1"/>
            </w14:solidFill>
          </w14:textFill>
        </w:rPr>
        <w:t>指标一：</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林地面积</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&gt;=5700亩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年中绩效运行监控完成值为“5700亩”，全年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5700亩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了生态文明建设要求，落实了林地管护任务。通过5700亩林地管护工作的有效完成，解决了林地荒废，无人灌溉的问题，显著提高了树木成活率，明显改善了生态区森林生态环境，提升了生态林防风固沙能力。</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综上，该指标分值30分，得30分。</w:t>
      </w:r>
    </w:p>
    <w:p>
      <w:pPr>
        <w:pStyle w:val="3"/>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二</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指标二：</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巡护面积</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&gt;=5700亩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年中绩效运行监控完成值为“5700亩”，全年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5700亩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了生态文明建设要求，落实了生态林巡护任务。通过5700亩林地巡护工作的有效完成，解决了林地补植、林地卫生无人管理的问题，保障了林区的可持续发展，显著提高了生态林防风固沙能力。</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综上，该指标分值30分，得30分。</w:t>
      </w:r>
    </w:p>
    <w:p>
      <w:pPr>
        <w:pStyle w:val="3"/>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三</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指标三：</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聘用护林员人数</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=3人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年中绩效运行监控完成值为“3人”，全年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3人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了生态文明建设要求，落实了护林员聘用任务。通过护林员聘用工作的有效完成，解决了林地巡护、管理的问题，显著提高了生态林的成活率及周边卫生，有效保护森林湿地资源，维护生态平衡。</w:t>
      </w:r>
    </w:p>
    <w:p>
      <w:pPr>
        <w:pageBreakBefore w:val="0"/>
        <w:kinsoku/>
        <w:wordWrap/>
        <w:overflowPunct/>
        <w:topLinePunct w:val="0"/>
        <w:autoSpaceDE/>
        <w:autoSpaceDN/>
        <w:bidi w:val="0"/>
        <w:spacing w:line="570" w:lineRule="exact"/>
        <w:ind w:firstLine="640" w:firstLineChars="200"/>
        <w:jc w:val="both"/>
        <w:textAlignment w:val="auto"/>
        <w:rPr>
          <w:rFonts w:hint="eastAsia"/>
          <w:color w:val="auto"/>
          <w:highlight w:val="none"/>
          <w:lang w:val="en-US" w:eastAsia="zh-CN"/>
        </w:rPr>
      </w:pPr>
      <w:r>
        <w:rPr>
          <w:rFonts w:hint="eastAsia" w:ascii="仿宋_GB2312" w:eastAsia="仿宋_GB2312"/>
          <w:color w:val="auto"/>
          <w:sz w:val="32"/>
          <w:szCs w:val="32"/>
          <w:highlight w:val="none"/>
          <w:lang w:val="en-US" w:eastAsia="zh-CN"/>
        </w:rPr>
        <w:t>综上，该指标分值30分，得30分。</w:t>
      </w:r>
    </w:p>
    <w:p>
      <w:pPr>
        <w:pStyle w:val="2"/>
        <w:pageBreakBefore w:val="0"/>
        <w:numPr>
          <w:ilvl w:val="0"/>
          <w:numId w:val="3"/>
        </w:numPr>
        <w:kinsoku/>
        <w:wordWrap/>
        <w:overflowPunct/>
        <w:topLinePunct w:val="0"/>
        <w:autoSpaceDE/>
        <w:autoSpaceDN/>
        <w:bidi w:val="0"/>
        <w:spacing w:line="570" w:lineRule="exact"/>
        <w:ind w:firstLine="640" w:firstLineChars="200"/>
        <w:jc w:val="both"/>
        <w:textAlignment w:val="auto"/>
        <w:rPr>
          <w:rFonts w:hint="eastAsia" w:ascii="黑体" w:hAnsi="黑体"/>
          <w:b w:val="0"/>
          <w:color w:val="auto"/>
          <w:sz w:val="32"/>
          <w:szCs w:val="32"/>
          <w:highlight w:val="none"/>
          <w:lang w:val="en-US" w:eastAsia="zh-CN"/>
        </w:rPr>
      </w:pPr>
      <w:r>
        <w:rPr>
          <w:rFonts w:hint="eastAsia" w:ascii="黑体" w:hAnsi="黑体"/>
          <w:b w:val="0"/>
          <w:color w:val="auto"/>
          <w:sz w:val="32"/>
          <w:szCs w:val="32"/>
          <w:highlight w:val="none"/>
          <w:lang w:val="en-US" w:eastAsia="zh-CN"/>
        </w:rPr>
        <w:t>评价结论</w:t>
      </w:r>
    </w:p>
    <w:p>
      <w:pPr>
        <w:pageBreakBefore w:val="0"/>
        <w:kinsoku/>
        <w:wordWrap/>
        <w:overflowPunct/>
        <w:topLinePunct w:val="0"/>
        <w:autoSpaceDE/>
        <w:autoSpaceDN/>
        <w:bidi w:val="0"/>
        <w:spacing w:line="570" w:lineRule="exact"/>
        <w:ind w:firstLine="640" w:firstLineChars="200"/>
        <w:jc w:val="both"/>
        <w:textAlignment w:val="auto"/>
        <w:rPr>
          <w:rFonts w:hint="default"/>
          <w:highlight w:val="none"/>
          <w:lang w:val="en-US" w:eastAsia="zh-CN"/>
        </w:rPr>
      </w:pPr>
      <w:r>
        <w:rPr>
          <w:rFonts w:hint="eastAsia" w:ascii="仿宋_GB2312" w:eastAsia="仿宋_GB2312"/>
          <w:color w:val="auto"/>
          <w:sz w:val="32"/>
          <w:szCs w:val="32"/>
          <w:highlight w:val="none"/>
          <w:lang w:val="en-US" w:eastAsia="zh-CN"/>
        </w:rPr>
        <w:t>2023年度裕民县库沙河生态治理工程工作站部门整体支出绩效自评综合得分100分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评价结果为“优”。</w:t>
      </w:r>
    </w:p>
    <w:p>
      <w:pPr>
        <w:pStyle w:val="2"/>
        <w:pageBreakBefore w:val="0"/>
        <w:kinsoku/>
        <w:wordWrap/>
        <w:overflowPunct/>
        <w:topLinePunct w:val="0"/>
        <w:autoSpaceDE/>
        <w:autoSpaceDN/>
        <w:bidi w:val="0"/>
        <w:spacing w:line="570" w:lineRule="exact"/>
        <w:ind w:firstLine="640" w:firstLineChars="200"/>
        <w:jc w:val="both"/>
        <w:textAlignment w:val="auto"/>
        <w:rPr>
          <w:rFonts w:hint="default" w:ascii="黑体" w:hAnsi="黑体" w:eastAsia="黑体"/>
          <w:b w:val="0"/>
          <w:sz w:val="32"/>
          <w:szCs w:val="32"/>
          <w:highlight w:val="none"/>
          <w:lang w:val="en-US" w:eastAsia="zh-CN"/>
        </w:rPr>
      </w:pPr>
      <w:r>
        <w:rPr>
          <w:rFonts w:hint="eastAsia" w:ascii="黑体" w:hAnsi="黑体"/>
          <w:b w:val="0"/>
          <w:sz w:val="32"/>
          <w:szCs w:val="32"/>
          <w:highlight w:val="none"/>
          <w:lang w:val="en-US" w:eastAsia="zh-CN"/>
        </w:rPr>
        <w:t>五</w:t>
      </w:r>
      <w:r>
        <w:rPr>
          <w:rFonts w:hint="eastAsia" w:ascii="黑体" w:hAnsi="黑体"/>
          <w:b w:val="0"/>
          <w:sz w:val="32"/>
          <w:szCs w:val="32"/>
          <w:highlight w:val="none"/>
        </w:rPr>
        <w:t>、存在的主要问题</w:t>
      </w:r>
      <w:r>
        <w:rPr>
          <w:rFonts w:hint="eastAsia" w:ascii="黑体" w:hAnsi="黑体"/>
          <w:b w:val="0"/>
          <w:sz w:val="32"/>
          <w:szCs w:val="32"/>
          <w:highlight w:val="none"/>
          <w:lang w:val="en-US" w:eastAsia="zh-CN"/>
        </w:rPr>
        <w:t>及原因分析</w:t>
      </w:r>
    </w:p>
    <w:p>
      <w:pPr>
        <w:pStyle w:val="3"/>
        <w:pageBreakBefore w:val="0"/>
        <w:kinsoku/>
        <w:wordWrap/>
        <w:overflowPunct/>
        <w:topLinePunct w:val="0"/>
        <w:autoSpaceDE/>
        <w:autoSpaceDN/>
        <w:bidi w:val="0"/>
        <w:spacing w:line="570" w:lineRule="exact"/>
        <w:ind w:firstLine="643" w:firstLineChars="200"/>
        <w:jc w:val="both"/>
        <w:textAlignment w:val="auto"/>
        <w:rPr>
          <w:rFonts w:hint="default"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（一）绩效管理方面</w:t>
      </w:r>
    </w:p>
    <w:p>
      <w:pPr>
        <w:pageBreakBefore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仿宋_GB2312" w:eastAsia="仿宋_GB2312"/>
          <w:sz w:val="32"/>
          <w:szCs w:val="32"/>
          <w:highlight w:val="none"/>
          <w:lang w:val="en-US" w:eastAsia="zh-CN"/>
        </w:rPr>
        <w:t>预算绩效管理工作过于依赖财务人员，业务人与参与度不够与业务工作结合不够紧密，在绩效指标值的设定上还存在一定的不合理性。</w:t>
      </w:r>
    </w:p>
    <w:p>
      <w:pPr>
        <w:pStyle w:val="3"/>
        <w:pageBreakBefore w:val="0"/>
        <w:numPr>
          <w:ilvl w:val="0"/>
          <w:numId w:val="4"/>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业务管理方面</w:t>
      </w:r>
    </w:p>
    <w:p>
      <w:pPr>
        <w:pStyle w:val="3"/>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由于缺乏工作人员，林带管护责任的落实还存在一定的不足，林带灌溉不够及时，林带垃圾清理速度慢等，不同程度的影响了林带的管护。</w:t>
      </w:r>
    </w:p>
    <w:p>
      <w:pPr>
        <w:pStyle w:val="2"/>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Cs/>
          <w:color w:val="FF0000"/>
          <w:spacing w:val="-4"/>
          <w:sz w:val="32"/>
          <w:szCs w:val="32"/>
          <w:highlight w:val="none"/>
          <w:lang w:eastAsia="zh-Hans"/>
        </w:rPr>
      </w:pPr>
      <w:r>
        <w:rPr>
          <w:rFonts w:hint="eastAsia" w:ascii="黑体" w:hAnsi="黑体"/>
          <w:b w:val="0"/>
          <w:sz w:val="32"/>
          <w:szCs w:val="32"/>
          <w:highlight w:val="none"/>
          <w:lang w:val="en-US" w:eastAsia="zh-CN"/>
        </w:rPr>
        <w:t>六</w:t>
      </w:r>
      <w:r>
        <w:rPr>
          <w:rFonts w:hint="eastAsia" w:ascii="黑体" w:hAnsi="黑体"/>
          <w:b w:val="0"/>
          <w:sz w:val="32"/>
          <w:szCs w:val="32"/>
          <w:highlight w:val="none"/>
        </w:rPr>
        <w:t>、改进措施和建议</w:t>
      </w:r>
    </w:p>
    <w:p>
      <w:pPr>
        <w:pStyle w:val="4"/>
        <w:pageBreakBefore w:val="0"/>
        <w:numPr>
          <w:ilvl w:val="0"/>
          <w:numId w:val="5"/>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highlight w:val="none"/>
          <w:lang w:eastAsia="zh-Hans"/>
        </w:rPr>
      </w:pPr>
      <w:r>
        <w:rPr>
          <w:rFonts w:hint="eastAsia" w:ascii="楷体_GB2312" w:hAnsi="楷体_GB2312" w:eastAsia="楷体_GB2312" w:cs="楷体_GB2312"/>
          <w:sz w:val="32"/>
          <w:highlight w:val="none"/>
          <w:lang w:eastAsia="zh-Hans"/>
        </w:rPr>
        <w:t>改进措施</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1.</w:t>
      </w:r>
      <w:r>
        <w:rPr>
          <w:rStyle w:val="14"/>
          <w:rFonts w:hint="eastAsia" w:ascii="仿宋_GB2312" w:hAnsi="仿宋_GB2312" w:eastAsia="仿宋_GB2312" w:cs="仿宋_GB2312"/>
          <w:b w:val="0"/>
          <w:bCs w:val="0"/>
          <w:color w:val="auto"/>
          <w:spacing w:val="-4"/>
          <w:sz w:val="32"/>
          <w:szCs w:val="32"/>
          <w:highlight w:val="none"/>
          <w:lang w:val="en-US" w:eastAsia="zh-CN"/>
        </w:rPr>
        <w:t>牢固树立绩效管理理念，让业务人员积极参与到绩效管理工作中，加强各部门之间的协调合作，确保绩效管理工作落在实处</w:t>
      </w:r>
      <w:r>
        <w:rPr>
          <w:rStyle w:val="14"/>
          <w:rFonts w:hint="eastAsia" w:ascii="仿宋_GB2312" w:hAnsi="仿宋_GB2312" w:eastAsia="仿宋_GB2312" w:cs="仿宋_GB2312"/>
          <w:b w:val="0"/>
          <w:bCs w:val="0"/>
          <w:color w:val="auto"/>
          <w:spacing w:val="-4"/>
          <w:sz w:val="32"/>
          <w:szCs w:val="32"/>
          <w:highlight w:val="none"/>
        </w:rPr>
        <w:t>。</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2.强化责任意识。通过绩效评价，考核</w:t>
      </w:r>
      <w:r>
        <w:rPr>
          <w:rStyle w:val="14"/>
          <w:rFonts w:hint="eastAsia" w:ascii="仿宋_GB2312" w:hAnsi="仿宋_GB2312" w:eastAsia="仿宋_GB2312" w:cs="仿宋_GB2312"/>
          <w:b w:val="0"/>
          <w:bCs w:val="0"/>
          <w:color w:val="auto"/>
          <w:spacing w:val="-4"/>
          <w:sz w:val="32"/>
          <w:szCs w:val="32"/>
          <w:highlight w:val="none"/>
          <w:lang w:val="en-US" w:eastAsia="zh-CN"/>
        </w:rPr>
        <w:t>工作人员业务</w:t>
      </w:r>
      <w:r>
        <w:rPr>
          <w:rStyle w:val="14"/>
          <w:rFonts w:hint="eastAsia" w:ascii="仿宋_GB2312" w:hAnsi="仿宋_GB2312" w:eastAsia="仿宋_GB2312" w:cs="仿宋_GB2312"/>
          <w:b w:val="0"/>
          <w:bCs w:val="0"/>
          <w:color w:val="auto"/>
          <w:spacing w:val="-4"/>
          <w:sz w:val="32"/>
          <w:szCs w:val="32"/>
          <w:highlight w:val="none"/>
        </w:rPr>
        <w:t>完成情况和取得的成效，并与</w:t>
      </w:r>
      <w:r>
        <w:rPr>
          <w:rStyle w:val="14"/>
          <w:rFonts w:hint="eastAsia" w:ascii="仿宋_GB2312" w:hAnsi="仿宋_GB2312" w:eastAsia="仿宋_GB2312" w:cs="仿宋_GB2312"/>
          <w:b w:val="0"/>
          <w:bCs w:val="0"/>
          <w:color w:val="auto"/>
          <w:spacing w:val="-4"/>
          <w:sz w:val="32"/>
          <w:szCs w:val="32"/>
          <w:highlight w:val="none"/>
          <w:lang w:val="en-US" w:eastAsia="zh-CN"/>
        </w:rPr>
        <w:t>年度评优挂钩</w:t>
      </w:r>
      <w:r>
        <w:rPr>
          <w:rStyle w:val="14"/>
          <w:rFonts w:hint="eastAsia"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lang w:val="en-US" w:eastAsia="zh-CN"/>
        </w:rPr>
        <w:t>对不负责任的人员取消评优资格</w:t>
      </w:r>
      <w:r>
        <w:rPr>
          <w:rStyle w:val="14"/>
          <w:rFonts w:hint="eastAsia" w:ascii="仿宋_GB2312" w:hAnsi="仿宋_GB2312" w:eastAsia="仿宋_GB2312" w:cs="仿宋_GB2312"/>
          <w:b w:val="0"/>
          <w:bCs w:val="0"/>
          <w:color w:val="auto"/>
          <w:spacing w:val="-4"/>
          <w:sz w:val="32"/>
          <w:szCs w:val="32"/>
          <w:highlight w:val="none"/>
        </w:rPr>
        <w:t>，在一定程度上强化了</w:t>
      </w:r>
      <w:r>
        <w:rPr>
          <w:rStyle w:val="14"/>
          <w:rFonts w:hint="eastAsia" w:ascii="仿宋_GB2312" w:hAnsi="仿宋_GB2312" w:eastAsia="仿宋_GB2312" w:cs="仿宋_GB2312"/>
          <w:b w:val="0"/>
          <w:bCs w:val="0"/>
          <w:color w:val="auto"/>
          <w:spacing w:val="-4"/>
          <w:sz w:val="32"/>
          <w:szCs w:val="32"/>
          <w:highlight w:val="none"/>
          <w:lang w:val="en-US" w:eastAsia="zh-CN"/>
        </w:rPr>
        <w:t>工作人员</w:t>
      </w:r>
      <w:r>
        <w:rPr>
          <w:rStyle w:val="14"/>
          <w:rFonts w:hint="eastAsia" w:ascii="仿宋_GB2312" w:hAnsi="仿宋_GB2312" w:eastAsia="仿宋_GB2312" w:cs="仿宋_GB2312"/>
          <w:b w:val="0"/>
          <w:bCs w:val="0"/>
          <w:color w:val="auto"/>
          <w:spacing w:val="-4"/>
          <w:sz w:val="32"/>
          <w:szCs w:val="32"/>
          <w:highlight w:val="none"/>
        </w:rPr>
        <w:t>自我约束意识和责任意识。</w:t>
      </w:r>
    </w:p>
    <w:p>
      <w:pPr>
        <w:pStyle w:val="4"/>
        <w:pageBreakBefore w:val="0"/>
        <w:numPr>
          <w:ilvl w:val="0"/>
          <w:numId w:val="5"/>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color w:val="auto"/>
          <w:sz w:val="32"/>
          <w:highlight w:val="none"/>
          <w:lang w:eastAsia="zh-Hans"/>
        </w:rPr>
      </w:pPr>
      <w:r>
        <w:rPr>
          <w:rFonts w:hint="eastAsia" w:ascii="楷体_GB2312" w:hAnsi="楷体_GB2312" w:eastAsia="楷体_GB2312" w:cs="楷体_GB2312"/>
          <w:color w:val="auto"/>
          <w:sz w:val="32"/>
          <w:highlight w:val="none"/>
          <w:lang w:eastAsia="zh-Hans"/>
        </w:rPr>
        <w:t>建议</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1</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加强预算绩效目标管理工作，</w:t>
      </w:r>
      <w:r>
        <w:rPr>
          <w:rStyle w:val="14"/>
          <w:rFonts w:hint="eastAsia" w:ascii="仿宋_GB2312" w:hAnsi="仿宋_GB2312" w:eastAsia="仿宋_GB2312" w:cs="仿宋_GB2312"/>
          <w:b w:val="0"/>
          <w:bCs w:val="0"/>
          <w:color w:val="auto"/>
          <w:spacing w:val="-4"/>
          <w:sz w:val="32"/>
          <w:szCs w:val="32"/>
          <w:highlight w:val="none"/>
          <w:lang w:val="en-US" w:eastAsia="zh-CN"/>
        </w:rPr>
        <w:t>严格按照规定做好绩效目标的申报、监控、评价等工作，使绩效管理贯穿整个资金使用过程，保障资金使用的精准性和合理性</w:t>
      </w:r>
      <w:r>
        <w:rPr>
          <w:rStyle w:val="14"/>
          <w:rFonts w:hint="eastAsia" w:ascii="仿宋_GB2312" w:hAnsi="仿宋_GB2312" w:eastAsia="仿宋_GB2312" w:cs="仿宋_GB2312"/>
          <w:b w:val="0"/>
          <w:bCs w:val="0"/>
          <w:color w:val="auto"/>
          <w:spacing w:val="-4"/>
          <w:sz w:val="32"/>
          <w:szCs w:val="32"/>
          <w:highlight w:val="none"/>
        </w:rPr>
        <w:t>。</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ascii="仿宋_GB2312" w:hAnsi="仿宋_GB2312" w:eastAsia="仿宋_GB2312" w:cs="仿宋_GB2312"/>
          <w:b w:val="0"/>
          <w:bCs w:val="0"/>
          <w:color w:val="auto"/>
          <w:spacing w:val="-4"/>
          <w:sz w:val="32"/>
          <w:szCs w:val="32"/>
          <w:highlight w:val="none"/>
        </w:rPr>
        <w:t>2.</w:t>
      </w:r>
      <w:r>
        <w:rPr>
          <w:rStyle w:val="14"/>
          <w:rFonts w:hint="eastAsia" w:ascii="仿宋_GB2312" w:hAnsi="仿宋_GB2312" w:eastAsia="仿宋_GB2312" w:cs="仿宋_GB2312"/>
          <w:b w:val="0"/>
          <w:bCs w:val="0"/>
          <w:color w:val="auto"/>
          <w:spacing w:val="-4"/>
          <w:sz w:val="32"/>
          <w:szCs w:val="32"/>
          <w:highlight w:val="none"/>
          <w:lang w:val="en-US" w:eastAsia="zh-CN"/>
        </w:rPr>
        <w:t>加强对</w:t>
      </w:r>
      <w:r>
        <w:rPr>
          <w:rStyle w:val="14"/>
          <w:rFonts w:hint="eastAsia" w:ascii="仿宋_GB2312" w:hAnsi="仿宋_GB2312" w:eastAsia="仿宋_GB2312" w:cs="仿宋_GB2312"/>
          <w:b w:val="0"/>
          <w:bCs w:val="0"/>
          <w:color w:val="auto"/>
          <w:spacing w:val="-4"/>
          <w:sz w:val="32"/>
          <w:szCs w:val="32"/>
          <w:highlight w:val="none"/>
        </w:rPr>
        <w:t>单位财务人员</w:t>
      </w:r>
      <w:r>
        <w:rPr>
          <w:rStyle w:val="14"/>
          <w:rFonts w:hint="eastAsia" w:ascii="仿宋_GB2312" w:hAnsi="仿宋_GB2312" w:eastAsia="仿宋_GB2312" w:cs="仿宋_GB2312"/>
          <w:b w:val="0"/>
          <w:bCs w:val="0"/>
          <w:color w:val="auto"/>
          <w:spacing w:val="-4"/>
          <w:sz w:val="32"/>
          <w:szCs w:val="32"/>
          <w:highlight w:val="none"/>
          <w:lang w:val="en-US" w:eastAsia="zh-CN"/>
        </w:rPr>
        <w:t>及</w:t>
      </w:r>
      <w:r>
        <w:rPr>
          <w:rStyle w:val="14"/>
          <w:rFonts w:hint="eastAsia" w:ascii="仿宋_GB2312" w:hAnsi="仿宋_GB2312" w:eastAsia="仿宋_GB2312" w:cs="仿宋_GB2312"/>
          <w:b w:val="0"/>
          <w:bCs w:val="0"/>
          <w:color w:val="auto"/>
          <w:spacing w:val="-4"/>
          <w:sz w:val="32"/>
          <w:szCs w:val="32"/>
          <w:highlight w:val="none"/>
        </w:rPr>
        <w:t>业务人员</w:t>
      </w:r>
      <w:r>
        <w:rPr>
          <w:rStyle w:val="14"/>
          <w:rFonts w:hint="eastAsia" w:ascii="仿宋_GB2312" w:hAnsi="仿宋_GB2312" w:eastAsia="仿宋_GB2312" w:cs="仿宋_GB2312"/>
          <w:b w:val="0"/>
          <w:bCs w:val="0"/>
          <w:color w:val="auto"/>
          <w:spacing w:val="-4"/>
          <w:sz w:val="32"/>
          <w:szCs w:val="32"/>
          <w:highlight w:val="none"/>
          <w:lang w:val="en-US" w:eastAsia="zh-CN"/>
        </w:rPr>
        <w:t>的绩效培训</w:t>
      </w:r>
      <w:r>
        <w:rPr>
          <w:rStyle w:val="14"/>
          <w:rFonts w:hint="eastAsia" w:ascii="仿宋_GB2312" w:hAnsi="仿宋_GB2312" w:eastAsia="仿宋_GB2312" w:cs="仿宋_GB2312"/>
          <w:b w:val="0"/>
          <w:bCs w:val="0"/>
          <w:color w:val="auto"/>
          <w:spacing w:val="-4"/>
          <w:sz w:val="32"/>
          <w:szCs w:val="32"/>
          <w:highlight w:val="none"/>
        </w:rPr>
        <w:t>，提高本单位工作人员的绩效管理能力和工作水平</w:t>
      </w:r>
      <w:r>
        <w:rPr>
          <w:rStyle w:val="14"/>
          <w:rFonts w:hint="eastAsia" w:ascii="仿宋_GB2312" w:hAnsi="仿宋_GB2312" w:eastAsia="仿宋_GB2312" w:cs="仿宋_GB2312"/>
          <w:b w:val="0"/>
          <w:bCs w:val="0"/>
          <w:color w:val="auto"/>
          <w:spacing w:val="-4"/>
          <w:sz w:val="32"/>
          <w:szCs w:val="32"/>
          <w:highlight w:val="none"/>
          <w:lang w:eastAsia="zh-CN"/>
        </w:rPr>
        <w:t>，</w:t>
      </w:r>
      <w:r>
        <w:rPr>
          <w:rStyle w:val="14"/>
          <w:rFonts w:hint="eastAsia" w:ascii="仿宋_GB2312" w:hAnsi="仿宋_GB2312" w:eastAsia="仿宋_GB2312" w:cs="仿宋_GB2312"/>
          <w:b w:val="0"/>
          <w:bCs w:val="0"/>
          <w:color w:val="auto"/>
          <w:spacing w:val="-4"/>
          <w:sz w:val="32"/>
          <w:szCs w:val="32"/>
          <w:highlight w:val="none"/>
          <w:lang w:val="en-US" w:eastAsia="zh-CN"/>
        </w:rPr>
        <w:t>使绩效管理更加科学化、精准化。</w:t>
      </w:r>
    </w:p>
    <w:p>
      <w:pPr>
        <w:pStyle w:val="2"/>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highlight w:val="none"/>
        </w:rPr>
      </w:pPr>
      <w:r>
        <w:rPr>
          <w:rFonts w:hint="eastAsia" w:ascii="黑体" w:hAnsi="黑体"/>
          <w:b w:val="0"/>
          <w:sz w:val="32"/>
          <w:szCs w:val="32"/>
          <w:highlight w:val="none"/>
          <w:lang w:val="en-US" w:eastAsia="zh-CN"/>
        </w:rPr>
        <w:t>七</w:t>
      </w:r>
      <w:r>
        <w:rPr>
          <w:rFonts w:hint="eastAsia" w:ascii="黑体" w:hAnsi="黑体"/>
          <w:b w:val="0"/>
          <w:sz w:val="32"/>
          <w:szCs w:val="32"/>
          <w:highlight w:val="none"/>
        </w:rPr>
        <w:t>、附表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highlight w:val="none"/>
        </w:rPr>
      </w:pPr>
      <w:r>
        <w:rPr>
          <w:rFonts w:hint="eastAsia" w:ascii="仿宋_GB2312" w:eastAsia="仿宋_GB2312"/>
          <w:sz w:val="32"/>
          <w:szCs w:val="32"/>
          <w:highlight w:val="none"/>
        </w:rPr>
        <w:t>《部门整体支出绩效目标自评表》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highlight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5A7F3E"/>
    <w:multiLevelType w:val="singleLevel"/>
    <w:tmpl w:val="D35A7F3E"/>
    <w:lvl w:ilvl="0" w:tentative="0">
      <w:start w:val="2"/>
      <w:numFmt w:val="chineseCounting"/>
      <w:suff w:val="nothing"/>
      <w:lvlText w:val="（%1）"/>
      <w:lvlJc w:val="left"/>
      <w:rPr>
        <w:rFonts w:hint="eastAsia"/>
      </w:rPr>
    </w:lvl>
  </w:abstractNum>
  <w:abstractNum w:abstractNumId="1">
    <w:nsid w:val="EFFE516D"/>
    <w:multiLevelType w:val="singleLevel"/>
    <w:tmpl w:val="EFFE516D"/>
    <w:lvl w:ilvl="0" w:tentative="0">
      <w:start w:val="2"/>
      <w:numFmt w:val="chineseCounting"/>
      <w:suff w:val="nothing"/>
      <w:lvlText w:val="（%1）"/>
      <w:lvlJc w:val="left"/>
      <w:rPr>
        <w:rFonts w:hint="eastAsia"/>
      </w:rPr>
    </w:lvl>
  </w:abstractNum>
  <w:abstractNum w:abstractNumId="2">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3">
    <w:nsid w:val="3F3F91C3"/>
    <w:multiLevelType w:val="singleLevel"/>
    <w:tmpl w:val="3F3F91C3"/>
    <w:lvl w:ilvl="0" w:tentative="0">
      <w:start w:val="4"/>
      <w:numFmt w:val="chineseCounting"/>
      <w:suff w:val="nothing"/>
      <w:lvlText w:val="%1、"/>
      <w:lvlJc w:val="left"/>
      <w:rPr>
        <w:rFonts w:hint="eastAsia"/>
      </w:rPr>
    </w:lvl>
  </w:abstractNum>
  <w:abstractNum w:abstractNumId="4">
    <w:nsid w:val="622ADB77"/>
    <w:multiLevelType w:val="singleLevel"/>
    <w:tmpl w:val="622ADB77"/>
    <w:lvl w:ilvl="0" w:tentative="0">
      <w:start w:val="1"/>
      <w:numFmt w:val="chineseCounting"/>
      <w:suff w:val="nothing"/>
      <w:lvlText w:val="（%1）"/>
      <w:lvlJc w:val="left"/>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CF1400"/>
    <w:rsid w:val="00D2747D"/>
    <w:rsid w:val="00D34758"/>
    <w:rsid w:val="00D81057"/>
    <w:rsid w:val="00D816FD"/>
    <w:rsid w:val="00D8792A"/>
    <w:rsid w:val="00DB3723"/>
    <w:rsid w:val="00DC7874"/>
    <w:rsid w:val="00E122EB"/>
    <w:rsid w:val="00E65EF1"/>
    <w:rsid w:val="00E76F6F"/>
    <w:rsid w:val="00EA0F2D"/>
    <w:rsid w:val="00FD4A54"/>
    <w:rsid w:val="012D3D63"/>
    <w:rsid w:val="01330A6C"/>
    <w:rsid w:val="01487A18"/>
    <w:rsid w:val="01720865"/>
    <w:rsid w:val="0189003F"/>
    <w:rsid w:val="01C42D66"/>
    <w:rsid w:val="02C15BF6"/>
    <w:rsid w:val="03673532"/>
    <w:rsid w:val="0379691F"/>
    <w:rsid w:val="03BE7262"/>
    <w:rsid w:val="04313FCA"/>
    <w:rsid w:val="046072C6"/>
    <w:rsid w:val="048C34B8"/>
    <w:rsid w:val="04993586"/>
    <w:rsid w:val="049D20FD"/>
    <w:rsid w:val="04C42719"/>
    <w:rsid w:val="04DF6C0B"/>
    <w:rsid w:val="04ED5E2F"/>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4635B9"/>
    <w:rsid w:val="0B6C582B"/>
    <w:rsid w:val="0B735A1E"/>
    <w:rsid w:val="0B927CE4"/>
    <w:rsid w:val="0BB6664C"/>
    <w:rsid w:val="0BCC05A7"/>
    <w:rsid w:val="0C1D3D6A"/>
    <w:rsid w:val="0C8959A0"/>
    <w:rsid w:val="0C9B591B"/>
    <w:rsid w:val="0CC024A2"/>
    <w:rsid w:val="0CDD02FC"/>
    <w:rsid w:val="0CE67E95"/>
    <w:rsid w:val="0D2C01B6"/>
    <w:rsid w:val="0D5973A7"/>
    <w:rsid w:val="0D703DA4"/>
    <w:rsid w:val="0D706869"/>
    <w:rsid w:val="0D7C06D5"/>
    <w:rsid w:val="0D7C2CF2"/>
    <w:rsid w:val="0DCF0D6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2160F32"/>
    <w:rsid w:val="129C5FBF"/>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8142FD5"/>
    <w:rsid w:val="18647115"/>
    <w:rsid w:val="187B711C"/>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1226AB"/>
    <w:rsid w:val="1C3C0819"/>
    <w:rsid w:val="1C5A6A79"/>
    <w:rsid w:val="1C603202"/>
    <w:rsid w:val="1C733C2F"/>
    <w:rsid w:val="1C9A0200"/>
    <w:rsid w:val="1CCE5055"/>
    <w:rsid w:val="1CD529D6"/>
    <w:rsid w:val="1DAC3300"/>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8738BE"/>
    <w:rsid w:val="21B21339"/>
    <w:rsid w:val="21BF20AD"/>
    <w:rsid w:val="21C43928"/>
    <w:rsid w:val="21F330F9"/>
    <w:rsid w:val="22235E02"/>
    <w:rsid w:val="228C2437"/>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123B3"/>
    <w:rsid w:val="26C301BC"/>
    <w:rsid w:val="26D424C1"/>
    <w:rsid w:val="26E81C8F"/>
    <w:rsid w:val="26F02D0C"/>
    <w:rsid w:val="26FD226B"/>
    <w:rsid w:val="27006B49"/>
    <w:rsid w:val="27367DFA"/>
    <w:rsid w:val="273C2CA3"/>
    <w:rsid w:val="273FB1AE"/>
    <w:rsid w:val="2766623F"/>
    <w:rsid w:val="277371F3"/>
    <w:rsid w:val="278E79B1"/>
    <w:rsid w:val="27C51152"/>
    <w:rsid w:val="280447C3"/>
    <w:rsid w:val="284171EC"/>
    <w:rsid w:val="286B4689"/>
    <w:rsid w:val="289F2164"/>
    <w:rsid w:val="28B60026"/>
    <w:rsid w:val="29350CD3"/>
    <w:rsid w:val="29784CA5"/>
    <w:rsid w:val="29B80C93"/>
    <w:rsid w:val="29BB20D2"/>
    <w:rsid w:val="29D44C7C"/>
    <w:rsid w:val="29F33C34"/>
    <w:rsid w:val="2A380298"/>
    <w:rsid w:val="2A7B46E1"/>
    <w:rsid w:val="2A886FA9"/>
    <w:rsid w:val="2AC64A60"/>
    <w:rsid w:val="2C085CD5"/>
    <w:rsid w:val="2C5033C5"/>
    <w:rsid w:val="2C5C6A3E"/>
    <w:rsid w:val="2C757BAF"/>
    <w:rsid w:val="2C8606C5"/>
    <w:rsid w:val="2C8C2E69"/>
    <w:rsid w:val="2C974E3D"/>
    <w:rsid w:val="2D07338F"/>
    <w:rsid w:val="2DB93477"/>
    <w:rsid w:val="2DF65048"/>
    <w:rsid w:val="2E165B2D"/>
    <w:rsid w:val="2E9C69DA"/>
    <w:rsid w:val="2E9F38F4"/>
    <w:rsid w:val="2EE84ED3"/>
    <w:rsid w:val="2F047E61"/>
    <w:rsid w:val="2F062134"/>
    <w:rsid w:val="2F21289E"/>
    <w:rsid w:val="2F8507EF"/>
    <w:rsid w:val="2F912F13"/>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4900"/>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1D07BC"/>
    <w:rsid w:val="3B447872"/>
    <w:rsid w:val="3B474B41"/>
    <w:rsid w:val="3B8D4322"/>
    <w:rsid w:val="3B9508B7"/>
    <w:rsid w:val="3B970CFD"/>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3826A74"/>
    <w:rsid w:val="4389139C"/>
    <w:rsid w:val="43B22635"/>
    <w:rsid w:val="43DC59FD"/>
    <w:rsid w:val="43E60E5E"/>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751144"/>
    <w:rsid w:val="46D17A2C"/>
    <w:rsid w:val="46DF10C1"/>
    <w:rsid w:val="470109B9"/>
    <w:rsid w:val="47067546"/>
    <w:rsid w:val="474801E9"/>
    <w:rsid w:val="477232C8"/>
    <w:rsid w:val="478C46CC"/>
    <w:rsid w:val="47AF67A7"/>
    <w:rsid w:val="47B339B4"/>
    <w:rsid w:val="47CB1091"/>
    <w:rsid w:val="48035F02"/>
    <w:rsid w:val="4860434A"/>
    <w:rsid w:val="48D908C8"/>
    <w:rsid w:val="490010A1"/>
    <w:rsid w:val="493537CF"/>
    <w:rsid w:val="49460D45"/>
    <w:rsid w:val="4A74195A"/>
    <w:rsid w:val="4A7A3D76"/>
    <w:rsid w:val="4A8B6AB4"/>
    <w:rsid w:val="4A9F3033"/>
    <w:rsid w:val="4AAE190E"/>
    <w:rsid w:val="4AC815A7"/>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02568"/>
    <w:rsid w:val="4E3E44C6"/>
    <w:rsid w:val="4E9D6C5F"/>
    <w:rsid w:val="4ED065C7"/>
    <w:rsid w:val="4ED60D0E"/>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A6EF6"/>
    <w:rsid w:val="52FD6971"/>
    <w:rsid w:val="53223E56"/>
    <w:rsid w:val="53275AB8"/>
    <w:rsid w:val="537450D3"/>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4300"/>
    <w:rsid w:val="596F52DD"/>
    <w:rsid w:val="59783883"/>
    <w:rsid w:val="59BE14BB"/>
    <w:rsid w:val="59E91E58"/>
    <w:rsid w:val="5A0207F8"/>
    <w:rsid w:val="5A0F7C73"/>
    <w:rsid w:val="5A100CE1"/>
    <w:rsid w:val="5A1256F7"/>
    <w:rsid w:val="5A132397"/>
    <w:rsid w:val="5A2E42CD"/>
    <w:rsid w:val="5A7F37F9"/>
    <w:rsid w:val="5A837878"/>
    <w:rsid w:val="5A9E7D61"/>
    <w:rsid w:val="5AB5421F"/>
    <w:rsid w:val="5AD5621D"/>
    <w:rsid w:val="5AFB5B71"/>
    <w:rsid w:val="5B0C31BE"/>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8D35FB"/>
    <w:rsid w:val="5FCC33D8"/>
    <w:rsid w:val="5FFFCD3B"/>
    <w:rsid w:val="60033350"/>
    <w:rsid w:val="602266C7"/>
    <w:rsid w:val="603B7C36"/>
    <w:rsid w:val="60534AA3"/>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4E93E28"/>
    <w:rsid w:val="652B7127"/>
    <w:rsid w:val="656B579F"/>
    <w:rsid w:val="656E592B"/>
    <w:rsid w:val="65A165E9"/>
    <w:rsid w:val="65C14A06"/>
    <w:rsid w:val="65C15488"/>
    <w:rsid w:val="65FF5BB2"/>
    <w:rsid w:val="660D76B4"/>
    <w:rsid w:val="667136F9"/>
    <w:rsid w:val="66841ED9"/>
    <w:rsid w:val="66B24A2C"/>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4F6B1D"/>
    <w:rsid w:val="6F6A53B1"/>
    <w:rsid w:val="6FC83C68"/>
    <w:rsid w:val="6FCE226C"/>
    <w:rsid w:val="6FE0165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9E36F7"/>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2">
    <w:name w:val="heading 1"/>
    <w:basedOn w:val="1"/>
    <w:next w:val="1"/>
    <w:qFormat/>
    <w:uiPriority w:val="0"/>
    <w:pPr>
      <w:keepNext/>
      <w:keepLines/>
      <w:jc w:val="left"/>
      <w:outlineLvl w:val="0"/>
    </w:pPr>
    <w:rPr>
      <w:rFonts w:ascii="宋体" w:hAnsi="宋体" w:eastAsia="黑体"/>
      <w:b/>
      <w:bCs/>
      <w:kern w:val="44"/>
      <w:szCs w:val="44"/>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4">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1425</Words>
  <Characters>8128</Characters>
  <Lines>67</Lines>
  <Paragraphs>19</Paragraphs>
  <TotalTime>31</TotalTime>
  <ScaleCrop>false</ScaleCrop>
  <LinksUpToDate>false</LinksUpToDate>
  <CharactersWithSpaces>9534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2025-10-23T04:44:59Z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6F8204887D6308FE9CA7B7650F36CEED_42</vt:lpwstr>
  </property>
</Properties>
</file>