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ascii="黑体" w:hAnsi="黑体" w:eastAsia="黑体"/>
          <w:color w:val="auto"/>
          <w:sz w:val="32"/>
          <w:szCs w:val="32"/>
          <w:highlight w:val="none"/>
        </w:rPr>
      </w:pPr>
    </w:p>
    <w:p>
      <w:pPr>
        <w:keepNext w:val="0"/>
        <w:keepLines w:val="0"/>
        <w:pageBreakBefore w:val="0"/>
        <w:widowControl w:val="0"/>
        <w:kinsoku/>
        <w:wordWrap/>
        <w:overflowPunct/>
        <w:topLinePunct w:val="0"/>
        <w:bidi w:val="0"/>
        <w:adjustRightInd/>
        <w:snapToGrid/>
        <w:spacing w:line="240" w:lineRule="auto"/>
        <w:ind w:firstLine="880" w:firstLineChars="200"/>
        <w:jc w:val="both"/>
        <w:textAlignment w:val="auto"/>
        <w:rPr>
          <w:rFonts w:hint="eastAsia" w:ascii="方正小标宋_GBK" w:hAnsi="宋体" w:eastAsia="方正小标宋_GBK"/>
          <w:color w:val="auto"/>
          <w:sz w:val="44"/>
          <w:szCs w:val="44"/>
          <w:highlight w:val="none"/>
        </w:rPr>
      </w:pPr>
    </w:p>
    <w:p>
      <w:pPr>
        <w:keepNext w:val="0"/>
        <w:keepLines w:val="0"/>
        <w:pageBreakBefore w:val="0"/>
        <w:widowControl w:val="0"/>
        <w:kinsoku/>
        <w:wordWrap/>
        <w:overflowPunct/>
        <w:topLinePunct w:val="0"/>
        <w:bidi w:val="0"/>
        <w:adjustRightInd/>
        <w:snapToGrid/>
        <w:spacing w:line="240" w:lineRule="auto"/>
        <w:ind w:firstLine="880" w:firstLineChars="200"/>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lang w:val="en-US" w:eastAsia="zh-CN"/>
        </w:rPr>
        <w:t>裕民县新地乡卫生院</w:t>
      </w:r>
      <w:r>
        <w:rPr>
          <w:rFonts w:hint="eastAsia" w:ascii="方正小标宋_GBK" w:hAnsi="宋体" w:eastAsia="方正小标宋_GBK"/>
          <w:color w:val="auto"/>
          <w:sz w:val="44"/>
          <w:szCs w:val="44"/>
          <w:highlight w:val="none"/>
          <w:lang w:eastAsia="zh-CN"/>
        </w:rPr>
        <w:t>2023年度</w:t>
      </w:r>
      <w:r>
        <w:rPr>
          <w:rFonts w:hint="eastAsia" w:ascii="方正小标宋_GBK" w:hAnsi="宋体" w:eastAsia="方正小标宋_GBK"/>
          <w:color w:val="auto"/>
          <w:sz w:val="44"/>
          <w:szCs w:val="44"/>
          <w:highlight w:val="none"/>
        </w:rPr>
        <w:t>部门</w:t>
      </w:r>
    </w:p>
    <w:p>
      <w:pPr>
        <w:keepNext w:val="0"/>
        <w:keepLines w:val="0"/>
        <w:pageBreakBefore w:val="0"/>
        <w:widowControl w:val="0"/>
        <w:kinsoku/>
        <w:wordWrap/>
        <w:overflowPunct/>
        <w:topLinePunct w:val="0"/>
        <w:bidi w:val="0"/>
        <w:adjustRightInd/>
        <w:snapToGrid/>
        <w:spacing w:line="240" w:lineRule="auto"/>
        <w:ind w:firstLine="880" w:firstLineChars="200"/>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t>决算公开说明</w:t>
      </w:r>
    </w:p>
    <w:p>
      <w:pPr>
        <w:keepNext w:val="0"/>
        <w:keepLines w:val="0"/>
        <w:pageBreakBefore w:val="0"/>
        <w:kinsoku/>
        <w:wordWrap/>
        <w:overflowPunct/>
        <w:topLinePunct w:val="0"/>
        <w:bidi w:val="0"/>
        <w:adjustRightInd/>
        <w:snapToGrid/>
        <w:spacing w:line="240" w:lineRule="auto"/>
        <w:ind w:firstLine="880" w:firstLineChars="200"/>
        <w:jc w:val="both"/>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left="0" w:leftChars="0" w:firstLine="723" w:firstLineChars="200"/>
        <w:jc w:val="both"/>
        <w:textAlignment w:val="auto"/>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bCs w:val="0"/>
          <w:color w:val="auto"/>
          <w:kern w:val="0"/>
          <w:sz w:val="36"/>
          <w:szCs w:val="36"/>
          <w:highlight w:val="none"/>
        </w:rPr>
        <w:t>目  录</w:t>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"1-3" \n  \h \u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_Toc32314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 xml:space="preserve">第一部分 </w:t>
      </w:r>
      <w:r>
        <w:rPr>
          <w:rFonts w:hint="eastAsia" w:ascii="仿宋_GB2312" w:hAnsi="仿宋_GB2312" w:eastAsia="仿宋_GB2312" w:cs="仿宋_GB2312"/>
          <w:b/>
          <w:bCs/>
          <w:color w:val="auto"/>
          <w:sz w:val="32"/>
          <w:szCs w:val="32"/>
          <w:highlight w:val="none"/>
          <w:lang w:eastAsia="zh-CN"/>
        </w:rPr>
        <w:t>单位</w:t>
      </w:r>
      <w:r>
        <w:rPr>
          <w:rFonts w:hint="eastAsia" w:ascii="仿宋_GB2312" w:hAnsi="仿宋_GB2312" w:eastAsia="仿宋_GB2312" w:cs="仿宋_GB2312"/>
          <w:b/>
          <w:bCs/>
          <w:color w:val="auto"/>
          <w:sz w:val="32"/>
          <w:szCs w:val="32"/>
          <w:highlight w:val="none"/>
        </w:rPr>
        <w:t>概况</w:t>
      </w:r>
      <w:r>
        <w:rPr>
          <w:rFonts w:hint="eastAsia" w:ascii="仿宋_GB2312" w:hAnsi="仿宋_GB2312" w:eastAsia="仿宋_GB2312" w:cs="仿宋_GB2312"/>
          <w:b/>
          <w:bCs/>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_Toc30567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一、主要职能</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二、机构设置</w:t>
      </w:r>
      <w:r>
        <w:rPr>
          <w:rFonts w:hint="eastAsia" w:ascii="仿宋_GB2312" w:hAnsi="仿宋_GB2312" w:eastAsia="仿宋_GB2312" w:cs="仿宋_GB2312"/>
          <w:bCs/>
          <w:color w:val="auto"/>
          <w:kern w:val="0"/>
          <w:sz w:val="32"/>
          <w:szCs w:val="32"/>
          <w:highlight w:val="none"/>
          <w:lang w:eastAsia="zh-CN"/>
        </w:rPr>
        <w:t>及人员</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3" w:firstLineChars="200"/>
        <w:jc w:val="both"/>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_Toc29374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第二部分 部门决算情况说明</w:t>
      </w:r>
      <w:r>
        <w:rPr>
          <w:rFonts w:hint="eastAsia" w:ascii="仿宋_GB2312" w:hAnsi="仿宋_GB2312" w:eastAsia="仿宋_GB2312" w:cs="仿宋_GB2312"/>
          <w:b/>
          <w:bCs/>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_Toc25314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一、收入支出决算总体情况说明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_Toc12142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二、</w:t>
      </w:r>
      <w:r>
        <w:rPr>
          <w:rFonts w:hint="eastAsia" w:ascii="仿宋_GB2312" w:hAnsi="仿宋_GB2312" w:eastAsia="仿宋_GB2312" w:cs="仿宋_GB2312"/>
          <w:bCs/>
          <w:color w:val="auto"/>
          <w:kern w:val="0"/>
          <w:sz w:val="32"/>
          <w:szCs w:val="32"/>
          <w:highlight w:val="none"/>
        </w:rPr>
        <w:t>收入</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_Toc13201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三、支出决算情况说明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_Toc26564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四、财政拨款收入支出决算总体情况说明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_Toc20360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五、一般公共预算财政拨款支出决算情况说明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_Toc30870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六、一般公共预算财政拨款基本支出决算情况说明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_Toc21518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七</w:t>
      </w:r>
      <w:r>
        <w:rPr>
          <w:rFonts w:hint="eastAsia" w:ascii="仿宋_GB2312" w:hAnsi="仿宋_GB2312" w:eastAsia="仿宋_GB2312" w:cs="仿宋_GB2312"/>
          <w:bCs/>
          <w:color w:val="auto"/>
          <w:kern w:val="0"/>
          <w:sz w:val="32"/>
          <w:szCs w:val="32"/>
          <w:highlight w:val="none"/>
        </w:rPr>
        <w:t>、</w:t>
      </w:r>
      <w:r>
        <w:rPr>
          <w:rFonts w:hint="eastAsia" w:ascii="仿宋_GB2312" w:hAnsi="仿宋_GB2312" w:eastAsia="仿宋_GB2312" w:cs="仿宋_GB2312"/>
          <w:bCs/>
          <w:color w:val="auto"/>
          <w:kern w:val="0"/>
          <w:sz w:val="32"/>
          <w:szCs w:val="32"/>
          <w:highlight w:val="none"/>
          <w:lang w:eastAsia="zh-CN"/>
        </w:rPr>
        <w:t>财政拨款</w:t>
      </w:r>
      <w:r>
        <w:rPr>
          <w:rFonts w:hint="eastAsia" w:ascii="仿宋_GB2312" w:hAnsi="仿宋_GB2312" w:eastAsia="仿宋_GB2312" w:cs="仿宋_GB2312"/>
          <w:bCs/>
          <w:color w:val="auto"/>
          <w:kern w:val="0"/>
          <w:sz w:val="32"/>
          <w:szCs w:val="32"/>
          <w:highlight w:val="none"/>
        </w:rPr>
        <w:t>“三公”经费支出</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lang w:eastAsia="zh-CN"/>
        </w:rPr>
        <w:t>政府性基金预算财政拨款收入支出决算情况说明</w:t>
      </w:r>
      <w:r>
        <w:rPr>
          <w:rFonts w:hint="eastAsia" w:ascii="仿宋_GB2312" w:hAnsi="仿宋_GB2312" w:eastAsia="仿宋_GB2312" w:cs="仿宋_GB2312"/>
          <w:color w:val="auto"/>
          <w:sz w:val="32"/>
          <w:szCs w:val="32"/>
          <w:highlight w:val="none"/>
        </w:rPr>
        <w:fldChar w:fldCharType="end"/>
      </w:r>
    </w:p>
    <w:p>
      <w:pPr>
        <w:keepNext w:val="0"/>
        <w:keepLines w:val="0"/>
        <w:pageBreakBefore w:val="0"/>
        <w:kinsoku/>
        <w:wordWrap/>
        <w:overflowPunct/>
        <w:topLinePunct w:val="0"/>
        <w:bidi w:val="0"/>
        <w:adjustRightInd/>
        <w:snapToGrid/>
        <w:spacing w:line="240" w:lineRule="auto"/>
        <w:ind w:firstLine="640" w:firstLineChars="200"/>
        <w:jc w:val="both"/>
        <w:textAlignment w:val="auto"/>
        <w:rPr>
          <w:rFonts w:hint="eastAsia"/>
          <w:color w:val="auto"/>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、国有资本经营预算财政拨款收入支出决算情况说明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_Toc1235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十</w:t>
      </w:r>
      <w:r>
        <w:rPr>
          <w:rFonts w:hint="eastAsia" w:ascii="仿宋_GB2312" w:hAnsi="仿宋_GB2312" w:eastAsia="仿宋_GB2312" w:cs="仿宋_GB2312"/>
          <w:bCs/>
          <w:color w:val="auto"/>
          <w:kern w:val="0"/>
          <w:sz w:val="32"/>
          <w:szCs w:val="32"/>
          <w:highlight w:val="none"/>
        </w:rPr>
        <w:t>、其他重要事项的情况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4"/>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_Toc14519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机关运行经费支出情况</w:t>
      </w:r>
      <w:r>
        <w:rPr>
          <w:rFonts w:hint="eastAsia" w:ascii="仿宋_GB2312" w:hAnsi="仿宋_GB2312" w:eastAsia="仿宋_GB2312" w:cs="仿宋_GB2312"/>
          <w:color w:val="auto"/>
          <w:sz w:val="32"/>
          <w:szCs w:val="32"/>
          <w:highlight w:val="none"/>
        </w:rPr>
        <w:fldChar w:fldCharType="end"/>
      </w:r>
    </w:p>
    <w:p>
      <w:pPr>
        <w:pStyle w:val="4"/>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_Toc227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（二）政府采购情况</w:t>
      </w:r>
      <w:r>
        <w:rPr>
          <w:rFonts w:hint="eastAsia" w:ascii="仿宋_GB2312" w:hAnsi="仿宋_GB2312" w:eastAsia="仿宋_GB2312" w:cs="仿宋_GB2312"/>
          <w:color w:val="auto"/>
          <w:sz w:val="32"/>
          <w:szCs w:val="32"/>
          <w:highlight w:val="none"/>
        </w:rPr>
        <w:fldChar w:fldCharType="end"/>
      </w:r>
    </w:p>
    <w:p>
      <w:pPr>
        <w:pStyle w:val="4"/>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_Toc8391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（三）国有资产占用情况说明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_Toc11283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十</w:t>
      </w:r>
      <w:r>
        <w:rPr>
          <w:rFonts w:hint="eastAsia" w:ascii="仿宋_GB2312" w:hAnsi="仿宋_GB2312" w:eastAsia="仿宋_GB2312" w:cs="仿宋_GB2312"/>
          <w:bCs/>
          <w:color w:val="auto"/>
          <w:kern w:val="0"/>
          <w:sz w:val="32"/>
          <w:szCs w:val="32"/>
          <w:highlight w:val="none"/>
          <w:lang w:val="en-US" w:eastAsia="zh-CN"/>
        </w:rPr>
        <w:t>一</w:t>
      </w:r>
      <w:r>
        <w:rPr>
          <w:rFonts w:hint="eastAsia" w:ascii="仿宋_GB2312" w:hAnsi="仿宋_GB2312" w:eastAsia="仿宋_GB2312" w:cs="仿宋_GB2312"/>
          <w:bCs/>
          <w:color w:val="auto"/>
          <w:kern w:val="0"/>
          <w:sz w:val="32"/>
          <w:szCs w:val="32"/>
          <w:highlight w:val="none"/>
          <w:lang w:eastAsia="zh-CN"/>
        </w:rPr>
        <w:t>、预算绩效的情况说明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十二、其他需说明的事项</w:t>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3" w:firstLineChars="200"/>
        <w:jc w:val="both"/>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_Toc3250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第三部分 专业名词解释</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3" w:firstLineChars="200"/>
        <w:jc w:val="both"/>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_Toc22784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第四部分 部门决算报表（见附表）</w:t>
      </w:r>
      <w:r>
        <w:rPr>
          <w:rFonts w:hint="eastAsia" w:ascii="仿宋_GB2312" w:hAnsi="仿宋_GB2312" w:eastAsia="仿宋_GB2312" w:cs="仿宋_GB2312"/>
          <w:b/>
          <w:bCs/>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_Toc24532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二、《收入决算表》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_Toc32434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三、《支出决算表》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_Toc28786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四、《财政拨款收入支出决算总表》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_Toc14869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五、《一般公共预算财政拨款支出决算表》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_Toc8884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六、《一般公共预算财政拨款基本支出决算表》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_Toc29106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七、《财政拨款“三公”经费支出决算表》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color w:val="auto"/>
          <w:kern w:val="0"/>
          <w:sz w:val="32"/>
          <w:szCs w:val="32"/>
          <w:highlight w:val="none"/>
        </w:rPr>
        <w:instrText xml:space="preserve"> HYPERLINK \l _Toc7643 </w:instrText>
      </w:r>
      <w:r>
        <w:rPr>
          <w:rFonts w:hint="eastAsia" w:ascii="仿宋_GB2312" w:hAnsi="仿宋_GB2312" w:eastAsia="仿宋_GB2312" w:cs="仿宋_GB2312"/>
          <w:bCs/>
          <w:color w:val="auto"/>
          <w:kern w:val="0"/>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rPr>
        <w:t>《政府性基金预算财政拨款收入支出决算表》</w:t>
      </w:r>
      <w:r>
        <w:rPr>
          <w:rFonts w:hint="eastAsia" w:ascii="仿宋_GB2312" w:hAnsi="仿宋_GB2312" w:eastAsia="仿宋_GB2312" w:cs="仿宋_GB2312"/>
          <w:bCs/>
          <w:color w:val="auto"/>
          <w:kern w:val="0"/>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bCs/>
          <w:color w:val="auto"/>
          <w:kern w:val="0"/>
          <w:sz w:val="32"/>
          <w:szCs w:val="32"/>
          <w:highlight w:val="none"/>
          <w:lang w:eastAsia="zh-CN"/>
        </w:rPr>
      </w:pP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w:t>
      </w:r>
      <w:r>
        <w:rPr>
          <w:rFonts w:hint="eastAsia" w:ascii="仿宋_GB2312" w:hAnsi="仿宋_GB2312" w:eastAsia="仿宋_GB2312" w:cs="仿宋_GB2312"/>
          <w:bCs/>
          <w:color w:val="auto"/>
          <w:kern w:val="0"/>
          <w:sz w:val="32"/>
          <w:szCs w:val="32"/>
          <w:highlight w:val="none"/>
        </w:rPr>
        <w:t>预算财政拨款收入支出决算表</w:t>
      </w:r>
      <w:r>
        <w:rPr>
          <w:rFonts w:hint="eastAsia" w:ascii="仿宋_GB2312" w:hAnsi="仿宋_GB2312" w:eastAsia="仿宋_GB2312" w:cs="仿宋_GB2312"/>
          <w:bCs/>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left="0" w:leftChars="0" w:firstLine="640" w:firstLineChars="200"/>
        <w:jc w:val="both"/>
        <w:textAlignment w:val="auto"/>
        <w:rPr>
          <w:color w:val="auto"/>
          <w:highlight w:val="none"/>
        </w:rPr>
      </w:pPr>
      <w:r>
        <w:rPr>
          <w:rFonts w:hint="eastAsia" w:ascii="仿宋_GB2312" w:hAnsi="仿宋_GB2312" w:eastAsia="仿宋_GB2312" w:cs="仿宋_GB2312"/>
          <w:color w:val="auto"/>
          <w:sz w:val="32"/>
          <w:szCs w:val="32"/>
          <w:highlight w:val="none"/>
        </w:rPr>
        <w:fldChar w:fldCharType="end"/>
      </w:r>
    </w:p>
    <w:p>
      <w:pPr>
        <w:keepNext w:val="0"/>
        <w:keepLines w:val="0"/>
        <w:pageBreakBefore w:val="0"/>
        <w:kinsoku/>
        <w:wordWrap/>
        <w:overflowPunct/>
        <w:topLinePunct w:val="0"/>
        <w:bidi w:val="0"/>
        <w:adjustRightInd/>
        <w:snapToGrid/>
        <w:spacing w:line="240" w:lineRule="auto"/>
        <w:ind w:firstLine="640" w:firstLineChars="200"/>
        <w:jc w:val="both"/>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sz w:val="32"/>
          <w:szCs w:val="32"/>
          <w:highlight w:val="none"/>
        </w:rPr>
      </w:pPr>
      <w:bookmarkStart w:id="0" w:name="_Toc24028"/>
      <w:bookmarkStart w:id="1" w:name="_Toc32314"/>
      <w:r>
        <w:rPr>
          <w:rFonts w:hint="eastAsia" w:ascii="黑体" w:hAnsi="黑体" w:eastAsia="黑体"/>
          <w:color w:val="auto"/>
          <w:sz w:val="32"/>
          <w:szCs w:val="32"/>
          <w:highlight w:val="none"/>
        </w:rPr>
        <w:t>第一部分</w:t>
      </w:r>
      <w:bookmarkEnd w:id="0"/>
      <w:bookmarkEnd w:id="1"/>
      <w:r>
        <w:rPr>
          <w:rFonts w:hint="eastAsia" w:ascii="黑体" w:hAnsi="黑体" w:eastAsia="黑体"/>
          <w:color w:val="auto"/>
          <w:sz w:val="32"/>
          <w:szCs w:val="32"/>
          <w:highlight w:val="none"/>
          <w:lang w:val="en-US" w:eastAsia="zh-CN"/>
        </w:rPr>
        <w:t xml:space="preserve"> </w:t>
      </w:r>
      <w:r>
        <w:rPr>
          <w:rFonts w:hint="eastAsia" w:ascii="黑体" w:hAnsi="黑体" w:eastAsia="黑体"/>
          <w:sz w:val="32"/>
          <w:szCs w:val="32"/>
          <w:highlight w:val="none"/>
        </w:rPr>
        <w:t>单位概况</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ascii="黑体" w:hAnsi="黑体" w:eastAsia="黑体" w:cs="宋体"/>
          <w:bCs/>
          <w:color w:val="auto"/>
          <w:kern w:val="0"/>
          <w:sz w:val="32"/>
          <w:szCs w:val="32"/>
          <w:highlight w:val="none"/>
        </w:rPr>
      </w:pPr>
      <w:bookmarkStart w:id="2" w:name="_Toc30738"/>
      <w:bookmarkStart w:id="3" w:name="_Toc30567"/>
      <w:r>
        <w:rPr>
          <w:rFonts w:hint="eastAsia" w:ascii="黑体" w:hAnsi="黑体" w:eastAsia="黑体" w:cs="宋体"/>
          <w:bCs/>
          <w:color w:val="auto"/>
          <w:kern w:val="0"/>
          <w:sz w:val="32"/>
          <w:szCs w:val="32"/>
          <w:highlight w:val="none"/>
        </w:rPr>
        <w:t>一、主要职能</w:t>
      </w:r>
      <w:bookmarkEnd w:id="2"/>
      <w:bookmarkEnd w:id="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sz w:val="32"/>
          <w:szCs w:val="32"/>
          <w:highlight w:val="none"/>
        </w:rPr>
      </w:pPr>
      <w:bookmarkStart w:id="4" w:name="_Toc31238"/>
      <w:bookmarkStart w:id="5" w:name="_Toc2151"/>
      <w:r>
        <w:rPr>
          <w:rFonts w:hint="eastAsia" w:ascii="仿宋_GB2312" w:eastAsia="仿宋_GB2312"/>
          <w:sz w:val="32"/>
          <w:szCs w:val="32"/>
          <w:highlight w:val="none"/>
          <w:lang w:eastAsia="zh-CN"/>
        </w:rPr>
        <w:t>（</w:t>
      </w:r>
      <w:r>
        <w:rPr>
          <w:rFonts w:hint="eastAsia" w:ascii="仿宋_GB2312" w:eastAsia="仿宋_GB2312"/>
          <w:sz w:val="32"/>
          <w:szCs w:val="32"/>
          <w:highlight w:val="none"/>
          <w:lang w:val="en-US" w:eastAsia="zh-CN"/>
        </w:rPr>
        <w:t>一</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宣传贯彻党和政府的各项医疗卫生方针政策，协助政府实施农村医改工作，提供基本医疗服务，开展农村常见病、多发病以及诊断明确的慢性非传染性疾病的诊疗、护理。贯彻落实国家基本药物制度，乡镇卫生院全部配备、使用基本药物;实行网上统一采购、统一配送的基本药物采购机制;实施基本药物零差率销售。</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sz w:val="32"/>
          <w:szCs w:val="32"/>
          <w:highlight w:val="none"/>
        </w:rPr>
      </w:pPr>
      <w:r>
        <w:rPr>
          <w:rFonts w:hint="eastAsia" w:ascii="仿宋_GB2312" w:eastAsia="仿宋_GB2312"/>
          <w:sz w:val="32"/>
          <w:szCs w:val="32"/>
          <w:highlight w:val="none"/>
          <w:lang w:eastAsia="zh-CN"/>
        </w:rPr>
        <w:t>（</w:t>
      </w:r>
      <w:r>
        <w:rPr>
          <w:rFonts w:hint="eastAsia" w:ascii="仿宋_GB2312" w:eastAsia="仿宋_GB2312"/>
          <w:sz w:val="32"/>
          <w:szCs w:val="32"/>
          <w:highlight w:val="none"/>
          <w:lang w:val="en-US" w:eastAsia="zh-CN"/>
        </w:rPr>
        <w:t>二</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协助开展突发公共卫生事件应急调查和处置工作，对所属行政村卫生室实行一体化管理，承担对村卫生室和乡村医生的业务管理和指导。协助做好城乡居民医疗保险工作。</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r>
        <w:rPr>
          <w:rFonts w:hint="eastAsia" w:ascii="黑体" w:hAnsi="黑体" w:eastAsia="黑体" w:cs="宋体"/>
          <w:bCs/>
          <w:color w:val="auto"/>
          <w:kern w:val="0"/>
          <w:sz w:val="32"/>
          <w:szCs w:val="32"/>
          <w:highlight w:val="none"/>
        </w:rPr>
        <w:t>二、机构设置</w:t>
      </w:r>
      <w:r>
        <w:rPr>
          <w:rFonts w:hint="eastAsia" w:ascii="黑体" w:hAnsi="黑体" w:eastAsia="黑体" w:cs="宋体"/>
          <w:bCs/>
          <w:color w:val="auto"/>
          <w:kern w:val="0"/>
          <w:sz w:val="32"/>
          <w:szCs w:val="32"/>
          <w:highlight w:val="none"/>
          <w:lang w:eastAsia="zh-CN"/>
        </w:rPr>
        <w:t>及</w:t>
      </w:r>
      <w:bookmarkEnd w:id="4"/>
      <w:r>
        <w:rPr>
          <w:rFonts w:hint="eastAsia" w:ascii="黑体" w:hAnsi="黑体" w:eastAsia="黑体" w:cs="宋体"/>
          <w:bCs/>
          <w:color w:val="auto"/>
          <w:kern w:val="0"/>
          <w:sz w:val="32"/>
          <w:szCs w:val="32"/>
          <w:highlight w:val="none"/>
          <w:lang w:eastAsia="zh-CN"/>
        </w:rPr>
        <w:t>人员</w:t>
      </w:r>
      <w:r>
        <w:rPr>
          <w:rFonts w:hint="eastAsia" w:ascii="黑体" w:hAnsi="黑体" w:eastAsia="黑体" w:cs="宋体"/>
          <w:bCs/>
          <w:color w:val="auto"/>
          <w:kern w:val="0"/>
          <w:sz w:val="32"/>
          <w:szCs w:val="32"/>
          <w:highlight w:val="none"/>
        </w:rPr>
        <w:t>情况</w:t>
      </w:r>
      <w:bookmarkEnd w:id="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hAnsi="仿宋_GB2312" w:eastAsia="仿宋_GB2312" w:cs="仿宋_GB2312"/>
          <w:b/>
          <w:color w:val="auto"/>
          <w:sz w:val="32"/>
          <w:szCs w:val="32"/>
          <w:highlight w:val="none"/>
        </w:rPr>
      </w:pPr>
      <w:r>
        <w:rPr>
          <w:rFonts w:hint="eastAsia" w:ascii="仿宋_GB2312" w:eastAsia="仿宋_GB2312"/>
          <w:color w:val="auto"/>
          <w:sz w:val="32"/>
          <w:szCs w:val="32"/>
          <w:highlight w:val="none"/>
          <w:lang w:val="en-US" w:eastAsia="zh-CN"/>
        </w:rPr>
        <w:t>裕民县新地乡卫生院</w:t>
      </w:r>
      <w:r>
        <w:rPr>
          <w:rFonts w:hint="eastAsia" w:ascii="仿宋_GB2312" w:eastAsia="仿宋_GB2312"/>
          <w:color w:val="auto"/>
          <w:sz w:val="32"/>
          <w:szCs w:val="32"/>
          <w:highlight w:val="none"/>
          <w:lang w:eastAsia="zh-CN"/>
        </w:rPr>
        <w:t>2023年度，</w:t>
      </w:r>
      <w:r>
        <w:rPr>
          <w:rFonts w:hint="eastAsia" w:ascii="仿宋_GB2312" w:eastAsia="仿宋_GB2312"/>
          <w:color w:val="auto"/>
          <w:sz w:val="32"/>
          <w:szCs w:val="32"/>
          <w:highlight w:val="none"/>
        </w:rPr>
        <w:t>实有人数</w:t>
      </w:r>
      <w:r>
        <w:rPr>
          <w:rFonts w:hint="eastAsia" w:ascii="仿宋_GB2312" w:eastAsia="仿宋_GB2312"/>
          <w:color w:val="auto"/>
          <w:sz w:val="32"/>
          <w:szCs w:val="32"/>
          <w:highlight w:val="none"/>
          <w:lang w:val="zh-CN" w:eastAsia="zh-CN"/>
        </w:rPr>
        <w:t>25</w:t>
      </w:r>
      <w:r>
        <w:rPr>
          <w:rFonts w:hint="eastAsia" w:ascii="仿宋_GB2312" w:eastAsia="仿宋_GB2312"/>
          <w:color w:val="auto"/>
          <w:sz w:val="32"/>
          <w:szCs w:val="32"/>
          <w:highlight w:val="none"/>
        </w:rPr>
        <w:t>人，其中：在职人员</w:t>
      </w:r>
      <w:r>
        <w:rPr>
          <w:rFonts w:hint="eastAsia" w:ascii="仿宋_GB2312" w:eastAsia="仿宋_GB2312"/>
          <w:color w:val="auto"/>
          <w:sz w:val="32"/>
          <w:szCs w:val="32"/>
          <w:highlight w:val="none"/>
          <w:lang w:val="zh-CN" w:eastAsia="zh-CN"/>
        </w:rPr>
        <w:t>21</w:t>
      </w:r>
      <w:r>
        <w:rPr>
          <w:rFonts w:hint="eastAsia" w:ascii="仿宋_GB2312" w:eastAsia="仿宋_GB2312"/>
          <w:color w:val="auto"/>
          <w:sz w:val="32"/>
          <w:szCs w:val="32"/>
          <w:highlight w:val="none"/>
        </w:rPr>
        <w:t>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离休人员</w:t>
      </w:r>
      <w:r>
        <w:rPr>
          <w:rFonts w:hint="eastAsia" w:ascii="仿宋_GB2312" w:eastAsia="仿宋_GB2312"/>
          <w:color w:val="auto"/>
          <w:sz w:val="32"/>
          <w:szCs w:val="32"/>
          <w:highlight w:val="none"/>
          <w:lang w:val="zh-CN" w:eastAsia="zh-CN"/>
        </w:rPr>
        <w:t>0</w:t>
      </w:r>
      <w:r>
        <w:rPr>
          <w:rFonts w:hint="eastAsia" w:ascii="仿宋_GB2312" w:eastAsia="仿宋_GB2312"/>
          <w:color w:val="auto"/>
          <w:sz w:val="32"/>
          <w:szCs w:val="32"/>
          <w:highlight w:val="none"/>
        </w:rPr>
        <w:t>人，退休人员</w:t>
      </w:r>
      <w:r>
        <w:rPr>
          <w:rFonts w:hint="eastAsia" w:ascii="仿宋_GB2312" w:eastAsia="仿宋_GB2312"/>
          <w:color w:val="auto"/>
          <w:sz w:val="32"/>
          <w:szCs w:val="32"/>
          <w:highlight w:val="none"/>
          <w:lang w:val="zh-CN" w:eastAsia="zh-CN"/>
        </w:rPr>
        <w:t>4</w:t>
      </w:r>
      <w:r>
        <w:rPr>
          <w:rFonts w:hint="eastAsia" w:ascii="仿宋_GB2312" w:eastAsia="仿宋_GB2312"/>
          <w:color w:val="auto"/>
          <w:sz w:val="32"/>
          <w:szCs w:val="32"/>
          <w:highlight w:val="none"/>
        </w:rPr>
        <w:t>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sz w:val="32"/>
          <w:szCs w:val="32"/>
          <w:highlight w:val="none"/>
          <w:lang w:eastAsia="zh-CN"/>
        </w:rPr>
      </w:pPr>
      <w:r>
        <w:rPr>
          <w:rFonts w:hint="eastAsia" w:ascii="仿宋_GB2312" w:eastAsia="仿宋_GB2312"/>
          <w:sz w:val="32"/>
          <w:szCs w:val="32"/>
          <w:highlight w:val="none"/>
          <w:lang w:eastAsia="zh-CN"/>
        </w:rPr>
        <w:t>单位无下属预算单位，下设11个处室，分别是：药房、中医馆、化验室、B超室、心电图室、防疫室、妇幼室、办公室、慢病科、注射室、财务室。</w:t>
      </w:r>
    </w:p>
    <w:p>
      <w:pPr>
        <w:pStyle w:val="2"/>
        <w:rPr>
          <w:rFonts w:hint="eastAsia" w:ascii="仿宋_GB2312" w:eastAsia="仿宋_GB2312"/>
          <w:sz w:val="32"/>
          <w:szCs w:val="32"/>
          <w:highlight w:val="none"/>
          <w:lang w:eastAsia="zh-CN"/>
        </w:rPr>
      </w:pPr>
    </w:p>
    <w:p>
      <w:pPr>
        <w:pStyle w:val="2"/>
        <w:rPr>
          <w:rFonts w:hint="eastAsia" w:ascii="仿宋_GB2312" w:eastAsia="仿宋_GB2312"/>
          <w:sz w:val="32"/>
          <w:szCs w:val="32"/>
          <w:highlight w:val="none"/>
          <w:lang w:eastAsia="zh-CN"/>
        </w:rPr>
      </w:pPr>
    </w:p>
    <w:p>
      <w:pPr>
        <w:rPr>
          <w:rFonts w:hint="eastAsia"/>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bookmarkStart w:id="6" w:name="_Toc3092"/>
      <w:bookmarkStart w:id="7" w:name="_Toc29374"/>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二</w:t>
      </w:r>
      <w:r>
        <w:rPr>
          <w:rFonts w:hint="eastAsia" w:ascii="黑体" w:hAnsi="黑体" w:eastAsia="黑体"/>
          <w:color w:val="auto"/>
          <w:sz w:val="32"/>
          <w:szCs w:val="32"/>
          <w:highlight w:val="none"/>
        </w:rPr>
        <w:t>部分 部门决算情况说明</w:t>
      </w:r>
      <w:bookmarkEnd w:id="6"/>
      <w:bookmarkEnd w:id="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8" w:name="_Toc12566"/>
      <w:bookmarkStart w:id="9" w:name="_Toc25314"/>
      <w:r>
        <w:rPr>
          <w:rFonts w:hint="eastAsia" w:ascii="黑体" w:hAnsi="黑体" w:eastAsia="黑体" w:cs="宋体"/>
          <w:bCs/>
          <w:color w:val="auto"/>
          <w:kern w:val="0"/>
          <w:sz w:val="32"/>
          <w:szCs w:val="32"/>
          <w:highlight w:val="none"/>
        </w:rPr>
        <w:t>一、收入支出决算总体情况说明</w:t>
      </w:r>
      <w:bookmarkEnd w:id="8"/>
      <w:bookmarkEnd w:id="9"/>
    </w:p>
    <w:p>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both"/>
        <w:textAlignment w:val="auto"/>
        <w:rPr>
          <w:rFonts w:hint="eastAsia" w:ascii="仿宋_GB2312" w:eastAsia="仿宋_GB2312"/>
          <w:color w:val="auto"/>
          <w:spacing w:val="0"/>
          <w:sz w:val="32"/>
          <w:szCs w:val="32"/>
          <w:highlight w:val="none"/>
          <w:lang w:eastAsia="zh-CN"/>
        </w:rPr>
      </w:pPr>
      <w:r>
        <w:rPr>
          <w:rFonts w:hint="eastAsia" w:ascii="仿宋_GB2312" w:eastAsia="仿宋_GB2312"/>
          <w:b/>
          <w:bCs/>
          <w:color w:val="auto"/>
          <w:spacing w:val="0"/>
          <w:sz w:val="32"/>
          <w:szCs w:val="32"/>
          <w:highlight w:val="none"/>
          <w:lang w:eastAsia="zh-CN"/>
        </w:rPr>
        <w:t>2023年度</w:t>
      </w:r>
      <w:r>
        <w:rPr>
          <w:rFonts w:hint="eastAsia" w:ascii="仿宋_GB2312" w:eastAsia="仿宋_GB2312"/>
          <w:b/>
          <w:bCs/>
          <w:color w:val="auto"/>
          <w:spacing w:val="0"/>
          <w:sz w:val="32"/>
          <w:szCs w:val="32"/>
          <w:highlight w:val="none"/>
          <w:lang w:val="en-US" w:eastAsia="zh-CN"/>
        </w:rPr>
        <w:t>收入总计</w:t>
      </w:r>
      <w:r>
        <w:rPr>
          <w:rFonts w:hint="eastAsia" w:ascii="仿宋_GB2312" w:eastAsia="仿宋_GB2312"/>
          <w:b/>
          <w:bCs/>
          <w:color w:val="auto"/>
          <w:spacing w:val="0"/>
          <w:sz w:val="32"/>
          <w:szCs w:val="32"/>
          <w:highlight w:val="none"/>
          <w:lang w:eastAsia="zh-CN"/>
        </w:rPr>
        <w:t>445.01万元，</w:t>
      </w:r>
      <w:r>
        <w:rPr>
          <w:rFonts w:hint="eastAsia" w:ascii="仿宋_GB2312" w:eastAsia="仿宋_GB2312"/>
          <w:color w:val="auto"/>
          <w:spacing w:val="0"/>
          <w:sz w:val="32"/>
          <w:szCs w:val="32"/>
          <w:highlight w:val="none"/>
          <w:lang w:val="en-US" w:eastAsia="zh-CN"/>
        </w:rPr>
        <w:t>其中：本年收入合计</w:t>
      </w:r>
      <w:r>
        <w:rPr>
          <w:rFonts w:hint="eastAsia" w:ascii="仿宋_GB2312" w:eastAsia="仿宋_GB2312"/>
          <w:color w:val="auto"/>
          <w:spacing w:val="0"/>
          <w:sz w:val="32"/>
          <w:szCs w:val="32"/>
          <w:highlight w:val="none"/>
          <w:lang w:eastAsia="zh-CN"/>
        </w:rPr>
        <w:t>433.52万元，使用非财政拨款结余0.00万元，年初结转和结余11.49万元。</w:t>
      </w:r>
    </w:p>
    <w:p>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both"/>
        <w:textAlignment w:val="auto"/>
        <w:rPr>
          <w:rFonts w:hint="eastAsia" w:ascii="仿宋_GB2312" w:eastAsia="仿宋_GB2312"/>
          <w:color w:val="auto"/>
          <w:spacing w:val="0"/>
          <w:sz w:val="32"/>
          <w:szCs w:val="32"/>
          <w:highlight w:val="none"/>
          <w:lang w:eastAsia="zh-CN"/>
        </w:rPr>
      </w:pPr>
      <w:r>
        <w:rPr>
          <w:rFonts w:hint="eastAsia" w:ascii="仿宋_GB2312" w:eastAsia="仿宋_GB2312"/>
          <w:b/>
          <w:bCs/>
          <w:color w:val="auto"/>
          <w:spacing w:val="0"/>
          <w:sz w:val="32"/>
          <w:szCs w:val="32"/>
          <w:highlight w:val="none"/>
          <w:lang w:val="en-US" w:eastAsia="zh-CN"/>
        </w:rPr>
        <w:t>2023</w:t>
      </w:r>
      <w:r>
        <w:rPr>
          <w:rFonts w:hint="eastAsia" w:ascii="仿宋_GB2312" w:eastAsia="仿宋_GB2312"/>
          <w:b/>
          <w:bCs/>
          <w:color w:val="auto"/>
          <w:spacing w:val="0"/>
          <w:sz w:val="32"/>
          <w:szCs w:val="32"/>
          <w:highlight w:val="none"/>
          <w:lang w:eastAsia="zh-CN"/>
        </w:rPr>
        <w:t>年</w:t>
      </w:r>
      <w:r>
        <w:rPr>
          <w:rFonts w:hint="eastAsia" w:ascii="仿宋_GB2312" w:eastAsia="仿宋_GB2312"/>
          <w:b/>
          <w:bCs/>
          <w:color w:val="auto"/>
          <w:spacing w:val="0"/>
          <w:sz w:val="32"/>
          <w:szCs w:val="32"/>
          <w:highlight w:val="none"/>
          <w:lang w:val="en-US" w:eastAsia="zh-CN"/>
        </w:rPr>
        <w:t>度</w:t>
      </w:r>
      <w:r>
        <w:rPr>
          <w:rFonts w:hint="eastAsia" w:ascii="仿宋_GB2312" w:eastAsia="仿宋_GB2312"/>
          <w:b/>
          <w:bCs/>
          <w:color w:val="auto"/>
          <w:spacing w:val="0"/>
          <w:sz w:val="32"/>
          <w:szCs w:val="32"/>
          <w:highlight w:val="none"/>
          <w:lang w:eastAsia="zh-CN"/>
        </w:rPr>
        <w:t>支出</w:t>
      </w:r>
      <w:r>
        <w:rPr>
          <w:rFonts w:hint="eastAsia" w:ascii="仿宋_GB2312" w:eastAsia="仿宋_GB2312"/>
          <w:b/>
          <w:bCs/>
          <w:color w:val="auto"/>
          <w:spacing w:val="0"/>
          <w:sz w:val="32"/>
          <w:szCs w:val="32"/>
          <w:highlight w:val="none"/>
          <w:lang w:val="en-US" w:eastAsia="zh-CN"/>
        </w:rPr>
        <w:t>总计</w:t>
      </w:r>
      <w:r>
        <w:rPr>
          <w:rFonts w:hint="eastAsia" w:ascii="仿宋_GB2312" w:eastAsia="仿宋_GB2312"/>
          <w:b/>
          <w:bCs/>
          <w:color w:val="auto"/>
          <w:spacing w:val="0"/>
          <w:sz w:val="32"/>
          <w:szCs w:val="32"/>
          <w:highlight w:val="none"/>
          <w:lang w:eastAsia="zh-CN"/>
        </w:rPr>
        <w:t>445.01万元，</w:t>
      </w:r>
      <w:r>
        <w:rPr>
          <w:rFonts w:hint="eastAsia" w:ascii="仿宋_GB2312" w:eastAsia="仿宋_GB2312"/>
          <w:color w:val="auto"/>
          <w:spacing w:val="0"/>
          <w:sz w:val="32"/>
          <w:szCs w:val="32"/>
          <w:highlight w:val="none"/>
          <w:lang w:val="en-US" w:eastAsia="zh-CN"/>
        </w:rPr>
        <w:t>其中：本年支出合计</w:t>
      </w:r>
      <w:r>
        <w:rPr>
          <w:rFonts w:hint="eastAsia" w:ascii="仿宋_GB2312" w:eastAsia="仿宋_GB2312"/>
          <w:color w:val="auto"/>
          <w:spacing w:val="0"/>
          <w:sz w:val="32"/>
          <w:szCs w:val="32"/>
          <w:highlight w:val="none"/>
          <w:lang w:eastAsia="zh-CN"/>
        </w:rPr>
        <w:t>419.50万元，</w:t>
      </w:r>
      <w:r>
        <w:rPr>
          <w:rFonts w:hint="eastAsia" w:ascii="仿宋_GB2312" w:eastAsia="仿宋_GB2312"/>
          <w:color w:val="auto"/>
          <w:spacing w:val="0"/>
          <w:sz w:val="32"/>
          <w:szCs w:val="32"/>
          <w:highlight w:val="none"/>
          <w:lang w:val="en-US" w:eastAsia="zh-CN"/>
        </w:rPr>
        <w:t>结余分配</w:t>
      </w:r>
      <w:r>
        <w:rPr>
          <w:rFonts w:hint="eastAsia" w:ascii="仿宋_GB2312" w:eastAsia="仿宋_GB2312"/>
          <w:color w:val="auto"/>
          <w:spacing w:val="0"/>
          <w:sz w:val="32"/>
          <w:szCs w:val="32"/>
          <w:highlight w:val="none"/>
          <w:lang w:eastAsia="zh-CN"/>
        </w:rPr>
        <w:t>0.00万元，年末结转和结余25.51万元。</w:t>
      </w:r>
    </w:p>
    <w:p>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both"/>
        <w:textAlignment w:val="auto"/>
        <w:rPr>
          <w:rFonts w:hint="eastAsia" w:ascii="仿宋_GB2312" w:eastAsia="仿宋_GB2312"/>
          <w:color w:val="auto"/>
          <w:spacing w:val="0"/>
          <w:sz w:val="32"/>
          <w:szCs w:val="32"/>
          <w:highlight w:val="none"/>
          <w:lang w:eastAsia="zh-CN"/>
        </w:rPr>
      </w:pPr>
      <w:r>
        <w:rPr>
          <w:rFonts w:hint="eastAsia" w:ascii="仿宋_GB2312" w:eastAsia="仿宋_GB2312"/>
          <w:b/>
          <w:bCs/>
          <w:color w:val="auto"/>
          <w:spacing w:val="0"/>
          <w:sz w:val="32"/>
          <w:szCs w:val="32"/>
          <w:highlight w:val="none"/>
          <w:lang w:val="en-US" w:eastAsia="zh-CN"/>
        </w:rPr>
        <w:t>收入支出总体与上年相比</w:t>
      </w:r>
      <w:r>
        <w:rPr>
          <w:rFonts w:hint="eastAsia" w:ascii="仿宋_GB2312" w:eastAsia="仿宋_GB2312"/>
          <w:b/>
          <w:bCs/>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增加62.99万元</w:t>
      </w:r>
      <w:r>
        <w:rPr>
          <w:rFonts w:hint="eastAsia" w:ascii="仿宋_GB2312" w:eastAsia="仿宋_GB2312"/>
          <w:color w:val="auto"/>
          <w:spacing w:val="0"/>
          <w:sz w:val="32"/>
          <w:szCs w:val="32"/>
          <w:highlight w:val="none"/>
          <w:lang w:eastAsia="zh-CN"/>
        </w:rPr>
        <w:t>，增长16.49%，主要原因是：职工增资、</w:t>
      </w:r>
      <w:r>
        <w:rPr>
          <w:rFonts w:hint="eastAsia" w:ascii="仿宋_GB2312" w:eastAsia="仿宋_GB2312"/>
          <w:sz w:val="32"/>
          <w:szCs w:val="32"/>
          <w:highlight w:val="none"/>
        </w:rPr>
        <w:t>基本公共卫生补助、基本药物补助等项目年中追加，收入与上年相比增加。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10" w:name="_Toc12142"/>
      <w:bookmarkStart w:id="11" w:name="_Toc1979"/>
      <w:r>
        <w:rPr>
          <w:rFonts w:hint="eastAsia" w:ascii="黑体" w:hAnsi="黑体" w:eastAsia="黑体" w:cs="宋体"/>
          <w:bCs/>
          <w:color w:val="auto"/>
          <w:kern w:val="0"/>
          <w:sz w:val="32"/>
          <w:szCs w:val="32"/>
          <w:highlight w:val="none"/>
          <w:lang w:eastAsia="zh-CN"/>
        </w:rPr>
        <w:t>二、</w:t>
      </w:r>
      <w:r>
        <w:rPr>
          <w:rFonts w:hint="eastAsia" w:ascii="黑体" w:hAnsi="黑体" w:eastAsia="黑体" w:cs="宋体"/>
          <w:bCs/>
          <w:color w:val="auto"/>
          <w:kern w:val="0"/>
          <w:sz w:val="32"/>
          <w:szCs w:val="32"/>
          <w:highlight w:val="none"/>
        </w:rPr>
        <w:t>收入</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情况说明</w:t>
      </w:r>
      <w:bookmarkEnd w:id="10"/>
      <w:bookmarkEnd w:id="11"/>
    </w:p>
    <w:p>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both"/>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rPr>
        <w:t>本年收入</w:t>
      </w:r>
      <w:r>
        <w:rPr>
          <w:rFonts w:hint="eastAsia" w:ascii="仿宋_GB2312" w:eastAsia="仿宋_GB2312"/>
          <w:b/>
          <w:bCs/>
          <w:color w:val="auto"/>
          <w:sz w:val="32"/>
          <w:szCs w:val="32"/>
          <w:highlight w:val="none"/>
          <w:lang w:eastAsia="zh-CN"/>
        </w:rPr>
        <w:t>433.52</w:t>
      </w:r>
      <w:r>
        <w:rPr>
          <w:rFonts w:hint="eastAsia" w:ascii="仿宋_GB2312" w:eastAsia="仿宋_GB2312"/>
          <w:b/>
          <w:bCs/>
          <w:color w:val="auto"/>
          <w:sz w:val="32"/>
          <w:szCs w:val="32"/>
          <w:highlight w:val="none"/>
        </w:rPr>
        <w:t>万元，</w:t>
      </w:r>
      <w:r>
        <w:rPr>
          <w:rFonts w:hint="eastAsia" w:ascii="仿宋_GB2312" w:eastAsia="仿宋_GB2312"/>
          <w:color w:val="auto"/>
          <w:sz w:val="32"/>
          <w:szCs w:val="32"/>
          <w:highlight w:val="none"/>
        </w:rPr>
        <w:t>其中：财政拨款收入</w:t>
      </w:r>
      <w:r>
        <w:rPr>
          <w:rFonts w:hint="eastAsia" w:ascii="仿宋_GB2312" w:eastAsia="仿宋_GB2312"/>
          <w:color w:val="auto"/>
          <w:sz w:val="32"/>
          <w:szCs w:val="32"/>
          <w:highlight w:val="none"/>
          <w:lang w:val="zh-CN"/>
        </w:rPr>
        <w:t>378.41</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87.29</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；上级补助收入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；事业收入</w:t>
      </w:r>
      <w:r>
        <w:rPr>
          <w:rFonts w:hint="eastAsia" w:ascii="仿宋_GB2312" w:eastAsia="仿宋_GB2312"/>
          <w:color w:val="auto"/>
          <w:sz w:val="32"/>
          <w:szCs w:val="32"/>
          <w:highlight w:val="none"/>
          <w:lang w:val="zh-CN"/>
        </w:rPr>
        <w:t>54.86</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12.65</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；经营收入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附属单位上缴收入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；其他收入</w:t>
      </w:r>
      <w:r>
        <w:rPr>
          <w:rFonts w:hint="eastAsia" w:ascii="仿宋_GB2312" w:eastAsia="仿宋_GB2312"/>
          <w:color w:val="auto"/>
          <w:sz w:val="32"/>
          <w:szCs w:val="32"/>
          <w:highlight w:val="none"/>
          <w:lang w:val="zh-CN"/>
        </w:rPr>
        <w:t>0.24</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0.06</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bookmarkStart w:id="12" w:name="_Toc27961"/>
      <w:bookmarkStart w:id="13" w:name="_Toc13201"/>
      <w:r>
        <w:rPr>
          <w:rFonts w:hint="eastAsia" w:ascii="黑体" w:hAnsi="黑体" w:eastAsia="黑体" w:cs="宋体"/>
          <w:bCs/>
          <w:color w:val="auto"/>
          <w:kern w:val="0"/>
          <w:sz w:val="32"/>
          <w:szCs w:val="32"/>
          <w:highlight w:val="none"/>
          <w:lang w:eastAsia="zh-CN"/>
        </w:rPr>
        <w:t>三、支出决算情况说明</w:t>
      </w:r>
      <w:bookmarkEnd w:id="12"/>
      <w:bookmarkEnd w:id="13"/>
    </w:p>
    <w:p>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both"/>
        <w:textAlignment w:val="auto"/>
        <w:rPr>
          <w:rFonts w:hint="eastAsia" w:ascii="仿宋_GB2312" w:hAnsi="仿宋_GB2312" w:eastAsia="仿宋_GB2312" w:cs="仿宋_GB2312"/>
          <w:color w:val="auto"/>
          <w:sz w:val="32"/>
          <w:szCs w:val="32"/>
          <w:highlight w:val="none"/>
          <w:lang w:val="zh-CN" w:eastAsia="zh-CN"/>
        </w:rPr>
      </w:pPr>
      <w:r>
        <w:rPr>
          <w:rFonts w:hint="eastAsia" w:ascii="仿宋_GB2312" w:hAnsi="仿宋_GB2312" w:eastAsia="仿宋_GB2312" w:cs="仿宋_GB2312"/>
          <w:b/>
          <w:bCs/>
          <w:color w:val="auto"/>
          <w:sz w:val="32"/>
          <w:szCs w:val="32"/>
          <w:highlight w:val="none"/>
          <w:lang w:val="zh-CN" w:eastAsia="zh-CN"/>
        </w:rPr>
        <w:t>本年支出419.50万元，</w:t>
      </w:r>
      <w:r>
        <w:rPr>
          <w:rFonts w:hint="eastAsia" w:ascii="仿宋_GB2312" w:hAnsi="仿宋_GB2312" w:eastAsia="仿宋_GB2312" w:cs="仿宋_GB2312"/>
          <w:color w:val="auto"/>
          <w:sz w:val="32"/>
          <w:szCs w:val="32"/>
          <w:highlight w:val="none"/>
          <w:lang w:val="zh-CN" w:eastAsia="zh-CN"/>
        </w:rPr>
        <w:t>其中：基本支出353.48万元，占84.26%；项目支出66.02万元，占15.74%；上缴上级支出0.00万元，占0.00%；经营支出0.00万元，占0.00%；对附属单位补助支出0.00万元，占0.00%。</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bookmarkStart w:id="14" w:name="_Toc4393"/>
      <w:bookmarkStart w:id="15" w:name="_Toc26564"/>
      <w:r>
        <w:rPr>
          <w:rFonts w:hint="eastAsia" w:ascii="黑体" w:hAnsi="黑体" w:eastAsia="黑体" w:cs="宋体"/>
          <w:bCs/>
          <w:color w:val="auto"/>
          <w:kern w:val="0"/>
          <w:sz w:val="32"/>
          <w:szCs w:val="32"/>
          <w:highlight w:val="none"/>
          <w:lang w:eastAsia="zh-CN"/>
        </w:rPr>
        <w:t>四、财政拨款收入支出决算总体情况说明</w:t>
      </w:r>
      <w:bookmarkEnd w:id="14"/>
      <w:bookmarkEnd w:id="15"/>
    </w:p>
    <w:p>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both"/>
        <w:textAlignment w:val="auto"/>
        <w:rPr>
          <w:rFonts w:hint="eastAsia" w:ascii="仿宋_GB2312" w:eastAsia="仿宋_GB2312"/>
          <w:color w:val="auto"/>
          <w:spacing w:val="0"/>
          <w:sz w:val="32"/>
          <w:szCs w:val="32"/>
          <w:highlight w:val="none"/>
          <w:lang w:eastAsia="zh-CN"/>
        </w:rPr>
      </w:pPr>
      <w:r>
        <w:rPr>
          <w:rFonts w:hint="eastAsia" w:ascii="仿宋_GB2312" w:eastAsia="仿宋_GB2312"/>
          <w:b/>
          <w:bCs/>
          <w:color w:val="auto"/>
          <w:spacing w:val="0"/>
          <w:sz w:val="32"/>
          <w:szCs w:val="32"/>
          <w:highlight w:val="none"/>
          <w:lang w:eastAsia="zh-CN"/>
        </w:rPr>
        <w:t>2023年度财政拨款收入</w:t>
      </w:r>
      <w:r>
        <w:rPr>
          <w:rFonts w:hint="eastAsia" w:ascii="仿宋_GB2312" w:eastAsia="仿宋_GB2312"/>
          <w:b/>
          <w:bCs/>
          <w:color w:val="auto"/>
          <w:spacing w:val="0"/>
          <w:sz w:val="32"/>
          <w:szCs w:val="32"/>
          <w:highlight w:val="none"/>
          <w:lang w:val="en-US" w:eastAsia="zh-CN"/>
        </w:rPr>
        <w:t>总计</w:t>
      </w:r>
      <w:r>
        <w:rPr>
          <w:rFonts w:hint="eastAsia" w:ascii="仿宋_GB2312" w:eastAsia="仿宋_GB2312"/>
          <w:b/>
          <w:bCs/>
          <w:color w:val="auto"/>
          <w:spacing w:val="0"/>
          <w:sz w:val="32"/>
          <w:szCs w:val="32"/>
          <w:highlight w:val="none"/>
          <w:lang w:val="zh-CN" w:eastAsia="zh-CN"/>
        </w:rPr>
        <w:t>378.41</w:t>
      </w:r>
      <w:r>
        <w:rPr>
          <w:rFonts w:hint="eastAsia" w:ascii="仿宋_GB2312" w:eastAsia="仿宋_GB2312"/>
          <w:b/>
          <w:bCs/>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其中：年初财政拨款结转和结余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本年财政拨款收入</w:t>
      </w:r>
      <w:r>
        <w:rPr>
          <w:rFonts w:hint="eastAsia" w:ascii="仿宋_GB2312" w:eastAsia="仿宋_GB2312"/>
          <w:color w:val="auto"/>
          <w:spacing w:val="0"/>
          <w:sz w:val="32"/>
          <w:szCs w:val="32"/>
          <w:highlight w:val="none"/>
          <w:lang w:val="zh-CN" w:eastAsia="zh-CN"/>
        </w:rPr>
        <w:t>378.41</w:t>
      </w:r>
      <w:r>
        <w:rPr>
          <w:rFonts w:hint="eastAsia" w:ascii="仿宋_GB2312" w:eastAsia="仿宋_GB2312"/>
          <w:color w:val="auto"/>
          <w:spacing w:val="0"/>
          <w:sz w:val="32"/>
          <w:szCs w:val="32"/>
          <w:highlight w:val="none"/>
          <w:lang w:eastAsia="zh-CN"/>
        </w:rPr>
        <w:t>万元。</w:t>
      </w:r>
      <w:r>
        <w:rPr>
          <w:rFonts w:hint="eastAsia" w:ascii="仿宋_GB2312" w:eastAsia="仿宋_GB2312"/>
          <w:b/>
          <w:bCs/>
          <w:color w:val="auto"/>
          <w:spacing w:val="0"/>
          <w:sz w:val="32"/>
          <w:szCs w:val="32"/>
          <w:highlight w:val="none"/>
          <w:lang w:eastAsia="zh-CN"/>
        </w:rPr>
        <w:t>财政拨款支出</w:t>
      </w:r>
      <w:r>
        <w:rPr>
          <w:rFonts w:hint="eastAsia" w:ascii="仿宋_GB2312" w:eastAsia="仿宋_GB2312"/>
          <w:b/>
          <w:bCs/>
          <w:color w:val="auto"/>
          <w:spacing w:val="0"/>
          <w:sz w:val="32"/>
          <w:szCs w:val="32"/>
          <w:highlight w:val="none"/>
          <w:lang w:val="en-US" w:eastAsia="zh-CN"/>
        </w:rPr>
        <w:t>总计</w:t>
      </w:r>
      <w:r>
        <w:rPr>
          <w:rFonts w:hint="eastAsia" w:ascii="仿宋_GB2312" w:eastAsia="仿宋_GB2312"/>
          <w:b/>
          <w:bCs/>
          <w:color w:val="auto"/>
          <w:spacing w:val="0"/>
          <w:sz w:val="32"/>
          <w:szCs w:val="32"/>
          <w:highlight w:val="none"/>
          <w:lang w:val="zh-CN" w:eastAsia="zh-CN"/>
        </w:rPr>
        <w:t>378.41</w:t>
      </w:r>
      <w:r>
        <w:rPr>
          <w:rFonts w:hint="eastAsia" w:ascii="仿宋_GB2312" w:eastAsia="仿宋_GB2312"/>
          <w:b/>
          <w:bCs/>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其中：年末财政拨款结转和结余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本年财政拨款支出</w:t>
      </w:r>
      <w:r>
        <w:rPr>
          <w:rFonts w:hint="eastAsia" w:ascii="仿宋_GB2312" w:eastAsia="仿宋_GB2312"/>
          <w:color w:val="auto"/>
          <w:spacing w:val="0"/>
          <w:sz w:val="32"/>
          <w:szCs w:val="32"/>
          <w:highlight w:val="none"/>
          <w:lang w:val="zh-CN" w:eastAsia="zh-CN"/>
        </w:rPr>
        <w:t>378.41</w:t>
      </w:r>
      <w:r>
        <w:rPr>
          <w:rFonts w:hint="eastAsia" w:ascii="仿宋_GB2312" w:eastAsia="仿宋_GB2312"/>
          <w:color w:val="auto"/>
          <w:spacing w:val="0"/>
          <w:sz w:val="32"/>
          <w:szCs w:val="32"/>
          <w:highlight w:val="none"/>
          <w:lang w:eastAsia="zh-CN"/>
        </w:rPr>
        <w:t>万元。</w:t>
      </w:r>
    </w:p>
    <w:p>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both"/>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b/>
          <w:bCs/>
          <w:color w:val="auto"/>
          <w:spacing w:val="0"/>
          <w:sz w:val="32"/>
          <w:szCs w:val="32"/>
          <w:highlight w:val="none"/>
          <w:lang w:eastAsia="zh-CN"/>
        </w:rPr>
        <w:t>财政拨款收入支出总体与上年相比</w:t>
      </w:r>
      <w:r>
        <w:rPr>
          <w:rFonts w:hint="eastAsia" w:ascii="仿宋_GB2312" w:eastAsia="仿宋_GB2312"/>
          <w:b/>
          <w:bCs/>
          <w:color w:val="auto"/>
          <w:spacing w:val="0"/>
          <w:sz w:val="32"/>
          <w:szCs w:val="32"/>
          <w:highlight w:val="none"/>
          <w:lang w:val="en-US" w:eastAsia="zh-CN"/>
        </w:rPr>
        <w:t>,</w:t>
      </w:r>
      <w:r>
        <w:rPr>
          <w:rFonts w:hint="eastAsia" w:ascii="仿宋_GB2312" w:eastAsia="仿宋_GB2312"/>
          <w:color w:val="auto"/>
          <w:spacing w:val="0"/>
          <w:sz w:val="32"/>
          <w:szCs w:val="32"/>
          <w:highlight w:val="none"/>
          <w:lang w:val="zh-CN" w:eastAsia="zh-CN"/>
        </w:rPr>
        <w:t>增加35.31万元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增长10.29%,</w:t>
      </w:r>
      <w:r>
        <w:rPr>
          <w:rFonts w:hint="eastAsia" w:ascii="仿宋_GB2312" w:eastAsia="仿宋_GB2312"/>
          <w:color w:val="auto"/>
          <w:spacing w:val="0"/>
          <w:sz w:val="32"/>
          <w:szCs w:val="32"/>
          <w:highlight w:val="none"/>
          <w:lang w:eastAsia="zh-CN"/>
        </w:rPr>
        <w:t>主要原因是：</w:t>
      </w:r>
      <w:r>
        <w:rPr>
          <w:rFonts w:hint="eastAsia" w:ascii="仿宋_GB2312" w:eastAsia="仿宋_GB2312"/>
          <w:sz w:val="32"/>
          <w:szCs w:val="32"/>
          <w:highlight w:val="none"/>
        </w:rPr>
        <w:t>单位职工调资、全民健康体检经费、基本药物补助等项目年中追加</w:t>
      </w:r>
      <w:r>
        <w:rPr>
          <w:rFonts w:hint="eastAsia" w:ascii="仿宋_GB2312" w:eastAsia="仿宋_GB2312"/>
          <w:color w:val="auto"/>
          <w:spacing w:val="0"/>
          <w:sz w:val="32"/>
          <w:szCs w:val="32"/>
          <w:highlight w:val="none"/>
          <w:lang w:eastAsia="zh-CN"/>
        </w:rPr>
        <w:t>。</w:t>
      </w:r>
      <w:r>
        <w:rPr>
          <w:rFonts w:hint="eastAsia" w:ascii="仿宋_GB2312" w:eastAsia="仿宋_GB2312"/>
          <w:b/>
          <w:bCs/>
          <w:color w:val="auto"/>
          <w:spacing w:val="0"/>
          <w:sz w:val="32"/>
          <w:szCs w:val="32"/>
          <w:highlight w:val="none"/>
          <w:lang w:eastAsia="zh-CN"/>
        </w:rPr>
        <w:t>与年初预算相比，</w:t>
      </w:r>
      <w:r>
        <w:rPr>
          <w:rFonts w:hint="eastAsia" w:ascii="仿宋_GB2312" w:eastAsia="仿宋_GB2312"/>
          <w:color w:val="auto"/>
          <w:spacing w:val="0"/>
          <w:sz w:val="32"/>
          <w:szCs w:val="32"/>
          <w:highlight w:val="none"/>
          <w:lang w:eastAsia="zh-CN"/>
        </w:rPr>
        <w:t>年初预算数</w:t>
      </w:r>
      <w:r>
        <w:rPr>
          <w:rFonts w:hint="eastAsia" w:ascii="仿宋_GB2312" w:eastAsia="仿宋_GB2312"/>
          <w:color w:val="auto"/>
          <w:spacing w:val="0"/>
          <w:sz w:val="32"/>
          <w:szCs w:val="32"/>
          <w:highlight w:val="none"/>
          <w:lang w:val="zh-CN" w:eastAsia="zh-CN"/>
        </w:rPr>
        <w:t>321.98</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378.41</w:t>
      </w:r>
      <w:r>
        <w:rPr>
          <w:rFonts w:hint="eastAsia" w:ascii="仿宋_GB2312" w:eastAsia="仿宋_GB2312"/>
          <w:color w:val="auto"/>
          <w:spacing w:val="0"/>
          <w:sz w:val="32"/>
          <w:szCs w:val="32"/>
          <w:highlight w:val="none"/>
          <w:lang w:eastAsia="zh-CN"/>
        </w:rPr>
        <w:t>万元，预决算差异率17.53%，主要原因是：</w:t>
      </w:r>
      <w:r>
        <w:rPr>
          <w:rFonts w:hint="eastAsia" w:ascii="仿宋_GB2312" w:eastAsia="仿宋_GB2312"/>
          <w:sz w:val="32"/>
          <w:szCs w:val="32"/>
          <w:highlight w:val="none"/>
        </w:rPr>
        <w:t>单位职工</w:t>
      </w:r>
      <w:r>
        <w:rPr>
          <w:rFonts w:hint="eastAsia" w:ascii="仿宋_GB2312" w:eastAsia="仿宋_GB2312"/>
          <w:sz w:val="32"/>
          <w:szCs w:val="32"/>
          <w:highlight w:val="none"/>
          <w:lang w:eastAsia="zh-CN"/>
        </w:rPr>
        <w:t>增资</w:t>
      </w:r>
      <w:r>
        <w:rPr>
          <w:rFonts w:hint="eastAsia" w:ascii="仿宋_GB2312" w:eastAsia="仿宋_GB2312"/>
          <w:sz w:val="32"/>
          <w:szCs w:val="32"/>
          <w:highlight w:val="none"/>
        </w:rPr>
        <w:t>、全民健康体检经费、基本药物补助等项目年中追加</w:t>
      </w:r>
      <w:r>
        <w:rPr>
          <w:rFonts w:hint="eastAsia" w:ascii="仿宋_GB2312" w:eastAsia="仿宋_GB2312"/>
          <w:color w:val="auto"/>
          <w:spacing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bookmarkStart w:id="16" w:name="_Toc13833"/>
      <w:bookmarkStart w:id="17" w:name="_Toc20360"/>
      <w:r>
        <w:rPr>
          <w:rFonts w:hint="eastAsia" w:ascii="黑体" w:hAnsi="黑体" w:eastAsia="黑体" w:cs="宋体"/>
          <w:bCs/>
          <w:color w:val="auto"/>
          <w:kern w:val="0"/>
          <w:sz w:val="32"/>
          <w:szCs w:val="32"/>
          <w:highlight w:val="none"/>
          <w:lang w:eastAsia="zh-CN"/>
        </w:rPr>
        <w:t>五、一般公共预算财政拨款支出决算情况说明</w:t>
      </w:r>
      <w:bookmarkEnd w:id="16"/>
      <w:bookmarkEnd w:id="1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（一）一般公共预算财政拨款支出决算总体情况</w:t>
      </w:r>
    </w:p>
    <w:p>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both"/>
        <w:textAlignment w:val="auto"/>
        <w:rPr>
          <w:rFonts w:hint="default" w:ascii="仿宋_GB2312" w:eastAsia="仿宋_GB2312"/>
          <w:color w:val="auto"/>
          <w:spacing w:val="0"/>
          <w:sz w:val="32"/>
          <w:szCs w:val="32"/>
          <w:highlight w:val="none"/>
          <w:lang w:val="en-US" w:eastAsia="zh-CN"/>
        </w:rPr>
      </w:pPr>
      <w:r>
        <w:rPr>
          <w:rFonts w:hint="eastAsia" w:ascii="仿宋_GB2312" w:eastAsia="仿宋_GB2312"/>
          <w:b/>
          <w:bCs/>
          <w:color w:val="auto"/>
          <w:spacing w:val="0"/>
          <w:sz w:val="32"/>
          <w:szCs w:val="32"/>
          <w:highlight w:val="none"/>
          <w:lang w:eastAsia="zh-CN"/>
        </w:rPr>
        <w:t>2023年度一般公共预算财政拨款支出378.41万元，</w:t>
      </w:r>
      <w:r>
        <w:rPr>
          <w:rFonts w:hint="eastAsia" w:ascii="仿宋_GB2312" w:eastAsia="仿宋_GB2312"/>
          <w:color w:val="auto"/>
          <w:spacing w:val="0"/>
          <w:sz w:val="32"/>
          <w:szCs w:val="32"/>
          <w:highlight w:val="none"/>
          <w:lang w:eastAsia="zh-CN"/>
        </w:rPr>
        <w:t>占本年支出合计的</w:t>
      </w:r>
      <w:r>
        <w:rPr>
          <w:rFonts w:hint="eastAsia" w:ascii="仿宋_GB2312" w:eastAsia="仿宋_GB2312"/>
          <w:color w:val="auto"/>
          <w:spacing w:val="0"/>
          <w:sz w:val="32"/>
          <w:szCs w:val="32"/>
          <w:highlight w:val="none"/>
          <w:lang w:val="zh-CN" w:eastAsia="zh-CN"/>
        </w:rPr>
        <w:t>90.20%</w:t>
      </w:r>
      <w:r>
        <w:rPr>
          <w:rFonts w:hint="eastAsia" w:ascii="仿宋_GB2312" w:eastAsia="仿宋_GB2312"/>
          <w:color w:val="auto"/>
          <w:spacing w:val="0"/>
          <w:sz w:val="32"/>
          <w:szCs w:val="32"/>
          <w:highlight w:val="none"/>
          <w:lang w:eastAsia="zh-CN"/>
        </w:rPr>
        <w:t>。与上年相比，</w:t>
      </w:r>
      <w:r>
        <w:rPr>
          <w:rFonts w:hint="eastAsia" w:ascii="仿宋_GB2312" w:eastAsia="仿宋_GB2312"/>
          <w:color w:val="auto"/>
          <w:spacing w:val="0"/>
          <w:sz w:val="32"/>
          <w:szCs w:val="32"/>
          <w:highlight w:val="none"/>
          <w:lang w:val="zh-CN" w:eastAsia="zh-CN"/>
        </w:rPr>
        <w:t>增加35.31万元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增长10.29%,</w:t>
      </w:r>
      <w:r>
        <w:rPr>
          <w:rFonts w:hint="eastAsia" w:ascii="仿宋_GB2312" w:eastAsia="仿宋_GB2312"/>
          <w:color w:val="auto"/>
          <w:spacing w:val="0"/>
          <w:sz w:val="32"/>
          <w:szCs w:val="32"/>
          <w:highlight w:val="none"/>
          <w:lang w:eastAsia="zh-CN"/>
        </w:rPr>
        <w:t>主要原因是：</w:t>
      </w:r>
      <w:r>
        <w:rPr>
          <w:rFonts w:hint="eastAsia" w:ascii="仿宋_GB2312" w:eastAsia="仿宋_GB2312"/>
          <w:sz w:val="32"/>
          <w:szCs w:val="32"/>
          <w:highlight w:val="none"/>
        </w:rPr>
        <w:t>单位职工</w:t>
      </w:r>
      <w:r>
        <w:rPr>
          <w:rFonts w:hint="eastAsia" w:ascii="仿宋_GB2312" w:eastAsia="仿宋_GB2312"/>
          <w:sz w:val="32"/>
          <w:szCs w:val="32"/>
          <w:highlight w:val="none"/>
          <w:lang w:eastAsia="zh-CN"/>
        </w:rPr>
        <w:t>增资</w:t>
      </w:r>
      <w:r>
        <w:rPr>
          <w:rFonts w:hint="eastAsia" w:ascii="仿宋_GB2312" w:eastAsia="仿宋_GB2312"/>
          <w:sz w:val="32"/>
          <w:szCs w:val="32"/>
          <w:highlight w:val="none"/>
        </w:rPr>
        <w:t>、基本公共卫生补助、基本药物补助等项目年中追加</w:t>
      </w:r>
      <w:r>
        <w:rPr>
          <w:rFonts w:hint="eastAsia" w:ascii="仿宋_GB2312" w:eastAsia="仿宋_GB2312"/>
          <w:color w:val="auto"/>
          <w:spacing w:val="0"/>
          <w:sz w:val="32"/>
          <w:szCs w:val="32"/>
          <w:highlight w:val="none"/>
          <w:lang w:eastAsia="zh-CN"/>
        </w:rPr>
        <w:t>。</w:t>
      </w:r>
      <w:r>
        <w:rPr>
          <w:rFonts w:hint="eastAsia" w:ascii="仿宋_GB2312" w:eastAsia="仿宋_GB2312"/>
          <w:b/>
          <w:bCs/>
          <w:color w:val="auto"/>
          <w:spacing w:val="0"/>
          <w:sz w:val="32"/>
          <w:szCs w:val="32"/>
          <w:highlight w:val="none"/>
          <w:lang w:eastAsia="zh-CN"/>
        </w:rPr>
        <w:t>与年初预算相比，</w:t>
      </w:r>
      <w:r>
        <w:rPr>
          <w:rFonts w:hint="eastAsia" w:ascii="仿宋_GB2312" w:eastAsia="仿宋_GB2312"/>
          <w:color w:val="auto"/>
          <w:spacing w:val="0"/>
          <w:sz w:val="32"/>
          <w:szCs w:val="32"/>
          <w:highlight w:val="none"/>
          <w:lang w:eastAsia="zh-CN"/>
        </w:rPr>
        <w:t>年初预算数</w:t>
      </w:r>
      <w:r>
        <w:rPr>
          <w:rFonts w:hint="eastAsia" w:ascii="仿宋_GB2312" w:eastAsia="仿宋_GB2312"/>
          <w:color w:val="auto"/>
          <w:spacing w:val="0"/>
          <w:sz w:val="32"/>
          <w:szCs w:val="32"/>
          <w:highlight w:val="none"/>
          <w:lang w:val="zh-CN" w:eastAsia="zh-CN"/>
        </w:rPr>
        <w:t>321.98</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378.41</w:t>
      </w:r>
      <w:r>
        <w:rPr>
          <w:rFonts w:hint="eastAsia" w:ascii="仿宋_GB2312" w:eastAsia="仿宋_GB2312"/>
          <w:color w:val="auto"/>
          <w:spacing w:val="0"/>
          <w:sz w:val="32"/>
          <w:szCs w:val="32"/>
          <w:highlight w:val="none"/>
          <w:lang w:eastAsia="zh-CN"/>
        </w:rPr>
        <w:t>万元，预决算差异率</w:t>
      </w:r>
      <w:r>
        <w:rPr>
          <w:rFonts w:hint="eastAsia" w:ascii="仿宋_GB2312" w:eastAsia="仿宋_GB2312"/>
          <w:color w:val="auto"/>
          <w:spacing w:val="0"/>
          <w:sz w:val="32"/>
          <w:szCs w:val="32"/>
          <w:highlight w:val="none"/>
          <w:lang w:val="zh-CN" w:eastAsia="zh-CN"/>
        </w:rPr>
        <w:t>17.53%</w:t>
      </w:r>
      <w:r>
        <w:rPr>
          <w:rFonts w:hint="eastAsia" w:ascii="仿宋_GB2312" w:eastAsia="仿宋_GB2312"/>
          <w:color w:val="auto"/>
          <w:spacing w:val="0"/>
          <w:sz w:val="32"/>
          <w:szCs w:val="32"/>
          <w:highlight w:val="none"/>
          <w:lang w:eastAsia="zh-CN"/>
        </w:rPr>
        <w:t>，主要原因是：</w:t>
      </w:r>
      <w:r>
        <w:rPr>
          <w:rFonts w:hint="eastAsia" w:ascii="仿宋_GB2312" w:eastAsia="仿宋_GB2312"/>
          <w:sz w:val="32"/>
          <w:szCs w:val="32"/>
          <w:highlight w:val="none"/>
        </w:rPr>
        <w:t>单位职工</w:t>
      </w:r>
      <w:r>
        <w:rPr>
          <w:rFonts w:hint="eastAsia" w:ascii="仿宋_GB2312" w:eastAsia="仿宋_GB2312"/>
          <w:sz w:val="32"/>
          <w:szCs w:val="32"/>
          <w:highlight w:val="none"/>
          <w:lang w:eastAsia="zh-CN"/>
        </w:rPr>
        <w:t>增资</w:t>
      </w:r>
      <w:r>
        <w:rPr>
          <w:rFonts w:hint="eastAsia" w:ascii="仿宋_GB2312" w:eastAsia="仿宋_GB2312"/>
          <w:sz w:val="32"/>
          <w:szCs w:val="32"/>
          <w:highlight w:val="none"/>
        </w:rPr>
        <w:t>、基本公共卫生补助、基本药物补助等项目年中追加</w:t>
      </w:r>
      <w:r>
        <w:rPr>
          <w:rFonts w:hint="eastAsia" w:ascii="仿宋_GB2312" w:eastAsia="仿宋_GB2312"/>
          <w:color w:val="auto"/>
          <w:spacing w:val="0"/>
          <w:sz w:val="32"/>
          <w:szCs w:val="32"/>
          <w:highlight w:val="none"/>
          <w:lang w:eastAsia="zh-CN"/>
        </w:rPr>
        <w:t>。</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both"/>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一般公共预算</w:t>
      </w:r>
      <w:r>
        <w:rPr>
          <w:rFonts w:hint="eastAsia" w:ascii="黑体" w:hAnsi="黑体" w:eastAsia="黑体"/>
          <w:color w:val="auto"/>
          <w:sz w:val="32"/>
          <w:szCs w:val="32"/>
          <w:highlight w:val="none"/>
          <w:lang w:val="en-US" w:eastAsia="zh-CN"/>
        </w:rPr>
        <w:t>财政拨款支出决算</w:t>
      </w:r>
      <w:r>
        <w:rPr>
          <w:rFonts w:hint="eastAsia" w:ascii="黑体" w:hAnsi="黑体" w:eastAsia="黑体"/>
          <w:color w:val="auto"/>
          <w:sz w:val="32"/>
          <w:szCs w:val="32"/>
          <w:highlight w:val="none"/>
          <w:lang w:eastAsia="zh-CN"/>
        </w:rPr>
        <w:t>结构情况</w:t>
      </w:r>
    </w:p>
    <w:p>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640" w:firstLineChars="200"/>
        <w:jc w:val="both"/>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1</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社会保障和就业支出（类）</w:t>
      </w:r>
      <w:r>
        <w:rPr>
          <w:rFonts w:hint="eastAsia" w:ascii="仿宋_GB2312" w:hAnsi="Times New Roman" w:eastAsia="仿宋_GB2312" w:cs="Times New Roman"/>
          <w:color w:val="auto"/>
          <w:spacing w:val="0"/>
          <w:kern w:val="2"/>
          <w:sz w:val="32"/>
          <w:szCs w:val="32"/>
          <w:highlight w:val="none"/>
          <w:lang w:val="zh-CN" w:eastAsia="zh-CN" w:bidi="ar-SA"/>
        </w:rPr>
        <w:t>32.79</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8.67</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640" w:firstLineChars="200"/>
        <w:jc w:val="both"/>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2</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卫生健康支出（类）</w:t>
      </w:r>
      <w:r>
        <w:rPr>
          <w:rFonts w:hint="eastAsia" w:ascii="仿宋_GB2312" w:hAnsi="Times New Roman" w:eastAsia="仿宋_GB2312" w:cs="Times New Roman"/>
          <w:color w:val="auto"/>
          <w:spacing w:val="0"/>
          <w:kern w:val="2"/>
          <w:sz w:val="32"/>
          <w:szCs w:val="32"/>
          <w:highlight w:val="none"/>
          <w:lang w:val="zh-CN" w:eastAsia="zh-CN" w:bidi="ar-SA"/>
        </w:rPr>
        <w:t>321.78</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85.03</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640" w:firstLineChars="200"/>
        <w:jc w:val="both"/>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3</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住房保障支出（类）</w:t>
      </w:r>
      <w:r>
        <w:rPr>
          <w:rFonts w:hint="eastAsia" w:ascii="仿宋_GB2312" w:hAnsi="Times New Roman" w:eastAsia="仿宋_GB2312" w:cs="Times New Roman"/>
          <w:color w:val="auto"/>
          <w:spacing w:val="0"/>
          <w:kern w:val="2"/>
          <w:sz w:val="32"/>
          <w:szCs w:val="32"/>
          <w:highlight w:val="none"/>
          <w:lang w:val="zh-CN" w:eastAsia="zh-CN" w:bidi="ar-SA"/>
        </w:rPr>
        <w:t>23.84</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6.30</w:t>
      </w:r>
      <w:r>
        <w:rPr>
          <w:rFonts w:hint="default" w:ascii="仿宋_GB2312" w:hAnsi="Times New Roman" w:eastAsia="仿宋_GB2312" w:cs="Times New Roman"/>
          <w:color w:val="auto"/>
          <w:spacing w:val="0"/>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（三）一般公共预算财政拨款支出决算具体情况</w:t>
      </w:r>
    </w:p>
    <w:p>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640" w:firstLineChars="200"/>
        <w:jc w:val="both"/>
        <w:textAlignment w:val="auto"/>
        <w:rPr>
          <w:rFonts w:hint="eastAsia" w:ascii="仿宋_GB2312" w:hAnsi="Times New Roman" w:eastAsia="仿宋_GB2312" w:cs="Times New Roman"/>
          <w:color w:val="auto"/>
          <w:spacing w:val="0"/>
          <w:kern w:val="2"/>
          <w:sz w:val="32"/>
          <w:szCs w:val="32"/>
          <w:highlight w:val="none"/>
          <w:lang w:val="zh-CN" w:eastAsia="zh-CN" w:bidi="ar-SA"/>
        </w:rPr>
      </w:pPr>
      <w:r>
        <w:rPr>
          <w:rFonts w:hint="eastAsia" w:ascii="仿宋_GB2312" w:hAnsi="Times New Roman" w:eastAsia="仿宋_GB2312" w:cs="Times New Roman"/>
          <w:color w:val="auto"/>
          <w:spacing w:val="0"/>
          <w:kern w:val="2"/>
          <w:sz w:val="32"/>
          <w:szCs w:val="32"/>
          <w:highlight w:val="none"/>
          <w:lang w:val="en-US" w:eastAsia="zh-CN" w:bidi="ar-SA"/>
        </w:rPr>
        <w:t>1.卫生健康支出（类）卫生健康管理事务（款）其他卫生健康管理事务支出（项）:支出决算数为1.34万元，比上年决算增加1.34万元，增长100%，主要原因是：此项资金上年度功能科目为2100399，本年功能科目调整为2100199，列入此款项。</w:t>
      </w:r>
    </w:p>
    <w:p>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640" w:firstLineChars="200"/>
        <w:jc w:val="both"/>
        <w:textAlignment w:val="auto"/>
        <w:rPr>
          <w:rFonts w:hint="eastAsia" w:ascii="仿宋_GB2312" w:hAnsi="Times New Roman" w:eastAsia="仿宋_GB2312" w:cs="Times New Roman"/>
          <w:color w:val="auto"/>
          <w:spacing w:val="0"/>
          <w:kern w:val="2"/>
          <w:sz w:val="32"/>
          <w:szCs w:val="32"/>
          <w:highlight w:val="none"/>
          <w:lang w:val="zh-CN" w:eastAsia="zh-CN" w:bidi="ar-SA"/>
        </w:rPr>
      </w:pPr>
      <w:r>
        <w:rPr>
          <w:rFonts w:hint="eastAsia" w:ascii="仿宋_GB2312" w:hAnsi="Times New Roman" w:eastAsia="仿宋_GB2312" w:cs="Times New Roman"/>
          <w:color w:val="auto"/>
          <w:spacing w:val="0"/>
          <w:kern w:val="2"/>
          <w:sz w:val="32"/>
          <w:szCs w:val="32"/>
          <w:highlight w:val="none"/>
          <w:lang w:val="en-US" w:eastAsia="zh-CN" w:bidi="ar-SA"/>
        </w:rPr>
        <w:t>2.卫生健康支出（类）行政事业单位医疗（款）事业单位医疗（项）:支出决算数为12.95万元，比上年决算增加0.9</w:t>
      </w:r>
      <w:r>
        <w:rPr>
          <w:rFonts w:hint="eastAsia" w:ascii="仿宋_GB2312" w:eastAsia="仿宋_GB2312" w:cs="Times New Roman"/>
          <w:color w:val="auto"/>
          <w:spacing w:val="0"/>
          <w:kern w:val="2"/>
          <w:sz w:val="32"/>
          <w:szCs w:val="32"/>
          <w:highlight w:val="none"/>
          <w:lang w:val="en-US" w:eastAsia="zh-CN" w:bidi="ar-SA"/>
        </w:rPr>
        <w:t>5</w:t>
      </w:r>
      <w:r>
        <w:rPr>
          <w:rFonts w:hint="eastAsia" w:ascii="仿宋_GB2312" w:hAnsi="Times New Roman" w:eastAsia="仿宋_GB2312" w:cs="Times New Roman"/>
          <w:color w:val="auto"/>
          <w:spacing w:val="0"/>
          <w:kern w:val="2"/>
          <w:sz w:val="32"/>
          <w:szCs w:val="32"/>
          <w:highlight w:val="none"/>
          <w:lang w:val="en-US" w:eastAsia="zh-CN" w:bidi="ar-SA"/>
        </w:rPr>
        <w:t>万元，增长7.9</w:t>
      </w:r>
      <w:r>
        <w:rPr>
          <w:rFonts w:hint="eastAsia" w:ascii="仿宋_GB2312" w:eastAsia="仿宋_GB2312" w:cs="Times New Roman"/>
          <w:color w:val="auto"/>
          <w:spacing w:val="0"/>
          <w:kern w:val="2"/>
          <w:sz w:val="32"/>
          <w:szCs w:val="32"/>
          <w:highlight w:val="none"/>
          <w:lang w:val="en-US" w:eastAsia="zh-CN" w:bidi="ar-SA"/>
        </w:rPr>
        <w:t>2</w:t>
      </w:r>
      <w:r>
        <w:rPr>
          <w:rFonts w:hint="eastAsia" w:ascii="仿宋_GB2312" w:hAnsi="Times New Roman" w:eastAsia="仿宋_GB2312" w:cs="Times New Roman"/>
          <w:color w:val="auto"/>
          <w:spacing w:val="0"/>
          <w:kern w:val="2"/>
          <w:sz w:val="32"/>
          <w:szCs w:val="32"/>
          <w:highlight w:val="none"/>
          <w:lang w:val="en-US" w:eastAsia="zh-CN" w:bidi="ar-SA"/>
        </w:rPr>
        <w:t>%，主要原因是：单位职工工资考核增资</w:t>
      </w:r>
      <w:r>
        <w:rPr>
          <w:rFonts w:hint="eastAsia" w:ascii="仿宋_GB2312" w:hAnsi="Times New Roman" w:eastAsia="仿宋_GB2312" w:cs="Times New Roman"/>
          <w:color w:val="auto"/>
          <w:spacing w:val="0"/>
          <w:kern w:val="2"/>
          <w:sz w:val="32"/>
          <w:szCs w:val="32"/>
          <w:highlight w:val="none"/>
          <w:lang w:val="zh-CN" w:eastAsia="zh-CN" w:bidi="ar-SA"/>
        </w:rPr>
        <w:t>。</w:t>
      </w:r>
    </w:p>
    <w:p>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640" w:firstLineChars="200"/>
        <w:jc w:val="both"/>
        <w:textAlignment w:val="auto"/>
        <w:rPr>
          <w:rFonts w:hint="eastAsia" w:ascii="仿宋_GB2312" w:hAnsi="Times New Roman" w:eastAsia="仿宋_GB2312" w:cs="Times New Roman"/>
          <w:color w:val="auto"/>
          <w:spacing w:val="0"/>
          <w:kern w:val="2"/>
          <w:sz w:val="32"/>
          <w:szCs w:val="32"/>
          <w:highlight w:val="none"/>
          <w:lang w:val="zh-CN" w:eastAsia="zh-CN" w:bidi="ar-SA"/>
        </w:rPr>
      </w:pPr>
      <w:r>
        <w:rPr>
          <w:rFonts w:hint="eastAsia" w:ascii="仿宋_GB2312" w:hAnsi="Times New Roman" w:eastAsia="仿宋_GB2312" w:cs="Times New Roman"/>
          <w:color w:val="auto"/>
          <w:spacing w:val="0"/>
          <w:kern w:val="2"/>
          <w:sz w:val="32"/>
          <w:szCs w:val="32"/>
          <w:highlight w:val="none"/>
          <w:lang w:val="en-US" w:eastAsia="zh-CN" w:bidi="ar-SA"/>
        </w:rPr>
        <w:t>3.卫生健康支出（类）基层医疗卫生机构（款）其他基层医疗卫生机构支出（项）:支出决算数为6.05万元，比上年决算减少1.75万元，下降22.43%，主要原因是：村医工资上年度功能科目为2100399，本年功能科目调整为2100199，其他基层医疗卫生机构支出项目资金减少，支出决算数比上年决算减少</w:t>
      </w:r>
      <w:r>
        <w:rPr>
          <w:rFonts w:hint="eastAsia" w:ascii="仿宋_GB2312" w:hAnsi="Times New Roman" w:eastAsia="仿宋_GB2312" w:cs="Times New Roman"/>
          <w:color w:val="auto"/>
          <w:spacing w:val="0"/>
          <w:kern w:val="2"/>
          <w:sz w:val="32"/>
          <w:szCs w:val="32"/>
          <w:highlight w:val="none"/>
          <w:lang w:val="zh-CN" w:eastAsia="zh-CN" w:bidi="ar-SA"/>
        </w:rPr>
        <w:t>。</w:t>
      </w:r>
    </w:p>
    <w:p>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640" w:firstLineChars="200"/>
        <w:jc w:val="both"/>
        <w:textAlignment w:val="auto"/>
        <w:rPr>
          <w:rFonts w:hint="eastAsia" w:ascii="仿宋_GB2312" w:hAnsi="Times New Roman" w:eastAsia="仿宋_GB2312" w:cs="Times New Roman"/>
          <w:color w:val="auto"/>
          <w:spacing w:val="0"/>
          <w:kern w:val="2"/>
          <w:sz w:val="32"/>
          <w:szCs w:val="32"/>
          <w:highlight w:val="none"/>
          <w:lang w:val="zh-CN" w:eastAsia="zh-CN" w:bidi="ar-SA"/>
        </w:rPr>
      </w:pPr>
      <w:r>
        <w:rPr>
          <w:rFonts w:hint="eastAsia" w:ascii="仿宋_GB2312" w:hAnsi="Times New Roman" w:eastAsia="仿宋_GB2312" w:cs="Times New Roman"/>
          <w:color w:val="auto"/>
          <w:spacing w:val="0"/>
          <w:kern w:val="2"/>
          <w:sz w:val="32"/>
          <w:szCs w:val="32"/>
          <w:highlight w:val="none"/>
          <w:lang w:val="en-US" w:eastAsia="zh-CN" w:bidi="ar-SA"/>
        </w:rPr>
        <w:t>4.卫生健康支出（类）公共卫生（款）其他公共卫生支出（项）:支出决算数为17.19万元，比上年决算减少5.90万元，下降25.56%，主要原因是：</w:t>
      </w:r>
      <w:r>
        <w:rPr>
          <w:rFonts w:hint="eastAsia" w:ascii="仿宋_GB2312" w:hAnsi="Times New Roman" w:eastAsia="仿宋_GB2312" w:cs="Times New Roman"/>
          <w:color w:val="auto"/>
          <w:spacing w:val="0"/>
          <w:kern w:val="2"/>
          <w:sz w:val="32"/>
          <w:szCs w:val="32"/>
          <w:highlight w:val="none"/>
          <w:lang w:val="zh-CN" w:eastAsia="zh-CN" w:bidi="ar-SA"/>
        </w:rPr>
        <w:t>本年其他公共卫生服务项目经费减少。</w:t>
      </w:r>
    </w:p>
    <w:p>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640" w:firstLineChars="200"/>
        <w:jc w:val="both"/>
        <w:textAlignment w:val="auto"/>
        <w:rPr>
          <w:rFonts w:hint="eastAsia" w:ascii="仿宋_GB2312" w:hAnsi="Times New Roman" w:eastAsia="仿宋_GB2312" w:cs="Times New Roman"/>
          <w:color w:val="auto"/>
          <w:spacing w:val="0"/>
          <w:kern w:val="2"/>
          <w:sz w:val="32"/>
          <w:szCs w:val="32"/>
          <w:highlight w:val="none"/>
          <w:lang w:val="zh-CN" w:eastAsia="zh-CN" w:bidi="ar-SA"/>
        </w:rPr>
      </w:pPr>
      <w:r>
        <w:rPr>
          <w:rFonts w:hint="eastAsia" w:ascii="仿宋_GB2312" w:hAnsi="Times New Roman" w:eastAsia="仿宋_GB2312" w:cs="Times New Roman"/>
          <w:color w:val="auto"/>
          <w:spacing w:val="0"/>
          <w:kern w:val="2"/>
          <w:sz w:val="32"/>
          <w:szCs w:val="32"/>
          <w:highlight w:val="none"/>
          <w:lang w:val="en-US" w:eastAsia="zh-CN" w:bidi="ar-SA"/>
        </w:rPr>
        <w:t>5.卫生健康支出（类）基层医疗卫生机构（款）乡镇卫生院（项）:支出决算数为242.81万元，比上年决算增加21.50万元，增长9.72%，主要原因是：1、人员政策性增资。2、追加2023年度绩效奖金、考核优秀奖金及本年增资指标支出。</w:t>
      </w:r>
    </w:p>
    <w:p>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640" w:firstLineChars="200"/>
        <w:jc w:val="both"/>
        <w:textAlignment w:val="auto"/>
        <w:rPr>
          <w:rFonts w:hint="eastAsia" w:ascii="仿宋_GB2312" w:hAnsi="Times New Roman" w:eastAsia="仿宋_GB2312" w:cs="Times New Roman"/>
          <w:color w:val="auto"/>
          <w:spacing w:val="0"/>
          <w:kern w:val="2"/>
          <w:sz w:val="32"/>
          <w:szCs w:val="32"/>
          <w:highlight w:val="none"/>
          <w:lang w:val="zh-CN" w:eastAsia="zh-CN" w:bidi="ar-SA"/>
        </w:rPr>
      </w:pPr>
      <w:r>
        <w:rPr>
          <w:rFonts w:hint="eastAsia" w:ascii="仿宋_GB2312" w:hAnsi="Times New Roman" w:eastAsia="仿宋_GB2312" w:cs="Times New Roman"/>
          <w:color w:val="auto"/>
          <w:spacing w:val="0"/>
          <w:kern w:val="2"/>
          <w:sz w:val="32"/>
          <w:szCs w:val="32"/>
          <w:highlight w:val="none"/>
          <w:lang w:val="en-US" w:eastAsia="zh-CN" w:bidi="ar-SA"/>
        </w:rPr>
        <w:t>6.住房保障支出（类）住房改革支出（款）住房公积金（项）:支出决算数为23.84万元，比上年决算增加5.2</w:t>
      </w:r>
      <w:r>
        <w:rPr>
          <w:rFonts w:hint="eastAsia" w:ascii="仿宋_GB2312" w:eastAsia="仿宋_GB2312" w:cs="Times New Roman"/>
          <w:color w:val="auto"/>
          <w:spacing w:val="0"/>
          <w:kern w:val="2"/>
          <w:sz w:val="32"/>
          <w:szCs w:val="32"/>
          <w:highlight w:val="none"/>
          <w:lang w:val="en-US" w:eastAsia="zh-CN" w:bidi="ar-SA"/>
        </w:rPr>
        <w:t>6</w:t>
      </w:r>
      <w:r>
        <w:rPr>
          <w:rFonts w:hint="eastAsia" w:ascii="仿宋_GB2312" w:hAnsi="Times New Roman" w:eastAsia="仿宋_GB2312" w:cs="Times New Roman"/>
          <w:color w:val="auto"/>
          <w:spacing w:val="0"/>
          <w:kern w:val="2"/>
          <w:sz w:val="32"/>
          <w:szCs w:val="32"/>
          <w:highlight w:val="none"/>
          <w:lang w:val="en-US" w:eastAsia="zh-CN" w:bidi="ar-SA"/>
        </w:rPr>
        <w:t>万元，增长28.</w:t>
      </w:r>
      <w:r>
        <w:rPr>
          <w:rFonts w:hint="eastAsia" w:ascii="仿宋_GB2312" w:eastAsia="仿宋_GB2312" w:cs="Times New Roman"/>
          <w:color w:val="auto"/>
          <w:spacing w:val="0"/>
          <w:kern w:val="2"/>
          <w:sz w:val="32"/>
          <w:szCs w:val="32"/>
          <w:highlight w:val="none"/>
          <w:lang w:val="en-US" w:eastAsia="zh-CN" w:bidi="ar-SA"/>
        </w:rPr>
        <w:t>31</w:t>
      </w:r>
      <w:r>
        <w:rPr>
          <w:rFonts w:hint="eastAsia" w:ascii="仿宋_GB2312" w:hAnsi="Times New Roman" w:eastAsia="仿宋_GB2312" w:cs="Times New Roman"/>
          <w:color w:val="auto"/>
          <w:spacing w:val="0"/>
          <w:kern w:val="2"/>
          <w:sz w:val="32"/>
          <w:szCs w:val="32"/>
          <w:highlight w:val="none"/>
          <w:lang w:val="en-US" w:eastAsia="zh-CN" w:bidi="ar-SA"/>
        </w:rPr>
        <w:t>%，主要原因是：由于工资增资，住房公积金缴费基数上调。</w:t>
      </w:r>
    </w:p>
    <w:p>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640" w:firstLineChars="200"/>
        <w:jc w:val="both"/>
        <w:textAlignment w:val="auto"/>
        <w:rPr>
          <w:rFonts w:hint="eastAsia" w:ascii="仿宋_GB2312" w:hAnsi="Times New Roman" w:eastAsia="仿宋_GB2312" w:cs="Times New Roman"/>
          <w:color w:val="auto"/>
          <w:spacing w:val="0"/>
          <w:kern w:val="2"/>
          <w:sz w:val="32"/>
          <w:szCs w:val="32"/>
          <w:highlight w:val="none"/>
          <w:lang w:val="zh-CN" w:eastAsia="zh-CN" w:bidi="ar-SA"/>
        </w:rPr>
      </w:pPr>
      <w:r>
        <w:rPr>
          <w:rFonts w:hint="eastAsia" w:ascii="仿宋_GB2312" w:hAnsi="Times New Roman" w:eastAsia="仿宋_GB2312" w:cs="Times New Roman"/>
          <w:color w:val="auto"/>
          <w:spacing w:val="0"/>
          <w:kern w:val="2"/>
          <w:sz w:val="32"/>
          <w:szCs w:val="32"/>
          <w:highlight w:val="none"/>
          <w:lang w:val="en-US" w:eastAsia="zh-CN" w:bidi="ar-SA"/>
        </w:rPr>
        <w:t>7.社会保障和就业支出（类）行政事业单位养老支出（款）事业单位离退休（项）:支出决算数为2.07万元，比上年决算减少0.67万元，下降24.4</w:t>
      </w:r>
      <w:r>
        <w:rPr>
          <w:rFonts w:hint="eastAsia" w:ascii="仿宋_GB2312" w:eastAsia="仿宋_GB2312" w:cs="Times New Roman"/>
          <w:color w:val="auto"/>
          <w:spacing w:val="0"/>
          <w:kern w:val="2"/>
          <w:sz w:val="32"/>
          <w:szCs w:val="32"/>
          <w:highlight w:val="none"/>
          <w:lang w:val="en-US" w:eastAsia="zh-CN" w:bidi="ar-SA"/>
        </w:rPr>
        <w:t>5</w:t>
      </w:r>
      <w:r>
        <w:rPr>
          <w:rFonts w:hint="eastAsia" w:ascii="仿宋_GB2312" w:hAnsi="Times New Roman" w:eastAsia="仿宋_GB2312" w:cs="Times New Roman"/>
          <w:color w:val="auto"/>
          <w:spacing w:val="0"/>
          <w:kern w:val="2"/>
          <w:sz w:val="32"/>
          <w:szCs w:val="32"/>
          <w:highlight w:val="none"/>
          <w:lang w:val="en-US" w:eastAsia="zh-CN" w:bidi="ar-SA"/>
        </w:rPr>
        <w:t>%，主要原因是：由于2023年退休人员医疗金支出减少，所以支出决算数比上年决算减少。</w:t>
      </w:r>
    </w:p>
    <w:p>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640" w:firstLineChars="200"/>
        <w:jc w:val="both"/>
        <w:textAlignment w:val="auto"/>
        <w:rPr>
          <w:rFonts w:hint="eastAsia" w:ascii="仿宋_GB2312" w:hAnsi="Times New Roman" w:eastAsia="仿宋_GB2312" w:cs="Times New Roman"/>
          <w:color w:val="auto"/>
          <w:spacing w:val="0"/>
          <w:kern w:val="2"/>
          <w:sz w:val="32"/>
          <w:szCs w:val="32"/>
          <w:highlight w:val="none"/>
          <w:lang w:val="zh-CN" w:eastAsia="zh-CN" w:bidi="ar-SA"/>
        </w:rPr>
      </w:pPr>
      <w:r>
        <w:rPr>
          <w:rFonts w:hint="eastAsia" w:ascii="仿宋_GB2312" w:hAnsi="Times New Roman" w:eastAsia="仿宋_GB2312" w:cs="Times New Roman"/>
          <w:color w:val="auto"/>
          <w:spacing w:val="0"/>
          <w:kern w:val="2"/>
          <w:sz w:val="32"/>
          <w:szCs w:val="32"/>
          <w:highlight w:val="none"/>
          <w:lang w:val="en-US" w:eastAsia="zh-CN" w:bidi="ar-SA"/>
        </w:rPr>
        <w:t>8.卫生健康支出（类）公共卫生（款）基本公共卫生服务（项）:支出决算数为35.33万元，比上年决算增加4.80万元，增长15.71%，主要原因是：基本公共卫生服务项目资金上级拨款增加，支出决算数比上年决算增加。</w:t>
      </w:r>
    </w:p>
    <w:p>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640" w:firstLineChars="200"/>
        <w:jc w:val="both"/>
        <w:textAlignment w:val="auto"/>
        <w:rPr>
          <w:rFonts w:hint="eastAsia" w:ascii="仿宋_GB2312" w:hAnsi="Times New Roman" w:eastAsia="仿宋_GB2312" w:cs="Times New Roman"/>
          <w:color w:val="auto"/>
          <w:spacing w:val="0"/>
          <w:kern w:val="2"/>
          <w:sz w:val="32"/>
          <w:szCs w:val="32"/>
          <w:highlight w:val="none"/>
          <w:lang w:val="zh-CN" w:eastAsia="zh-CN" w:bidi="ar-SA"/>
        </w:rPr>
      </w:pPr>
      <w:r>
        <w:rPr>
          <w:rFonts w:hint="eastAsia" w:ascii="仿宋_GB2312" w:hAnsi="Times New Roman" w:eastAsia="仿宋_GB2312" w:cs="Times New Roman"/>
          <w:color w:val="auto"/>
          <w:spacing w:val="0"/>
          <w:kern w:val="2"/>
          <w:sz w:val="32"/>
          <w:szCs w:val="32"/>
          <w:highlight w:val="none"/>
          <w:lang w:val="en-US" w:eastAsia="zh-CN" w:bidi="ar-SA"/>
        </w:rPr>
        <w:t>9.卫生健康支出（类）公共卫生（款）重大公共卫生服务（项）:支出决算数为6.04万元，比上年决算增加2.77万元，增长84.</w:t>
      </w:r>
      <w:r>
        <w:rPr>
          <w:rFonts w:hint="eastAsia" w:ascii="仿宋_GB2312" w:eastAsia="仿宋_GB2312" w:cs="Times New Roman"/>
          <w:color w:val="auto"/>
          <w:spacing w:val="0"/>
          <w:kern w:val="2"/>
          <w:sz w:val="32"/>
          <w:szCs w:val="32"/>
          <w:highlight w:val="none"/>
          <w:lang w:val="en-US" w:eastAsia="zh-CN" w:bidi="ar-SA"/>
        </w:rPr>
        <w:t>71</w:t>
      </w:r>
      <w:r>
        <w:rPr>
          <w:rFonts w:hint="eastAsia" w:ascii="仿宋_GB2312" w:hAnsi="Times New Roman" w:eastAsia="仿宋_GB2312" w:cs="Times New Roman"/>
          <w:color w:val="auto"/>
          <w:spacing w:val="0"/>
          <w:kern w:val="2"/>
          <w:sz w:val="32"/>
          <w:szCs w:val="32"/>
          <w:highlight w:val="none"/>
          <w:lang w:val="en-US" w:eastAsia="zh-CN" w:bidi="ar-SA"/>
        </w:rPr>
        <w:t>%，主要原因是：重大公共卫生服务项目资金上级拨款增加。</w:t>
      </w:r>
    </w:p>
    <w:p>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640" w:firstLineChars="200"/>
        <w:jc w:val="both"/>
        <w:textAlignment w:val="auto"/>
        <w:rPr>
          <w:rFonts w:hint="eastAsia" w:ascii="仿宋_GB2312" w:hAnsi="Times New Roman" w:eastAsia="仿宋_GB2312" w:cs="Times New Roman"/>
          <w:color w:val="auto"/>
          <w:spacing w:val="0"/>
          <w:kern w:val="2"/>
          <w:sz w:val="32"/>
          <w:szCs w:val="32"/>
          <w:highlight w:val="none"/>
          <w:lang w:val="zh-CN" w:eastAsia="zh-CN" w:bidi="ar-SA"/>
        </w:rPr>
      </w:pPr>
      <w:r>
        <w:rPr>
          <w:rFonts w:hint="eastAsia" w:ascii="仿宋_GB2312" w:hAnsi="Times New Roman" w:eastAsia="仿宋_GB2312" w:cs="Times New Roman"/>
          <w:color w:val="auto"/>
          <w:spacing w:val="0"/>
          <w:kern w:val="2"/>
          <w:sz w:val="32"/>
          <w:szCs w:val="32"/>
          <w:highlight w:val="none"/>
          <w:lang w:val="en-US" w:eastAsia="zh-CN" w:bidi="ar-SA"/>
        </w:rPr>
        <w:t>10.卫生健康支出（类）计划生育事务（款）计划生育服务（项）:支出决算数为0.07万元，比上年决算减少0.23万元，下降77.04%，主要原因是：本年计划生育服务项目下达及支出数比上年减少。</w:t>
      </w:r>
    </w:p>
    <w:p>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640" w:firstLineChars="200"/>
        <w:jc w:val="both"/>
        <w:textAlignment w:val="auto"/>
        <w:rPr>
          <w:rFonts w:hint="eastAsia" w:ascii="仿宋_GB2312" w:hAnsi="Times New Roman" w:eastAsia="仿宋_GB2312" w:cs="Times New Roman"/>
          <w:color w:val="auto"/>
          <w:spacing w:val="0"/>
          <w:kern w:val="2"/>
          <w:sz w:val="32"/>
          <w:szCs w:val="32"/>
          <w:highlight w:val="none"/>
          <w:lang w:val="zh-CN" w:eastAsia="zh-CN" w:bidi="ar-SA"/>
        </w:rPr>
      </w:pPr>
      <w:r>
        <w:rPr>
          <w:rFonts w:hint="eastAsia" w:ascii="仿宋_GB2312" w:hAnsi="Times New Roman" w:eastAsia="仿宋_GB2312" w:cs="Times New Roman"/>
          <w:color w:val="auto"/>
          <w:spacing w:val="0"/>
          <w:kern w:val="2"/>
          <w:sz w:val="32"/>
          <w:szCs w:val="32"/>
          <w:highlight w:val="none"/>
          <w:lang w:val="en-US" w:eastAsia="zh-CN" w:bidi="ar-SA"/>
        </w:rPr>
        <w:t>11.社会保障和就业支出（类）行政事业单位养老支出（款）机关事业单位基本养老保险缴费支出（项）:支出决算数为30.72万元，比上年决算增加7.24万元，增长30.83%，主要原因是：单位职工工资考核增资，机关事业单位基本养老保险缴费支出基数提高。</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六、一般公共预算财政拨款基本支出决算情况说明</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z w:val="32"/>
          <w:szCs w:val="32"/>
          <w:highlight w:val="none"/>
        </w:rPr>
        <w:t>一般公共预算财政拨款基本支出</w:t>
      </w:r>
      <w:r>
        <w:rPr>
          <w:rFonts w:hint="eastAsia" w:ascii="仿宋_GB2312" w:eastAsia="仿宋_GB2312"/>
          <w:color w:val="auto"/>
          <w:sz w:val="32"/>
          <w:szCs w:val="32"/>
          <w:highlight w:val="none"/>
          <w:lang w:eastAsia="zh-CN"/>
        </w:rPr>
        <w:t>312.39</w:t>
      </w:r>
      <w:r>
        <w:rPr>
          <w:rFonts w:hint="eastAsia" w:ascii="仿宋_GB2312" w:eastAsia="仿宋_GB2312"/>
          <w:color w:val="auto"/>
          <w:sz w:val="32"/>
          <w:szCs w:val="32"/>
          <w:highlight w:val="none"/>
        </w:rPr>
        <w:t>万元，其中：</w:t>
      </w:r>
      <w:r>
        <w:rPr>
          <w:rFonts w:hint="eastAsia" w:ascii="仿宋_GB2312" w:eastAsia="仿宋_GB2312"/>
          <w:b/>
          <w:bCs/>
          <w:color w:val="auto"/>
          <w:sz w:val="32"/>
          <w:szCs w:val="32"/>
          <w:highlight w:val="none"/>
        </w:rPr>
        <w:t>人员经费</w:t>
      </w:r>
      <w:r>
        <w:rPr>
          <w:rFonts w:hint="eastAsia" w:ascii="仿宋_GB2312" w:eastAsia="仿宋_GB2312"/>
          <w:b/>
          <w:bCs/>
          <w:color w:val="auto"/>
          <w:sz w:val="32"/>
          <w:szCs w:val="32"/>
          <w:highlight w:val="none"/>
          <w:lang w:eastAsia="zh-CN"/>
        </w:rPr>
        <w:t>309.42</w:t>
      </w:r>
      <w:r>
        <w:rPr>
          <w:rFonts w:hint="eastAsia" w:ascii="仿宋_GB2312" w:eastAsia="仿宋_GB2312"/>
          <w:b/>
          <w:bCs/>
          <w:color w:val="auto"/>
          <w:sz w:val="32"/>
          <w:szCs w:val="32"/>
          <w:highlight w:val="none"/>
        </w:rPr>
        <w:t>万元，</w:t>
      </w:r>
      <w:r>
        <w:rPr>
          <w:rFonts w:hint="eastAsia" w:ascii="仿宋_GB2312" w:eastAsia="仿宋_GB2312"/>
          <w:color w:val="auto"/>
          <w:sz w:val="32"/>
          <w:szCs w:val="32"/>
          <w:highlight w:val="none"/>
        </w:rPr>
        <w:t>包括：</w:t>
      </w:r>
      <w:r>
        <w:rPr>
          <w:rFonts w:hint="eastAsia" w:ascii="仿宋_GB2312" w:eastAsia="仿宋_GB2312"/>
          <w:color w:val="auto"/>
          <w:sz w:val="32"/>
          <w:szCs w:val="32"/>
          <w:highlight w:val="none"/>
          <w:lang w:val="en-US" w:eastAsia="zh-CN"/>
        </w:rPr>
        <w:t>基本工资、津贴补贴、奖金、绩效工资、机关事业单位基本养老保险缴费、职工基本医疗保险缴费、其他社会保障缴费、住房公积金、退休费、医疗费补助、奖励金。</w:t>
      </w:r>
    </w:p>
    <w:p>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both"/>
        <w:textAlignment w:val="auto"/>
        <w:rPr>
          <w:rFonts w:hint="default" w:ascii="仿宋_GB2312" w:eastAsia="仿宋_GB2312"/>
          <w:color w:val="auto"/>
          <w:sz w:val="32"/>
          <w:szCs w:val="32"/>
          <w:highlight w:val="red"/>
          <w:lang w:val="en-US" w:eastAsia="zh-CN"/>
        </w:rPr>
      </w:pPr>
      <w:r>
        <w:rPr>
          <w:rFonts w:hint="eastAsia" w:ascii="仿宋_GB2312" w:eastAsia="仿宋_GB2312"/>
          <w:b/>
          <w:bCs/>
          <w:color w:val="auto"/>
          <w:sz w:val="32"/>
          <w:szCs w:val="32"/>
          <w:highlight w:val="none"/>
        </w:rPr>
        <w:t>公用经费</w:t>
      </w:r>
      <w:r>
        <w:rPr>
          <w:rFonts w:hint="eastAsia" w:ascii="仿宋_GB2312" w:eastAsia="仿宋_GB2312"/>
          <w:b/>
          <w:bCs/>
          <w:color w:val="auto"/>
          <w:sz w:val="32"/>
          <w:szCs w:val="32"/>
          <w:highlight w:val="none"/>
          <w:lang w:eastAsia="zh-CN"/>
        </w:rPr>
        <w:t>2.97</w:t>
      </w:r>
      <w:r>
        <w:rPr>
          <w:rFonts w:hint="eastAsia" w:ascii="仿宋_GB2312" w:eastAsia="仿宋_GB2312"/>
          <w:b/>
          <w:bCs/>
          <w:color w:val="auto"/>
          <w:sz w:val="32"/>
          <w:szCs w:val="32"/>
          <w:highlight w:val="none"/>
        </w:rPr>
        <w:t>万元，</w:t>
      </w:r>
      <w:r>
        <w:rPr>
          <w:rFonts w:hint="eastAsia" w:ascii="仿宋_GB2312" w:eastAsia="仿宋_GB2312"/>
          <w:color w:val="auto"/>
          <w:sz w:val="32"/>
          <w:szCs w:val="32"/>
          <w:highlight w:val="none"/>
        </w:rPr>
        <w:t>包括：</w:t>
      </w:r>
      <w:r>
        <w:rPr>
          <w:rFonts w:hint="eastAsia" w:ascii="仿宋_GB2312" w:eastAsia="仿宋_GB2312"/>
          <w:color w:val="auto"/>
          <w:sz w:val="32"/>
          <w:szCs w:val="32"/>
          <w:highlight w:val="none"/>
          <w:lang w:val="en-US" w:eastAsia="zh-CN"/>
        </w:rPr>
        <w:t>工会经费。</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七、</w:t>
      </w:r>
      <w:r>
        <w:rPr>
          <w:rFonts w:hint="eastAsia" w:ascii="黑体" w:hAnsi="黑体" w:eastAsia="黑体" w:cs="宋体"/>
          <w:bCs/>
          <w:color w:val="auto"/>
          <w:kern w:val="0"/>
          <w:sz w:val="32"/>
          <w:szCs w:val="32"/>
          <w:highlight w:val="none"/>
          <w:lang w:eastAsia="zh-CN"/>
        </w:rPr>
        <w:t>财政拨款</w:t>
      </w:r>
      <w:r>
        <w:rPr>
          <w:rFonts w:hint="eastAsia" w:ascii="黑体" w:hAnsi="黑体" w:eastAsia="黑体" w:cs="宋体"/>
          <w:bCs/>
          <w:color w:val="auto"/>
          <w:kern w:val="0"/>
          <w:sz w:val="32"/>
          <w:szCs w:val="32"/>
          <w:highlight w:val="none"/>
        </w:rPr>
        <w:t>“三公”经费支出</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w:t>
      </w:r>
      <w:r>
        <w:rPr>
          <w:rFonts w:hint="eastAsia" w:ascii="黑体" w:hAnsi="黑体" w:eastAsia="黑体" w:cs="宋体"/>
          <w:bCs/>
          <w:color w:val="auto"/>
          <w:kern w:val="0"/>
          <w:sz w:val="32"/>
          <w:szCs w:val="32"/>
          <w:highlight w:val="none"/>
          <w:lang w:eastAsia="zh-CN"/>
        </w:rPr>
        <w:t>说明</w:t>
      </w:r>
    </w:p>
    <w:p>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both"/>
        <w:textAlignment w:val="auto"/>
        <w:rPr>
          <w:rFonts w:hint="eastAsia" w:ascii="仿宋_GB2312" w:eastAsia="仿宋_GB2312"/>
          <w:color w:val="auto"/>
          <w:sz w:val="32"/>
          <w:szCs w:val="32"/>
          <w:highlight w:val="none"/>
          <w:lang w:val="zh-CN" w:eastAsia="zh-CN"/>
        </w:rPr>
      </w:pPr>
      <w:r>
        <w:rPr>
          <w:rFonts w:hint="eastAsia" w:ascii="仿宋_GB2312" w:eastAsia="仿宋_GB2312"/>
          <w:b/>
          <w:bCs/>
          <w:color w:val="auto"/>
          <w:sz w:val="32"/>
          <w:szCs w:val="32"/>
          <w:highlight w:val="none"/>
          <w:lang w:val="zh-CN" w:eastAsia="zh-CN"/>
        </w:rPr>
        <w:t>2023年度</w:t>
      </w:r>
      <w:r>
        <w:rPr>
          <w:rFonts w:hint="eastAsia" w:ascii="仿宋_GB2312" w:eastAsia="仿宋_GB2312"/>
          <w:b/>
          <w:bCs/>
          <w:color w:val="auto"/>
          <w:sz w:val="32"/>
          <w:szCs w:val="32"/>
          <w:highlight w:val="none"/>
          <w:lang w:val="en-US" w:eastAsia="zh-CN"/>
        </w:rPr>
        <w:t>财政拨款</w:t>
      </w:r>
      <w:r>
        <w:rPr>
          <w:rFonts w:hint="eastAsia" w:ascii="仿宋_GB2312" w:eastAsia="仿宋_GB2312"/>
          <w:b/>
          <w:bCs/>
          <w:color w:val="auto"/>
          <w:sz w:val="32"/>
          <w:szCs w:val="32"/>
          <w:highlight w:val="none"/>
          <w:lang w:val="zh-CN" w:eastAsia="zh-CN"/>
        </w:rPr>
        <w:t>“三公”经费支出0.00万元，</w:t>
      </w:r>
      <w:r>
        <w:rPr>
          <w:rFonts w:hint="eastAsia" w:ascii="仿宋_GB2312" w:eastAsia="仿宋_GB2312"/>
          <w:color w:val="auto"/>
          <w:sz w:val="32"/>
          <w:szCs w:val="32"/>
          <w:highlight w:val="none"/>
          <w:lang w:val="en-US" w:eastAsia="zh-CN"/>
        </w:rPr>
        <w:t>比上年</w:t>
      </w:r>
      <w:r>
        <w:rPr>
          <w:rFonts w:hint="eastAsia" w:ascii="仿宋_GB2312" w:eastAsia="仿宋_GB2312"/>
          <w:color w:val="auto"/>
          <w:sz w:val="32"/>
          <w:szCs w:val="32"/>
          <w:highlight w:val="none"/>
          <w:lang w:val="zh-CN" w:eastAsia="zh-CN"/>
        </w:rPr>
        <w:t>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w:t>
      </w:r>
      <w:r>
        <w:rPr>
          <w:rFonts w:hint="eastAsia" w:ascii="仿宋_GB2312" w:eastAsia="仿宋_GB2312"/>
          <w:sz w:val="32"/>
          <w:szCs w:val="32"/>
          <w:highlight w:val="none"/>
        </w:rPr>
        <w:t>没有此项支出</w:t>
      </w:r>
      <w:r>
        <w:rPr>
          <w:rFonts w:hint="eastAsia" w:ascii="仿宋_GB2312" w:eastAsia="仿宋_GB2312"/>
          <w:color w:val="auto"/>
          <w:sz w:val="32"/>
          <w:szCs w:val="32"/>
          <w:highlight w:val="none"/>
          <w:lang w:val="zh-CN" w:eastAsia="zh-CN"/>
        </w:rPr>
        <w:t>。其中：因公出国（境）费支出0.00万元，占0.00%，比上年增加0.00万元，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w:t>
      </w:r>
      <w:r>
        <w:rPr>
          <w:rFonts w:hint="eastAsia" w:ascii="仿宋_GB2312" w:eastAsia="仿宋_GB2312"/>
          <w:sz w:val="32"/>
          <w:szCs w:val="32"/>
          <w:highlight w:val="none"/>
        </w:rPr>
        <w:t>没有此项支出</w:t>
      </w:r>
      <w:r>
        <w:rPr>
          <w:rFonts w:hint="eastAsia" w:ascii="仿宋_GB2312" w:eastAsia="仿宋_GB2312"/>
          <w:color w:val="auto"/>
          <w:sz w:val="32"/>
          <w:szCs w:val="32"/>
          <w:highlight w:val="none"/>
          <w:lang w:val="zh-CN" w:eastAsia="zh-CN"/>
        </w:rPr>
        <w:t>；公务用车购置及运行维护费支出0.00万元，占0.00%，比上年增加0.00万元，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w:t>
      </w:r>
      <w:r>
        <w:rPr>
          <w:rFonts w:hint="eastAsia" w:ascii="仿宋_GB2312" w:eastAsia="仿宋_GB2312"/>
          <w:sz w:val="32"/>
          <w:szCs w:val="32"/>
          <w:highlight w:val="none"/>
        </w:rPr>
        <w:t>没有此项支出</w:t>
      </w:r>
      <w:r>
        <w:rPr>
          <w:rFonts w:hint="eastAsia" w:ascii="仿宋_GB2312" w:eastAsia="仿宋_GB2312"/>
          <w:color w:val="auto"/>
          <w:sz w:val="32"/>
          <w:szCs w:val="32"/>
          <w:highlight w:val="none"/>
          <w:lang w:val="zh-CN" w:eastAsia="zh-CN"/>
        </w:rPr>
        <w:t>；公务接待费支出0.00万元，占0.00%，比上年增加0.00万元，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w:t>
      </w:r>
      <w:r>
        <w:rPr>
          <w:rFonts w:hint="eastAsia" w:ascii="仿宋_GB2312" w:eastAsia="仿宋_GB2312"/>
          <w:sz w:val="32"/>
          <w:szCs w:val="32"/>
          <w:highlight w:val="none"/>
        </w:rPr>
        <w:t>没有此项支出</w:t>
      </w:r>
      <w:r>
        <w:rPr>
          <w:rFonts w:hint="eastAsia" w:ascii="仿宋_GB2312" w:eastAsia="仿宋_GB2312"/>
          <w:color w:val="auto"/>
          <w:sz w:val="32"/>
          <w:szCs w:val="32"/>
          <w:highlight w:val="none"/>
          <w:lang w:val="zh-CN"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both"/>
        <w:textAlignment w:val="auto"/>
        <w:rPr>
          <w:rFonts w:hint="eastAsia" w:ascii="仿宋_GB2312" w:eastAsia="仿宋_GB2312"/>
          <w:b/>
          <w:bCs/>
          <w:color w:val="auto"/>
          <w:sz w:val="32"/>
          <w:szCs w:val="32"/>
          <w:highlight w:val="none"/>
          <w:lang w:val="zh-CN" w:eastAsia="zh-CN"/>
        </w:rPr>
      </w:pPr>
      <w:r>
        <w:rPr>
          <w:rFonts w:hint="eastAsia" w:ascii="仿宋_GB2312" w:eastAsia="仿宋_GB2312"/>
          <w:b/>
          <w:bCs/>
          <w:color w:val="auto"/>
          <w:sz w:val="32"/>
          <w:szCs w:val="32"/>
          <w:highlight w:val="none"/>
          <w:lang w:val="zh-CN" w:eastAsia="zh-CN"/>
        </w:rPr>
        <w:t>具体情况如下：</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因公出国（境）费支出0.00万元，开支内容包括</w:t>
      </w:r>
      <w:r>
        <w:rPr>
          <w:rFonts w:hint="eastAsia" w:ascii="仿宋_GB2312" w:eastAsia="仿宋_GB2312"/>
          <w:sz w:val="32"/>
          <w:szCs w:val="32"/>
          <w:highlight w:val="none"/>
          <w:lang w:eastAsia="zh-CN"/>
        </w:rPr>
        <w:t>无</w:t>
      </w:r>
      <w:r>
        <w:rPr>
          <w:rFonts w:hint="eastAsia" w:ascii="仿宋_GB2312" w:eastAsia="仿宋_GB2312"/>
          <w:sz w:val="32"/>
          <w:szCs w:val="32"/>
          <w:highlight w:val="none"/>
        </w:rPr>
        <w:t>此项支出</w:t>
      </w:r>
      <w:r>
        <w:rPr>
          <w:rFonts w:hint="eastAsia" w:ascii="仿宋_GB2312" w:eastAsia="仿宋_GB2312"/>
          <w:sz w:val="32"/>
          <w:szCs w:val="32"/>
          <w:highlight w:val="none"/>
          <w:lang w:eastAsia="zh-CN"/>
        </w:rPr>
        <w:t>内容</w:t>
      </w:r>
      <w:r>
        <w:rPr>
          <w:rFonts w:hint="eastAsia" w:ascii="仿宋_GB2312" w:eastAsia="仿宋_GB2312"/>
          <w:color w:val="auto"/>
          <w:sz w:val="32"/>
          <w:szCs w:val="32"/>
          <w:highlight w:val="none"/>
          <w:lang w:val="zh-CN" w:eastAsia="zh-CN"/>
        </w:rPr>
        <w:t>。单位全年安排的因公出国（境）团组0个，因公出国（境）0人次。</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zh-CN" w:eastAsia="zh-CN"/>
        </w:rPr>
        <w:t>公务用车购置及运行维护费0.00万元，其中：公务用车购置费0.00万元，公务用车运行维护费0.00万元。公务用车运行维护费开支内容包括</w:t>
      </w:r>
      <w:r>
        <w:rPr>
          <w:rFonts w:hint="eastAsia" w:ascii="仿宋_GB2312" w:eastAsia="仿宋_GB2312"/>
          <w:sz w:val="32"/>
          <w:szCs w:val="32"/>
          <w:highlight w:val="none"/>
        </w:rPr>
        <w:t>没有此项支出</w:t>
      </w:r>
      <w:r>
        <w:rPr>
          <w:rFonts w:hint="eastAsia" w:ascii="仿宋_GB2312" w:eastAsia="仿宋_GB2312"/>
          <w:color w:val="auto"/>
          <w:sz w:val="32"/>
          <w:szCs w:val="32"/>
          <w:highlight w:val="none"/>
          <w:lang w:val="zh-CN" w:eastAsia="zh-CN"/>
        </w:rPr>
        <w:t>。公务用车购置数0辆，公务用车保有量0辆。国有资产占用情况</w:t>
      </w:r>
      <w:r>
        <w:rPr>
          <w:rFonts w:hint="eastAsia" w:ascii="仿宋_GB2312" w:eastAsia="仿宋_GB2312"/>
          <w:color w:val="auto"/>
          <w:sz w:val="32"/>
          <w:szCs w:val="32"/>
          <w:highlight w:val="none"/>
          <w:lang w:val="en-US" w:eastAsia="zh-CN"/>
        </w:rPr>
        <w:t>中固定资产车辆</w:t>
      </w:r>
      <w:r>
        <w:rPr>
          <w:rFonts w:hint="eastAsia" w:ascii="仿宋_GB2312" w:eastAsia="仿宋_GB2312"/>
          <w:color w:val="auto"/>
          <w:sz w:val="32"/>
          <w:szCs w:val="32"/>
          <w:highlight w:val="none"/>
          <w:lang w:val="zh-CN" w:eastAsia="zh-CN"/>
        </w:rPr>
        <w:t>1辆，与公务用车保有量差异原因是：</w:t>
      </w:r>
      <w:r>
        <w:rPr>
          <w:rFonts w:hint="eastAsia" w:ascii="仿宋_GB2312" w:eastAsia="仿宋_GB2312"/>
          <w:sz w:val="32"/>
          <w:szCs w:val="32"/>
          <w:lang w:val="zh-CN"/>
        </w:rPr>
        <w:t>本单位没有公务用车</w:t>
      </w:r>
      <w:r>
        <w:rPr>
          <w:rFonts w:hint="eastAsia" w:ascii="仿宋_GB2312" w:eastAsia="仿宋_GB2312"/>
          <w:color w:val="auto"/>
          <w:sz w:val="32"/>
          <w:szCs w:val="32"/>
          <w:highlight w:val="none"/>
          <w:lang w:val="zh-CN" w:eastAsia="zh-CN"/>
        </w:rPr>
        <w:t>。</w:t>
      </w:r>
      <w:bookmarkStart w:id="48" w:name="_GoBack"/>
      <w:bookmarkEnd w:id="48"/>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公务接待费0.00万元，开支内容包括</w:t>
      </w:r>
      <w:r>
        <w:rPr>
          <w:rFonts w:hint="eastAsia" w:ascii="仿宋_GB2312" w:eastAsia="仿宋_GB2312"/>
          <w:sz w:val="32"/>
          <w:szCs w:val="32"/>
          <w:highlight w:val="none"/>
        </w:rPr>
        <w:t>没有此项支出</w:t>
      </w:r>
      <w:r>
        <w:rPr>
          <w:rFonts w:hint="eastAsia" w:ascii="仿宋_GB2312" w:eastAsia="仿宋_GB2312"/>
          <w:color w:val="auto"/>
          <w:sz w:val="32"/>
          <w:szCs w:val="32"/>
          <w:highlight w:val="none"/>
          <w:lang w:val="zh-CN" w:eastAsia="zh-CN"/>
        </w:rPr>
        <w:t>。单位全年安排的国内公务接待0批次，0人次。</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与</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预算相比</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lang w:val="zh-CN" w:eastAsia="zh-CN"/>
        </w:rPr>
        <w:t>财政拨款“三公”经费支出</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sz w:val="32"/>
          <w:szCs w:val="32"/>
          <w:highlight w:val="none"/>
          <w:lang w:val="en-US" w:eastAsia="zh-CN"/>
        </w:rPr>
        <w:t>严格按照预算执行，无差异</w:t>
      </w:r>
      <w:r>
        <w:rPr>
          <w:rFonts w:hint="eastAsia" w:ascii="仿宋_GB2312" w:eastAsia="仿宋_GB2312"/>
          <w:color w:val="auto"/>
          <w:sz w:val="32"/>
          <w:szCs w:val="32"/>
          <w:highlight w:val="none"/>
          <w:lang w:val="zh-CN" w:eastAsia="zh-CN"/>
        </w:rPr>
        <w:t>。其中：因公出国（境）费</w:t>
      </w:r>
      <w:r>
        <w:rPr>
          <w:rFonts w:hint="eastAsia" w:ascii="仿宋_GB2312" w:eastAsia="仿宋_GB2312"/>
          <w:color w:val="auto"/>
          <w:sz w:val="32"/>
          <w:szCs w:val="32"/>
          <w:highlight w:val="none"/>
          <w:lang w:val="en-US" w:eastAsia="zh-CN"/>
        </w:rPr>
        <w:t>全年预算数</w:t>
      </w:r>
      <w:r>
        <w:rPr>
          <w:rFonts w:hint="eastAsia" w:ascii="仿宋_GB2312" w:eastAsia="仿宋_GB2312"/>
          <w:color w:val="auto"/>
          <w:sz w:val="32"/>
          <w:szCs w:val="32"/>
          <w:highlight w:val="none"/>
          <w:lang w:val="zh-CN" w:eastAsia="zh-CN"/>
        </w:rPr>
        <w:t>0.00万元，决算数0.00万元，预决算差异率0.00%，主要原因是：</w:t>
      </w:r>
      <w:r>
        <w:rPr>
          <w:rFonts w:hint="eastAsia" w:ascii="仿宋_GB2312" w:eastAsia="仿宋_GB2312"/>
          <w:sz w:val="32"/>
          <w:szCs w:val="32"/>
          <w:highlight w:val="none"/>
          <w:lang w:val="en-US" w:eastAsia="zh-CN"/>
        </w:rPr>
        <w:t>严格按照预算执行，无差异</w:t>
      </w:r>
      <w:r>
        <w:rPr>
          <w:rFonts w:hint="eastAsia" w:ascii="仿宋_GB2312" w:eastAsia="仿宋_GB2312"/>
          <w:color w:val="auto"/>
          <w:sz w:val="32"/>
          <w:szCs w:val="32"/>
          <w:highlight w:val="none"/>
          <w:lang w:val="zh-CN" w:eastAsia="zh-CN"/>
        </w:rPr>
        <w:t>；公务用车购置费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sz w:val="32"/>
          <w:szCs w:val="32"/>
          <w:highlight w:val="none"/>
          <w:lang w:val="en-US" w:eastAsia="zh-CN"/>
        </w:rPr>
        <w:t>严格按照预算执行，无差异</w:t>
      </w:r>
      <w:r>
        <w:rPr>
          <w:rFonts w:hint="eastAsia" w:ascii="仿宋_GB2312" w:eastAsia="仿宋_GB2312"/>
          <w:color w:val="auto"/>
          <w:sz w:val="32"/>
          <w:szCs w:val="32"/>
          <w:highlight w:val="none"/>
          <w:lang w:val="zh-CN" w:eastAsia="zh-CN"/>
        </w:rPr>
        <w:t>；公务用车运行费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sz w:val="32"/>
          <w:szCs w:val="32"/>
          <w:highlight w:val="none"/>
          <w:lang w:val="en-US" w:eastAsia="zh-CN"/>
        </w:rPr>
        <w:t>严格按照预算执行，无差异</w:t>
      </w:r>
      <w:r>
        <w:rPr>
          <w:rFonts w:hint="eastAsia" w:ascii="仿宋_GB2312" w:eastAsia="仿宋_GB2312"/>
          <w:color w:val="auto"/>
          <w:sz w:val="32"/>
          <w:szCs w:val="32"/>
          <w:highlight w:val="none"/>
          <w:lang w:val="zh-CN" w:eastAsia="zh-CN"/>
        </w:rPr>
        <w:t>；公务接待费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sz w:val="32"/>
          <w:szCs w:val="32"/>
          <w:highlight w:val="none"/>
          <w:lang w:val="en-US" w:eastAsia="zh-CN"/>
        </w:rPr>
        <w:t>严格按照预算执行，无差异</w:t>
      </w:r>
      <w:r>
        <w:rPr>
          <w:rFonts w:hint="eastAsia" w:ascii="仿宋_GB2312" w:eastAsia="仿宋_GB2312"/>
          <w:color w:val="auto"/>
          <w:sz w:val="32"/>
          <w:szCs w:val="32"/>
          <w:highlight w:val="none"/>
          <w:lang w:val="zh-CN"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仿宋_GB2312" w:eastAsia="仿宋_GB2312"/>
          <w:color w:val="auto"/>
          <w:sz w:val="32"/>
          <w:szCs w:val="32"/>
          <w:highlight w:val="none"/>
          <w:lang w:eastAsia="zh-CN"/>
        </w:rPr>
      </w:pPr>
      <w:bookmarkStart w:id="18" w:name="_Toc7927"/>
      <w:bookmarkStart w:id="19" w:name="_Toc5810"/>
      <w:r>
        <w:rPr>
          <w:rFonts w:hint="eastAsia" w:ascii="黑体" w:hAnsi="黑体" w:eastAsia="黑体" w:cs="宋体"/>
          <w:bCs/>
          <w:color w:val="auto"/>
          <w:kern w:val="0"/>
          <w:sz w:val="32"/>
          <w:szCs w:val="32"/>
          <w:highlight w:val="none"/>
          <w:lang w:val="en-US" w:eastAsia="zh-CN"/>
        </w:rPr>
        <w:t>八</w:t>
      </w:r>
      <w:r>
        <w:rPr>
          <w:rFonts w:hint="eastAsia" w:ascii="黑体" w:hAnsi="黑体" w:eastAsia="黑体" w:cs="宋体"/>
          <w:bCs/>
          <w:color w:val="auto"/>
          <w:kern w:val="0"/>
          <w:sz w:val="32"/>
          <w:szCs w:val="32"/>
          <w:highlight w:val="none"/>
          <w:lang w:eastAsia="zh-CN"/>
        </w:rPr>
        <w:t>、政府性基金预算财政拨款收入支出决算情况说明</w:t>
      </w:r>
      <w:bookmarkEnd w:id="18"/>
      <w:bookmarkEnd w:id="19"/>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本年度无政府性基金预算财政拨款收入、支出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政府性基金预算财政拨款收入支出决算表为空表。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仿宋_GB2312" w:eastAsia="仿宋_GB2312"/>
          <w:color w:val="auto"/>
          <w:sz w:val="32"/>
          <w:szCs w:val="32"/>
          <w:highlight w:val="none"/>
          <w:lang w:eastAsia="zh-CN"/>
        </w:rPr>
      </w:pPr>
      <w:r>
        <w:rPr>
          <w:rFonts w:hint="eastAsia" w:ascii="黑体" w:hAnsi="黑体" w:eastAsia="黑体" w:cs="宋体"/>
          <w:bCs/>
          <w:color w:val="auto"/>
          <w:kern w:val="0"/>
          <w:sz w:val="32"/>
          <w:szCs w:val="32"/>
          <w:highlight w:val="none"/>
          <w:lang w:val="en-US" w:eastAsia="zh-CN"/>
        </w:rPr>
        <w:t>九</w:t>
      </w:r>
      <w:r>
        <w:rPr>
          <w:rFonts w:hint="eastAsia" w:ascii="黑体" w:hAnsi="黑体" w:eastAsia="黑体" w:cs="宋体"/>
          <w:bCs/>
          <w:color w:val="auto"/>
          <w:kern w:val="0"/>
          <w:sz w:val="32"/>
          <w:szCs w:val="32"/>
          <w:highlight w:val="none"/>
          <w:lang w:eastAsia="zh-CN"/>
        </w:rPr>
        <w:t>、国有资本经营预算财政拨款收入支出决算情况说明</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本年度无国有资本经营预算财政拨款收入、支出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，国有资本经营</w:t>
      </w:r>
      <w:r>
        <w:rPr>
          <w:rFonts w:hint="eastAsia" w:ascii="仿宋_GB2312" w:eastAsia="仿宋_GB2312"/>
          <w:color w:val="auto"/>
          <w:sz w:val="32"/>
          <w:szCs w:val="32"/>
          <w:highlight w:val="none"/>
        </w:rPr>
        <w:t>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bookmarkStart w:id="20" w:name="_Toc7314"/>
      <w:bookmarkStart w:id="21" w:name="_Toc1235"/>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rPr>
        <w:t>、其他重要事项的情况</w:t>
      </w:r>
      <w:r>
        <w:rPr>
          <w:rFonts w:hint="eastAsia" w:ascii="黑体" w:hAnsi="黑体" w:eastAsia="黑体" w:cs="宋体"/>
          <w:bCs/>
          <w:color w:val="auto"/>
          <w:kern w:val="0"/>
          <w:sz w:val="32"/>
          <w:szCs w:val="32"/>
          <w:highlight w:val="none"/>
          <w:lang w:eastAsia="zh-CN"/>
        </w:rPr>
        <w:t>说明</w:t>
      </w:r>
      <w:bookmarkEnd w:id="20"/>
      <w:bookmarkEnd w:id="2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2"/>
        <w:rPr>
          <w:rFonts w:hint="eastAsia" w:ascii="黑体" w:hAnsi="黑体" w:eastAsia="黑体"/>
          <w:color w:val="auto"/>
          <w:sz w:val="32"/>
          <w:szCs w:val="32"/>
          <w:highlight w:val="none"/>
        </w:rPr>
      </w:pPr>
      <w:bookmarkStart w:id="22" w:name="_Toc14519"/>
      <w:bookmarkStart w:id="23" w:name="_Toc13105"/>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机关运行经费支出情况</w:t>
      </w:r>
      <w:bookmarkEnd w:id="22"/>
      <w:bookmarkEnd w:id="23"/>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en-US" w:eastAsia="zh-CN"/>
        </w:rPr>
      </w:pPr>
      <w:bookmarkStart w:id="24" w:name="_Toc227"/>
      <w:bookmarkStart w:id="25" w:name="_Toc26704"/>
      <w:r>
        <w:rPr>
          <w:rFonts w:hint="eastAsia" w:ascii="仿宋_GB2312" w:eastAsia="仿宋_GB2312"/>
          <w:color w:val="auto"/>
          <w:sz w:val="32"/>
          <w:szCs w:val="32"/>
          <w:highlight w:val="none"/>
          <w:lang w:val="zh-CN" w:eastAsia="zh-CN"/>
        </w:rPr>
        <w:t>2023年度</w:t>
      </w:r>
      <w:r>
        <w:rPr>
          <w:rFonts w:hint="eastAsia" w:ascii="仿宋_GB2312" w:eastAsia="仿宋_GB2312"/>
          <w:color w:val="auto"/>
          <w:sz w:val="32"/>
          <w:szCs w:val="32"/>
          <w:highlight w:val="none"/>
          <w:lang w:val="en-US" w:eastAsia="zh-CN"/>
        </w:rPr>
        <w:t>裕民县新地乡卫生院（事业单位）公用经费支出2.97万元，</w:t>
      </w:r>
      <w:r>
        <w:rPr>
          <w:rFonts w:hint="eastAsia" w:ascii="仿宋_GB2312" w:eastAsia="仿宋_GB2312"/>
          <w:color w:val="auto"/>
          <w:sz w:val="32"/>
          <w:szCs w:val="32"/>
          <w:highlight w:val="none"/>
          <w:lang w:val="zh-CN" w:eastAsia="zh-CN"/>
        </w:rPr>
        <w:t>比上年增加0.15万元，增长5.31%，主要原因是：</w:t>
      </w:r>
      <w:r>
        <w:rPr>
          <w:rFonts w:hint="eastAsia" w:ascii="仿宋_GB2312" w:eastAsia="仿宋_GB2312"/>
          <w:color w:val="auto"/>
          <w:sz w:val="32"/>
          <w:szCs w:val="32"/>
          <w:highlight w:val="none"/>
          <w:lang w:eastAsia="zh-CN"/>
        </w:rPr>
        <w:t>202</w:t>
      </w:r>
      <w:r>
        <w:rPr>
          <w:rFonts w:hint="eastAsia" w:ascii="仿宋_GB2312" w:eastAsia="仿宋_GB2312"/>
          <w:color w:val="auto"/>
          <w:sz w:val="32"/>
          <w:szCs w:val="32"/>
          <w:highlight w:val="none"/>
          <w:lang w:val="en-US" w:eastAsia="zh-CN"/>
        </w:rPr>
        <w:t>3</w:t>
      </w:r>
      <w:r>
        <w:rPr>
          <w:rFonts w:hint="eastAsia" w:ascii="仿宋_GB2312" w:eastAsia="仿宋_GB2312"/>
          <w:color w:val="auto"/>
          <w:sz w:val="32"/>
          <w:szCs w:val="32"/>
          <w:highlight w:val="none"/>
          <w:lang w:eastAsia="zh-CN"/>
        </w:rPr>
        <w:t>年单位职工增资，所以机关运行经费财政拨款决算比上年决算增加</w:t>
      </w:r>
      <w:r>
        <w:rPr>
          <w:rFonts w:hint="eastAsia" w:ascii="仿宋_GB2312" w:eastAsia="仿宋_GB2312"/>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2"/>
        <w:rPr>
          <w:rFonts w:hint="eastAsia" w:ascii="Times New Roman" w:hAnsi="Times New Roman" w:eastAsia="黑体" w:cs="Times New Roman"/>
          <w:color w:val="auto"/>
          <w:sz w:val="32"/>
          <w:szCs w:val="30"/>
          <w:highlight w:val="none"/>
          <w:lang w:val="zh-CN" w:eastAsia="zh-CN"/>
        </w:rPr>
      </w:pPr>
      <w:r>
        <w:rPr>
          <w:rFonts w:hint="eastAsia" w:ascii="Times New Roman" w:hAnsi="Times New Roman" w:eastAsia="黑体" w:cs="Times New Roman"/>
          <w:color w:val="auto"/>
          <w:sz w:val="32"/>
          <w:szCs w:val="30"/>
          <w:highlight w:val="none"/>
          <w:lang w:val="zh-CN" w:eastAsia="zh-CN"/>
        </w:rPr>
        <w:t>（二）政府采购情况</w:t>
      </w:r>
      <w:bookmarkEnd w:id="24"/>
      <w:bookmarkEnd w:id="25"/>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2023年度政府采购支出总额9.56万元，其中：政府采购货物支出4.67万元、政府采购工程支出0.00万元、政府采购服务支出4.89万元。</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zh-CN" w:eastAsia="zh-CN"/>
        </w:rPr>
        <w:t>授予中小企业合同金额9.56万元，占政府采购支出总额的100.00</w:t>
      </w:r>
      <w:r>
        <w:rPr>
          <w:rFonts w:hint="default" w:ascii="仿宋_GB2312" w:eastAsia="仿宋_GB2312"/>
          <w:color w:val="auto"/>
          <w:sz w:val="32"/>
          <w:szCs w:val="32"/>
          <w:highlight w:val="none"/>
          <w:lang w:val="zh-CN" w:eastAsia="zh-CN"/>
        </w:rPr>
        <w:t>%</w:t>
      </w:r>
      <w:r>
        <w:rPr>
          <w:rFonts w:hint="eastAsia" w:ascii="仿宋_GB2312" w:eastAsia="仿宋_GB2312"/>
          <w:color w:val="auto"/>
          <w:sz w:val="32"/>
          <w:szCs w:val="32"/>
          <w:highlight w:val="none"/>
          <w:lang w:val="zh-CN" w:eastAsia="zh-CN"/>
        </w:rPr>
        <w:t>，其中：授予小微企业合同金额9.56万元，占政府采购支出总额的100.00</w:t>
      </w:r>
      <w:r>
        <w:rPr>
          <w:rFonts w:hint="default" w:ascii="仿宋_GB2312" w:eastAsia="仿宋_GB2312"/>
          <w:color w:val="auto"/>
          <w:sz w:val="32"/>
          <w:szCs w:val="32"/>
          <w:highlight w:val="none"/>
          <w:lang w:val="zh-CN" w:eastAsia="zh-CN"/>
        </w:rPr>
        <w:t>%</w:t>
      </w:r>
      <w:r>
        <w:rPr>
          <w:rFonts w:hint="eastAsia" w:ascii="仿宋_GB2312" w:eastAsia="仿宋_GB2312"/>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2"/>
        <w:rPr>
          <w:rFonts w:hint="eastAsia" w:ascii="Times New Roman" w:hAnsi="Times New Roman" w:eastAsia="黑体" w:cs="Times New Roman"/>
          <w:color w:val="auto"/>
          <w:sz w:val="32"/>
          <w:szCs w:val="30"/>
          <w:highlight w:val="none"/>
          <w:lang w:val="zh-CN" w:eastAsia="zh-CN"/>
        </w:rPr>
      </w:pPr>
      <w:bookmarkStart w:id="26" w:name="_Toc4591"/>
      <w:bookmarkStart w:id="27" w:name="_Toc8391"/>
      <w:r>
        <w:rPr>
          <w:rFonts w:hint="eastAsia" w:ascii="Times New Roman" w:hAnsi="Times New Roman" w:eastAsia="黑体" w:cs="Times New Roman"/>
          <w:color w:val="auto"/>
          <w:sz w:val="32"/>
          <w:szCs w:val="30"/>
          <w:highlight w:val="none"/>
          <w:lang w:val="zh-CN" w:eastAsia="zh-CN"/>
        </w:rPr>
        <w:t>（三）国有资产占用情况说明</w:t>
      </w:r>
      <w:bookmarkEnd w:id="26"/>
      <w:bookmarkEnd w:id="27"/>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en-US" w:eastAsia="zh-CN"/>
        </w:rPr>
        <w:t>截至2023</w:t>
      </w:r>
      <w:r>
        <w:rPr>
          <w:rFonts w:hint="eastAsia" w:ascii="仿宋_GB2312" w:eastAsia="仿宋_GB2312"/>
          <w:color w:val="auto"/>
          <w:sz w:val="32"/>
          <w:szCs w:val="32"/>
          <w:highlight w:val="none"/>
          <w:lang w:val="zh-CN" w:eastAsia="zh-CN"/>
        </w:rPr>
        <w:t>年</w:t>
      </w:r>
      <w:r>
        <w:rPr>
          <w:rFonts w:hint="eastAsia" w:ascii="仿宋_GB2312" w:eastAsia="仿宋_GB2312"/>
          <w:color w:val="auto"/>
          <w:sz w:val="32"/>
          <w:szCs w:val="32"/>
          <w:highlight w:val="none"/>
          <w:lang w:val="en-US" w:eastAsia="zh-CN"/>
        </w:rPr>
        <w:t>12月31日</w:t>
      </w:r>
      <w:r>
        <w:rPr>
          <w:rFonts w:hint="eastAsia" w:ascii="仿宋_GB2312" w:eastAsia="仿宋_GB2312"/>
          <w:color w:val="auto"/>
          <w:sz w:val="32"/>
          <w:szCs w:val="32"/>
          <w:highlight w:val="none"/>
          <w:lang w:val="zh-CN" w:eastAsia="zh-CN"/>
        </w:rPr>
        <w:t>，</w:t>
      </w:r>
      <w:r>
        <w:rPr>
          <w:rFonts w:hint="eastAsia" w:ascii="仿宋_GB2312" w:eastAsia="仿宋_GB2312"/>
          <w:color w:val="auto"/>
          <w:sz w:val="32"/>
          <w:szCs w:val="32"/>
          <w:highlight w:val="none"/>
          <w:lang w:val="en-US" w:eastAsia="zh-CN"/>
        </w:rPr>
        <w:t>固定资产原值</w:t>
      </w:r>
      <w:r>
        <w:rPr>
          <w:rFonts w:hint="eastAsia" w:ascii="仿宋_GB2312" w:eastAsia="仿宋_GB2312"/>
          <w:color w:val="auto"/>
          <w:sz w:val="32"/>
          <w:szCs w:val="32"/>
          <w:highlight w:val="none"/>
          <w:lang w:val="zh-CN" w:eastAsia="zh-CN"/>
        </w:rPr>
        <w:t>244.29</w:t>
      </w:r>
      <w:r>
        <w:rPr>
          <w:rFonts w:hint="eastAsia" w:ascii="仿宋_GB2312" w:eastAsia="仿宋_GB2312"/>
          <w:color w:val="auto"/>
          <w:sz w:val="32"/>
          <w:szCs w:val="32"/>
          <w:highlight w:val="none"/>
          <w:lang w:val="en-US" w:eastAsia="zh-CN"/>
        </w:rPr>
        <w:t>万元，房</w:t>
      </w:r>
      <w:r>
        <w:rPr>
          <w:rFonts w:hint="eastAsia" w:ascii="仿宋_GB2312" w:eastAsia="仿宋_GB2312"/>
          <w:color w:val="auto"/>
          <w:sz w:val="32"/>
          <w:szCs w:val="32"/>
          <w:highlight w:val="none"/>
          <w:lang w:val="zh-CN" w:eastAsia="zh-CN"/>
        </w:rPr>
        <w:t>屋410.0平方米，价值35.64万元。车辆1辆，价值10.45万元，其中：副部（省）级及以上领导用车0辆、主要</w:t>
      </w:r>
      <w:r>
        <w:rPr>
          <w:rFonts w:hint="eastAsia" w:ascii="仿宋_GB2312" w:eastAsia="仿宋_GB2312"/>
          <w:color w:val="auto"/>
          <w:sz w:val="32"/>
          <w:szCs w:val="32"/>
          <w:highlight w:val="none"/>
          <w:lang w:val="en-US" w:eastAsia="zh-CN"/>
        </w:rPr>
        <w:t>负责人</w:t>
      </w:r>
      <w:r>
        <w:rPr>
          <w:rFonts w:hint="eastAsia" w:ascii="仿宋_GB2312" w:eastAsia="仿宋_GB2312"/>
          <w:color w:val="auto"/>
          <w:sz w:val="32"/>
          <w:szCs w:val="32"/>
          <w:highlight w:val="none"/>
          <w:lang w:val="zh-CN" w:eastAsia="zh-CN"/>
        </w:rPr>
        <w:t>用车0辆、机要通信用车0辆、应急保障用车0辆、执法执勤用车0辆、特种专业技术用车</w:t>
      </w:r>
      <w:r>
        <w:rPr>
          <w:rFonts w:hint="eastAsia" w:ascii="仿宋_GB2312" w:eastAsia="仿宋_GB2312"/>
          <w:color w:val="auto"/>
          <w:sz w:val="32"/>
          <w:szCs w:val="32"/>
          <w:highlight w:val="none"/>
          <w:lang w:val="en-US" w:eastAsia="zh-CN"/>
        </w:rPr>
        <w:t>1</w:t>
      </w:r>
      <w:r>
        <w:rPr>
          <w:rFonts w:hint="eastAsia" w:ascii="仿宋_GB2312" w:eastAsia="仿宋_GB2312"/>
          <w:color w:val="auto"/>
          <w:sz w:val="32"/>
          <w:szCs w:val="32"/>
          <w:highlight w:val="none"/>
          <w:lang w:val="zh-CN" w:eastAsia="zh-CN"/>
        </w:rPr>
        <w:t>辆、离退休干部</w:t>
      </w:r>
      <w:r>
        <w:rPr>
          <w:rFonts w:hint="eastAsia" w:ascii="仿宋_GB2312" w:eastAsia="仿宋_GB2312"/>
          <w:color w:val="auto"/>
          <w:sz w:val="32"/>
          <w:szCs w:val="32"/>
          <w:highlight w:val="none"/>
          <w:lang w:val="en-US" w:eastAsia="zh-CN"/>
        </w:rPr>
        <w:t>服务</w:t>
      </w:r>
      <w:r>
        <w:rPr>
          <w:rFonts w:hint="eastAsia" w:ascii="仿宋_GB2312" w:eastAsia="仿宋_GB2312"/>
          <w:color w:val="auto"/>
          <w:sz w:val="32"/>
          <w:szCs w:val="32"/>
          <w:highlight w:val="none"/>
          <w:lang w:val="zh-CN" w:eastAsia="zh-CN"/>
        </w:rPr>
        <w:t>用车0辆、其他用车</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lang w:val="zh-CN" w:eastAsia="zh-CN"/>
        </w:rPr>
        <w:t>辆，其他用车主要是：我单位没有其他用车；单价100万元（含）以上设备（不含车辆）0</w:t>
      </w:r>
      <w:r>
        <w:rPr>
          <w:rFonts w:hint="eastAsia" w:ascii="仿宋_GB2312" w:eastAsia="仿宋_GB2312"/>
          <w:color w:val="auto"/>
          <w:sz w:val="32"/>
          <w:szCs w:val="32"/>
          <w:highlight w:val="none"/>
          <w:lang w:val="en-US" w:eastAsia="zh-CN"/>
        </w:rPr>
        <w:t>台（</w:t>
      </w:r>
      <w:r>
        <w:rPr>
          <w:rFonts w:hint="eastAsia" w:ascii="仿宋_GB2312" w:eastAsia="仿宋_GB2312"/>
          <w:color w:val="auto"/>
          <w:sz w:val="32"/>
          <w:szCs w:val="32"/>
          <w:highlight w:val="none"/>
          <w:lang w:val="zh-CN" w:eastAsia="zh-CN"/>
        </w:rPr>
        <w:t>套）。</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bookmarkStart w:id="28" w:name="_Toc11283"/>
      <w:bookmarkStart w:id="29" w:name="_Toc435"/>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一</w:t>
      </w:r>
      <w:r>
        <w:rPr>
          <w:rFonts w:hint="eastAsia" w:ascii="黑体" w:hAnsi="黑体" w:eastAsia="黑体" w:cs="宋体"/>
          <w:bCs/>
          <w:color w:val="auto"/>
          <w:kern w:val="0"/>
          <w:sz w:val="32"/>
          <w:szCs w:val="32"/>
          <w:highlight w:val="none"/>
          <w:lang w:eastAsia="zh-CN"/>
        </w:rPr>
        <w:t>、预算绩效的情况说明</w:t>
      </w:r>
      <w:bookmarkEnd w:id="28"/>
      <w:bookmarkEnd w:id="2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eastAsia="zh-CN"/>
        </w:rPr>
        <w:t>根据预算绩效管理要求，我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2023年度</w:t>
      </w:r>
      <w:r>
        <w:rPr>
          <w:rFonts w:hint="eastAsia" w:ascii="仿宋_GB2312" w:hAnsi="仿宋_GB2312" w:eastAsia="仿宋_GB2312" w:cs="仿宋_GB2312"/>
          <w:color w:val="auto"/>
          <w:kern w:val="0"/>
          <w:sz w:val="32"/>
          <w:szCs w:val="32"/>
          <w:highlight w:val="none"/>
        </w:rPr>
        <w:t>预算绩效管理整体</w:t>
      </w:r>
      <w:r>
        <w:rPr>
          <w:rFonts w:hint="eastAsia" w:ascii="仿宋_GB2312" w:hAnsi="仿宋_GB2312" w:eastAsia="仿宋_GB2312" w:cs="仿宋_GB2312"/>
          <w:color w:val="auto"/>
          <w:kern w:val="0"/>
          <w:sz w:val="32"/>
          <w:szCs w:val="32"/>
          <w:highlight w:val="none"/>
          <w:lang w:val="en-US" w:eastAsia="zh-CN"/>
        </w:rPr>
        <w:t>支出</w:t>
      </w:r>
      <w:r>
        <w:rPr>
          <w:rFonts w:hint="eastAsia" w:ascii="仿宋_GB2312" w:hAnsi="仿宋_GB2312" w:eastAsia="仿宋_GB2312" w:cs="仿宋_GB2312"/>
          <w:color w:val="auto"/>
          <w:kern w:val="0"/>
          <w:sz w:val="32"/>
          <w:szCs w:val="32"/>
          <w:highlight w:val="none"/>
        </w:rPr>
        <w:t>绩效自评表</w:t>
      </w:r>
      <w:r>
        <w:rPr>
          <w:rFonts w:hint="eastAsia" w:ascii="仿宋_GB2312" w:eastAsia="仿宋_GB2312"/>
          <w:color w:val="auto"/>
          <w:sz w:val="32"/>
          <w:szCs w:val="32"/>
          <w:highlight w:val="none"/>
          <w:lang w:val="en-US" w:eastAsia="zh-CN"/>
        </w:rPr>
        <w:t>1</w:t>
      </w:r>
      <w:r>
        <w:rPr>
          <w:rFonts w:hint="eastAsia" w:ascii="仿宋_GB2312" w:hAnsi="仿宋_GB2312" w:eastAsia="仿宋_GB2312" w:cs="仿宋_GB2312"/>
          <w:color w:val="auto"/>
          <w:kern w:val="0"/>
          <w:sz w:val="32"/>
          <w:szCs w:val="32"/>
          <w:highlight w:val="none"/>
          <w:lang w:val="en-US" w:eastAsia="zh-CN"/>
        </w:rPr>
        <w:t>个，全年</w:t>
      </w:r>
      <w:r>
        <w:rPr>
          <w:rFonts w:hint="eastAsia" w:ascii="仿宋_GB2312" w:eastAsia="仿宋_GB2312"/>
          <w:color w:val="auto"/>
          <w:sz w:val="32"/>
          <w:szCs w:val="32"/>
          <w:highlight w:val="none"/>
          <w:lang w:val="en-US" w:eastAsia="zh-CN"/>
        </w:rPr>
        <w:t>预算总额445.01</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实际执行总额419.50</w:t>
      </w:r>
      <w:r>
        <w:rPr>
          <w:rFonts w:hint="eastAsia" w:ascii="仿宋_GB2312" w:eastAsia="仿宋_GB2312"/>
          <w:color w:val="auto"/>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w:t>
      </w:r>
      <w:r>
        <w:rPr>
          <w:rFonts w:hint="eastAsia" w:ascii="仿宋_GB2312" w:eastAsia="仿宋_GB2312"/>
          <w:color w:val="auto"/>
          <w:sz w:val="32"/>
          <w:szCs w:val="32"/>
          <w:highlight w:val="none"/>
          <w:lang w:eastAsia="zh-CN"/>
        </w:rPr>
        <w:t>预算绩效评价项目</w:t>
      </w:r>
      <w:r>
        <w:rPr>
          <w:rFonts w:hint="eastAsia" w:ascii="仿宋_GB2312" w:eastAsia="仿宋_GB2312"/>
          <w:color w:val="auto"/>
          <w:sz w:val="32"/>
          <w:szCs w:val="32"/>
          <w:highlight w:val="none"/>
          <w:lang w:val="en-US" w:eastAsia="zh-CN"/>
        </w:rPr>
        <w:t>6</w:t>
      </w:r>
      <w:r>
        <w:rPr>
          <w:rFonts w:hint="eastAsia" w:ascii="仿宋_GB2312" w:eastAsia="仿宋_GB2312"/>
          <w:color w:val="auto"/>
          <w:sz w:val="32"/>
          <w:szCs w:val="32"/>
          <w:highlight w:val="none"/>
          <w:lang w:eastAsia="zh-CN"/>
        </w:rPr>
        <w:t>个，</w:t>
      </w:r>
      <w:r>
        <w:rPr>
          <w:rFonts w:hint="eastAsia" w:ascii="仿宋_GB2312" w:eastAsia="仿宋_GB2312"/>
          <w:color w:val="auto"/>
          <w:sz w:val="32"/>
          <w:szCs w:val="32"/>
          <w:highlight w:val="none"/>
          <w:lang w:val="en-US" w:eastAsia="zh-CN"/>
        </w:rPr>
        <w:t>全年预算数91.53</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全年执行数66.02</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其中sm</w:t>
      </w:r>
      <w:r>
        <w:rPr>
          <w:rFonts w:hint="eastAsia" w:ascii="仿宋_GB2312" w:eastAsia="仿宋_GB2312"/>
          <w:color w:val="auto"/>
          <w:sz w:val="32"/>
          <w:szCs w:val="32"/>
          <w:highlight w:val="none"/>
          <w:lang w:val="en-US" w:eastAsia="zh-Hans"/>
        </w:rPr>
        <w:t>项目</w:t>
      </w:r>
      <w:r>
        <w:rPr>
          <w:rFonts w:hint="eastAsia" w:ascii="仿宋_GB2312" w:eastAsia="仿宋_GB2312"/>
          <w:color w:val="auto"/>
          <w:sz w:val="32"/>
          <w:szCs w:val="32"/>
          <w:highlight w:val="none"/>
          <w:lang w:val="en-US" w:eastAsia="zh-CN"/>
        </w:rPr>
        <w:t>1个涉及金额6.04万元。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rPr>
      </w:pPr>
      <w:r>
        <w:rPr>
          <w:rFonts w:hint="eastAsia" w:ascii="仿宋_GB2312" w:eastAsia="仿宋_GB2312"/>
          <w:sz w:val="32"/>
          <w:szCs w:val="32"/>
          <w:highlight w:val="none"/>
          <w:lang w:eastAsia="zh-CN"/>
        </w:rPr>
        <w:t>预算绩效管理取得的成效：一是农牧民健康意识提高；二是提高农牧民对公共卫生知识的了解，懂得如何预防各种疾病。发现的问题及原因：一是村卫生室医务人员少，各项公共卫生工作开展不到位；二是卫生院没有对村医及时的培训。下一步改进措施：一是加强对村医的培训，提高业务水平；二是积极开展公共卫生工作，及时合理支付项目资金；加强项目实施管理</w:t>
      </w:r>
      <w:r>
        <w:rPr>
          <w:rFonts w:hint="eastAsia" w:ascii="仿宋_GB2312" w:eastAsia="仿宋_GB2312"/>
          <w:color w:val="auto"/>
          <w:sz w:val="32"/>
          <w:szCs w:val="32"/>
          <w:highlight w:val="none"/>
          <w:lang w:eastAsia="zh-CN"/>
        </w:rPr>
        <w:t>。具体</w:t>
      </w:r>
      <w:r>
        <w:rPr>
          <w:rFonts w:hint="eastAsia" w:ascii="仿宋_GB2312" w:eastAsia="仿宋_GB2312"/>
          <w:color w:val="auto"/>
          <w:sz w:val="32"/>
          <w:szCs w:val="32"/>
          <w:highlight w:val="none"/>
        </w:rPr>
        <w:t>项目自评情况附绩效自评表</w:t>
      </w:r>
      <w:r>
        <w:rPr>
          <w:rFonts w:hint="eastAsia" w:ascii="仿宋_GB2312" w:eastAsia="仿宋_GB2312"/>
          <w:color w:val="auto"/>
          <w:sz w:val="32"/>
          <w:szCs w:val="32"/>
          <w:highlight w:val="none"/>
          <w:lang w:val="en-US" w:eastAsia="zh-CN"/>
        </w:rPr>
        <w:t>及自评报告</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二</w:t>
      </w:r>
      <w:r>
        <w:rPr>
          <w:rFonts w:hint="eastAsia" w:ascii="黑体" w:hAnsi="黑体" w:eastAsia="黑体" w:cs="宋体"/>
          <w:bCs/>
          <w:color w:val="auto"/>
          <w:kern w:val="0"/>
          <w:sz w:val="32"/>
          <w:szCs w:val="32"/>
          <w:highlight w:val="none"/>
          <w:lang w:eastAsia="zh-CN"/>
        </w:rPr>
        <w:t>、其他需说明的事项</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en-US" w:eastAsia="zh-CN"/>
        </w:rPr>
      </w:pPr>
      <w:bookmarkStart w:id="30" w:name="_Toc24143"/>
      <w:bookmarkStart w:id="31" w:name="_Toc3250"/>
      <w:r>
        <w:rPr>
          <w:rFonts w:hint="eastAsia" w:ascii="仿宋_GB2312" w:eastAsia="仿宋_GB2312"/>
          <w:color w:val="auto"/>
          <w:sz w:val="32"/>
          <w:szCs w:val="32"/>
          <w:highlight w:val="none"/>
          <w:lang w:val="en-US" w:eastAsia="zh-CN"/>
        </w:rPr>
        <w:t>sm</w:t>
      </w:r>
      <w:r>
        <w:rPr>
          <w:rFonts w:hint="eastAsia" w:ascii="仿宋_GB2312" w:eastAsia="仿宋_GB2312"/>
          <w:color w:val="auto"/>
          <w:sz w:val="32"/>
          <w:szCs w:val="32"/>
          <w:highlight w:val="none"/>
          <w:lang w:val="en-US" w:eastAsia="zh-Hans"/>
        </w:rPr>
        <w:t>项目</w:t>
      </w:r>
      <w:r>
        <w:rPr>
          <w:rFonts w:hint="eastAsia" w:ascii="仿宋_GB2312" w:eastAsia="仿宋_GB2312"/>
          <w:color w:val="auto"/>
          <w:sz w:val="32"/>
          <w:szCs w:val="32"/>
          <w:highlight w:val="none"/>
          <w:lang w:val="en-US" w:eastAsia="zh-CN"/>
        </w:rPr>
        <w:t>1个涉及金额6.04万元。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三</w:t>
      </w:r>
      <w:r>
        <w:rPr>
          <w:rFonts w:hint="eastAsia" w:ascii="黑体" w:hAnsi="黑体" w:eastAsia="黑体"/>
          <w:color w:val="auto"/>
          <w:sz w:val="32"/>
          <w:szCs w:val="32"/>
          <w:highlight w:val="none"/>
        </w:rPr>
        <w:t>部分 专业名词解释</w:t>
      </w:r>
      <w:bookmarkEnd w:id="30"/>
      <w:bookmarkEnd w:id="31"/>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both"/>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一、</w:t>
      </w:r>
      <w:r>
        <w:rPr>
          <w:rFonts w:hint="eastAsia" w:ascii="仿宋_GB2312" w:eastAsia="仿宋_GB2312"/>
          <w:b/>
          <w:bCs/>
          <w:color w:val="auto"/>
          <w:sz w:val="32"/>
          <w:szCs w:val="32"/>
          <w:highlight w:val="none"/>
        </w:rPr>
        <w:t>财政拨款收入：</w:t>
      </w:r>
      <w:r>
        <w:rPr>
          <w:rFonts w:hint="eastAsia" w:ascii="仿宋_GB2312" w:eastAsia="仿宋_GB2312"/>
          <w:color w:val="auto"/>
          <w:sz w:val="32"/>
          <w:szCs w:val="32"/>
          <w:highlight w:val="none"/>
        </w:rPr>
        <w:t>指同级财政当年拨付的资金。</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both"/>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二、</w:t>
      </w:r>
      <w:r>
        <w:rPr>
          <w:rFonts w:hint="eastAsia" w:ascii="仿宋_GB2312" w:eastAsia="仿宋_GB2312"/>
          <w:b/>
          <w:bCs/>
          <w:color w:val="auto"/>
          <w:sz w:val="32"/>
          <w:szCs w:val="32"/>
          <w:highlight w:val="none"/>
        </w:rPr>
        <w:t>上级补助收入：</w:t>
      </w:r>
      <w:r>
        <w:rPr>
          <w:rFonts w:hint="eastAsia" w:ascii="仿宋_GB2312" w:eastAsia="仿宋_GB2312"/>
          <w:color w:val="auto"/>
          <w:sz w:val="32"/>
          <w:szCs w:val="32"/>
          <w:highlight w:val="none"/>
        </w:rPr>
        <w:t>指事业单位从主管部门和上级单位取得的非财政补助收入。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both"/>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三、</w:t>
      </w:r>
      <w:r>
        <w:rPr>
          <w:rFonts w:hint="eastAsia" w:ascii="仿宋_GB2312" w:eastAsia="仿宋_GB2312"/>
          <w:b/>
          <w:bCs/>
          <w:color w:val="auto"/>
          <w:sz w:val="32"/>
          <w:szCs w:val="32"/>
          <w:highlight w:val="none"/>
        </w:rPr>
        <w:t>事业收入：</w:t>
      </w:r>
      <w:r>
        <w:rPr>
          <w:rFonts w:hint="eastAsia" w:ascii="仿宋_GB2312" w:eastAsia="仿宋_GB2312"/>
          <w:color w:val="auto"/>
          <w:sz w:val="32"/>
          <w:szCs w:val="32"/>
          <w:highlight w:val="none"/>
        </w:rPr>
        <w:t>指事业单位开展专业业务活动及其辅助活动所取得的收入。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both"/>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四、</w:t>
      </w:r>
      <w:r>
        <w:rPr>
          <w:rFonts w:hint="eastAsia" w:ascii="仿宋_GB2312" w:eastAsia="仿宋_GB2312"/>
          <w:b/>
          <w:bCs/>
          <w:color w:val="auto"/>
          <w:sz w:val="32"/>
          <w:szCs w:val="32"/>
          <w:highlight w:val="none"/>
        </w:rPr>
        <w:t>经营收入：</w:t>
      </w:r>
      <w:r>
        <w:rPr>
          <w:rFonts w:hint="eastAsia" w:ascii="仿宋_GB2312" w:eastAsia="仿宋_GB2312"/>
          <w:color w:val="auto"/>
          <w:sz w:val="32"/>
          <w:szCs w:val="32"/>
          <w:highlight w:val="none"/>
        </w:rPr>
        <w:t>指事业单位在专业业务活动及其辅助活动之外开展非独立核算经营活动取得的收入。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both"/>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五、</w:t>
      </w:r>
      <w:r>
        <w:rPr>
          <w:rFonts w:hint="eastAsia" w:ascii="仿宋_GB2312" w:eastAsia="仿宋_GB2312"/>
          <w:b/>
          <w:bCs/>
          <w:color w:val="auto"/>
          <w:sz w:val="32"/>
          <w:szCs w:val="32"/>
          <w:highlight w:val="none"/>
        </w:rPr>
        <w:t>附属单位上缴收入：</w:t>
      </w:r>
      <w:r>
        <w:rPr>
          <w:rFonts w:hint="eastAsia" w:ascii="仿宋_GB2312" w:eastAsia="仿宋_GB2312"/>
          <w:color w:val="auto"/>
          <w:sz w:val="32"/>
          <w:szCs w:val="32"/>
          <w:highlight w:val="none"/>
        </w:rPr>
        <w:t>指事业单位附属的独立核算单位按有关规定上缴的收入。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both"/>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六、</w:t>
      </w:r>
      <w:r>
        <w:rPr>
          <w:rFonts w:hint="eastAsia" w:ascii="仿宋_GB2312" w:eastAsia="仿宋_GB2312"/>
          <w:b/>
          <w:bCs/>
          <w:color w:val="auto"/>
          <w:sz w:val="32"/>
          <w:szCs w:val="32"/>
          <w:highlight w:val="none"/>
        </w:rPr>
        <w:t>其他收入：</w:t>
      </w:r>
      <w:r>
        <w:rPr>
          <w:rFonts w:hint="eastAsia" w:ascii="仿宋_GB2312" w:eastAsia="仿宋_GB2312"/>
          <w:color w:val="auto"/>
          <w:sz w:val="32"/>
          <w:szCs w:val="32"/>
          <w:highlight w:val="none"/>
        </w:rPr>
        <w:t>指除上述“财政拨款收入”、“事业收入”、“经营收入”、“附属单位上缴收入”等之外取得的收入。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both"/>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七、</w:t>
      </w:r>
      <w:r>
        <w:rPr>
          <w:rFonts w:hint="eastAsia" w:ascii="仿宋_GB2312" w:eastAsia="仿宋_GB2312"/>
          <w:b/>
          <w:bCs/>
          <w:color w:val="auto"/>
          <w:sz w:val="32"/>
          <w:szCs w:val="32"/>
          <w:highlight w:val="none"/>
          <w:lang w:eastAsia="zh-CN"/>
        </w:rPr>
        <w:t>年初</w:t>
      </w:r>
      <w:r>
        <w:rPr>
          <w:rFonts w:hint="eastAsia" w:ascii="仿宋_GB2312" w:eastAsia="仿宋_GB2312"/>
          <w:b/>
          <w:bCs/>
          <w:color w:val="auto"/>
          <w:sz w:val="32"/>
          <w:szCs w:val="32"/>
          <w:highlight w:val="none"/>
        </w:rPr>
        <w:t>结转和结余：</w:t>
      </w:r>
      <w:r>
        <w:rPr>
          <w:rFonts w:hint="eastAsia" w:ascii="仿宋_GB2312" w:eastAsia="仿宋_GB2312"/>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both"/>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八、</w:t>
      </w:r>
      <w:r>
        <w:rPr>
          <w:rFonts w:hint="eastAsia" w:ascii="仿宋_GB2312" w:eastAsia="仿宋_GB2312"/>
          <w:b/>
          <w:bCs/>
          <w:color w:val="auto"/>
          <w:sz w:val="32"/>
          <w:szCs w:val="32"/>
          <w:highlight w:val="none"/>
        </w:rPr>
        <w:t>年末结转和结余：</w:t>
      </w:r>
      <w:r>
        <w:rPr>
          <w:rFonts w:hint="eastAsia" w:ascii="仿宋_GB2312" w:eastAsia="仿宋_GB2312"/>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both"/>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九、</w:t>
      </w:r>
      <w:r>
        <w:rPr>
          <w:rFonts w:hint="eastAsia" w:ascii="仿宋_GB2312" w:eastAsia="仿宋_GB2312"/>
          <w:b/>
          <w:bCs/>
          <w:color w:val="auto"/>
          <w:sz w:val="32"/>
          <w:szCs w:val="32"/>
          <w:highlight w:val="none"/>
        </w:rPr>
        <w:t>基本支出：</w:t>
      </w:r>
      <w:r>
        <w:rPr>
          <w:rFonts w:hint="eastAsia" w:ascii="仿宋_GB2312" w:eastAsia="仿宋_GB2312"/>
          <w:color w:val="auto"/>
          <w:sz w:val="32"/>
          <w:szCs w:val="32"/>
          <w:highlight w:val="none"/>
        </w:rPr>
        <w:t>指为保障机构正常运转、完成日常工作任务而发生的人员支出和公用支出。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both"/>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w:t>
      </w:r>
      <w:r>
        <w:rPr>
          <w:rFonts w:hint="eastAsia" w:ascii="仿宋_GB2312" w:eastAsia="仿宋_GB2312"/>
          <w:b/>
          <w:bCs/>
          <w:color w:val="auto"/>
          <w:sz w:val="32"/>
          <w:szCs w:val="32"/>
          <w:highlight w:val="none"/>
        </w:rPr>
        <w:t>项目支出：</w:t>
      </w:r>
      <w:r>
        <w:rPr>
          <w:rFonts w:hint="eastAsia" w:ascii="仿宋_GB2312" w:eastAsia="仿宋_GB2312"/>
          <w:color w:val="auto"/>
          <w:sz w:val="32"/>
          <w:szCs w:val="32"/>
          <w:highlight w:val="none"/>
        </w:rPr>
        <w:t>指在基本支出之外为完成特定行政任务和事业发展目标所发生的支出。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both"/>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十一、</w:t>
      </w:r>
      <w:r>
        <w:rPr>
          <w:rFonts w:hint="eastAsia" w:ascii="仿宋_GB2312" w:eastAsia="仿宋_GB2312"/>
          <w:b/>
          <w:bCs/>
          <w:color w:val="auto"/>
          <w:sz w:val="32"/>
          <w:szCs w:val="32"/>
          <w:highlight w:val="none"/>
        </w:rPr>
        <w:t>经营支出：</w:t>
      </w:r>
      <w:r>
        <w:rPr>
          <w:rFonts w:hint="eastAsia" w:ascii="仿宋_GB2312" w:eastAsia="仿宋_GB2312"/>
          <w:color w:val="auto"/>
          <w:sz w:val="32"/>
          <w:szCs w:val="32"/>
          <w:highlight w:val="none"/>
        </w:rPr>
        <w:t>指事业单位在专业业务活动及其辅助活动之外开展非独立核算经营活动发生的支出。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both"/>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十二、</w:t>
      </w:r>
      <w:r>
        <w:rPr>
          <w:rFonts w:hint="eastAsia" w:ascii="仿宋_GB2312" w:eastAsia="仿宋_GB2312"/>
          <w:b/>
          <w:bCs/>
          <w:color w:val="auto"/>
          <w:sz w:val="32"/>
          <w:szCs w:val="32"/>
          <w:highlight w:val="none"/>
        </w:rPr>
        <w:t>对附属单位补助支出：</w:t>
      </w:r>
      <w:r>
        <w:rPr>
          <w:rFonts w:hint="eastAsia" w:ascii="仿宋_GB2312" w:eastAsia="仿宋_GB2312"/>
          <w:color w:val="auto"/>
          <w:sz w:val="32"/>
          <w:szCs w:val="32"/>
          <w:highlight w:val="none"/>
        </w:rPr>
        <w:t>指事业单位发生的用非财政预算资金对附属单位的补助支出。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both"/>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十三、</w:t>
      </w:r>
      <w:r>
        <w:rPr>
          <w:rFonts w:hint="eastAsia" w:ascii="仿宋_GB2312" w:eastAsia="仿宋_GB2312"/>
          <w:b/>
          <w:bCs/>
          <w:color w:val="auto"/>
          <w:sz w:val="32"/>
          <w:szCs w:val="32"/>
          <w:highlight w:val="none"/>
        </w:rPr>
        <w:t>“三公”经费：</w:t>
      </w:r>
      <w:r>
        <w:rPr>
          <w:rFonts w:hint="eastAsia" w:ascii="仿宋_GB2312" w:eastAsia="仿宋_GB2312"/>
          <w:color w:val="auto"/>
          <w:sz w:val="32"/>
          <w:szCs w:val="32"/>
          <w:highlight w:val="none"/>
        </w:rPr>
        <w:t>指用财政拨款安排的因公出国（境）费、公务用车购置及运行费和公务接待费。其中，因公出国（境）费反映单位公务出国（境）的</w:t>
      </w:r>
      <w:r>
        <w:rPr>
          <w:rFonts w:hint="eastAsia" w:ascii="仿宋_GB2312" w:eastAsia="仿宋_GB2312"/>
          <w:color w:val="auto"/>
          <w:sz w:val="32"/>
          <w:szCs w:val="32"/>
          <w:highlight w:val="none"/>
          <w:lang w:eastAsia="zh-CN"/>
        </w:rPr>
        <w:t>国际旅费、国外城市间交通费、</w:t>
      </w:r>
      <w:r>
        <w:rPr>
          <w:rFonts w:hint="eastAsia" w:ascii="仿宋_GB2312" w:eastAsia="仿宋_GB2312"/>
          <w:color w:val="auto"/>
          <w:sz w:val="32"/>
          <w:szCs w:val="32"/>
          <w:highlight w:val="none"/>
        </w:rPr>
        <w:t>住宿费、伙食费、培训费、</w:t>
      </w:r>
      <w:r>
        <w:rPr>
          <w:rFonts w:hint="eastAsia" w:ascii="仿宋_GB2312" w:eastAsia="仿宋_GB2312"/>
          <w:color w:val="auto"/>
          <w:sz w:val="32"/>
          <w:szCs w:val="32"/>
          <w:highlight w:val="none"/>
          <w:lang w:eastAsia="zh-CN"/>
        </w:rPr>
        <w:t>公</w:t>
      </w:r>
      <w:r>
        <w:rPr>
          <w:rFonts w:hint="eastAsia" w:ascii="仿宋_GB2312" w:eastAsia="仿宋_GB2312"/>
          <w:color w:val="auto"/>
          <w:sz w:val="32"/>
          <w:szCs w:val="32"/>
          <w:highlight w:val="none"/>
        </w:rPr>
        <w:t>杂费等支出；公务用车购置费</w:t>
      </w:r>
      <w:r>
        <w:rPr>
          <w:rFonts w:hint="eastAsia" w:ascii="仿宋_GB2312" w:eastAsia="仿宋_GB2312"/>
          <w:color w:val="auto"/>
          <w:sz w:val="32"/>
          <w:szCs w:val="32"/>
          <w:highlight w:val="none"/>
          <w:lang w:eastAsia="zh-CN"/>
        </w:rPr>
        <w:t>反映公务用车购置支出（含车辆购置税、牌照费）；</w:t>
      </w:r>
      <w:r>
        <w:rPr>
          <w:rFonts w:hint="eastAsia" w:ascii="仿宋_GB2312" w:eastAsia="仿宋_GB2312"/>
          <w:color w:val="auto"/>
          <w:sz w:val="32"/>
          <w:szCs w:val="32"/>
          <w:highlight w:val="none"/>
        </w:rPr>
        <w:t>公务用车运行</w:t>
      </w:r>
      <w:r>
        <w:rPr>
          <w:rFonts w:hint="eastAsia" w:ascii="仿宋_GB2312" w:eastAsia="仿宋_GB2312"/>
          <w:color w:val="auto"/>
          <w:sz w:val="32"/>
          <w:szCs w:val="32"/>
          <w:highlight w:val="none"/>
          <w:lang w:eastAsia="zh-CN"/>
        </w:rPr>
        <w:t>维护</w:t>
      </w:r>
      <w:r>
        <w:rPr>
          <w:rFonts w:hint="eastAsia" w:ascii="仿宋_GB2312" w:eastAsia="仿宋_GB2312"/>
          <w:color w:val="auto"/>
          <w:sz w:val="32"/>
          <w:szCs w:val="32"/>
          <w:highlight w:val="none"/>
        </w:rPr>
        <w:t>费反映</w:t>
      </w:r>
      <w:r>
        <w:rPr>
          <w:rFonts w:hint="eastAsia" w:ascii="仿宋_GB2312" w:eastAsia="仿宋_GB2312"/>
          <w:color w:val="auto"/>
          <w:sz w:val="32"/>
          <w:szCs w:val="32"/>
          <w:highlight w:val="none"/>
          <w:lang w:eastAsia="zh-CN"/>
        </w:rPr>
        <w:t>单位按规定保留的公务用车燃料费、维修费、</w:t>
      </w:r>
      <w:r>
        <w:rPr>
          <w:rFonts w:hint="eastAsia" w:ascii="仿宋_GB2312" w:eastAsia="仿宋_GB2312"/>
          <w:color w:val="auto"/>
          <w:sz w:val="32"/>
          <w:szCs w:val="32"/>
          <w:highlight w:val="none"/>
        </w:rPr>
        <w:t>过路过桥费、保险费、安全奖励费用等支出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公务接待费反映单位按规定开支的各类公务接待（含外宾接待）</w:t>
      </w:r>
      <w:r>
        <w:rPr>
          <w:rFonts w:hint="eastAsia" w:ascii="仿宋_GB2312" w:eastAsia="仿宋_GB2312"/>
          <w:color w:val="auto"/>
          <w:sz w:val="32"/>
          <w:szCs w:val="32"/>
          <w:highlight w:val="none"/>
          <w:lang w:eastAsia="zh-CN"/>
        </w:rPr>
        <w:t>费用</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43" w:firstLineChars="200"/>
        <w:jc w:val="both"/>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十四、</w:t>
      </w:r>
      <w:r>
        <w:rPr>
          <w:rFonts w:hint="eastAsia" w:ascii="仿宋_GB2312" w:eastAsia="仿宋_GB2312"/>
          <w:b/>
          <w:bCs/>
          <w:color w:val="auto"/>
          <w:sz w:val="32"/>
          <w:szCs w:val="32"/>
          <w:highlight w:val="none"/>
        </w:rPr>
        <w:t>机关运行经费：</w:t>
      </w:r>
      <w:r>
        <w:rPr>
          <w:rFonts w:hint="eastAsia" w:ascii="仿宋_GB2312" w:eastAsia="仿宋_GB2312"/>
          <w:color w:val="auto"/>
          <w:sz w:val="32"/>
          <w:szCs w:val="32"/>
          <w:highlight w:val="none"/>
        </w:rPr>
        <w:t>行政单位和参照公务员法管理的事业单位财政拨款基本支出中的公用经费支出。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仿宋_GB2312" w:eastAsia="仿宋_GB2312"/>
          <w:color w:val="auto"/>
          <w:sz w:val="32"/>
          <w:szCs w:val="32"/>
          <w:highlight w:val="none"/>
        </w:rPr>
        <w:br w:type="page"/>
      </w:r>
      <w:r>
        <w:rPr>
          <w:rFonts w:hint="eastAsia" w:ascii="黑体" w:hAnsi="黑体" w:eastAsia="黑体"/>
          <w:color w:val="auto"/>
          <w:sz w:val="32"/>
          <w:szCs w:val="32"/>
          <w:highlight w:val="none"/>
        </w:rPr>
        <w:t>第四部分 部门决算报表（见附表）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2" w:name="_Toc2183"/>
      <w:bookmarkStart w:id="33" w:name="_Toc6062"/>
      <w:r>
        <w:rPr>
          <w:rFonts w:hint="eastAsia" w:ascii="黑体" w:hAnsi="黑体" w:eastAsia="仿宋_GB2312" w:cs="宋体"/>
          <w:bCs/>
          <w:color w:val="auto"/>
          <w:kern w:val="0"/>
          <w:sz w:val="32"/>
          <w:szCs w:val="32"/>
          <w:highlight w:val="none"/>
        </w:rPr>
        <w:t>一、《收入支出决算总表》</w:t>
      </w:r>
      <w:bookmarkEnd w:id="32"/>
      <w:bookmarkEnd w:id="3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4" w:name="_Toc30364"/>
      <w:bookmarkStart w:id="35" w:name="_Toc24532"/>
      <w:r>
        <w:rPr>
          <w:rFonts w:hint="eastAsia" w:ascii="黑体" w:hAnsi="黑体" w:eastAsia="仿宋_GB2312" w:cs="宋体"/>
          <w:bCs/>
          <w:color w:val="auto"/>
          <w:kern w:val="0"/>
          <w:sz w:val="32"/>
          <w:szCs w:val="32"/>
          <w:highlight w:val="none"/>
        </w:rPr>
        <w:t>二、《收入决算表》</w:t>
      </w:r>
      <w:bookmarkEnd w:id="34"/>
      <w:bookmarkEnd w:id="3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6" w:name="_Toc21304"/>
      <w:bookmarkStart w:id="37" w:name="_Toc32434"/>
      <w:r>
        <w:rPr>
          <w:rFonts w:hint="eastAsia" w:ascii="黑体" w:hAnsi="黑体" w:eastAsia="仿宋_GB2312" w:cs="宋体"/>
          <w:bCs/>
          <w:color w:val="auto"/>
          <w:kern w:val="0"/>
          <w:sz w:val="32"/>
          <w:szCs w:val="32"/>
          <w:highlight w:val="none"/>
        </w:rPr>
        <w:t>三、《支出决算表》</w:t>
      </w:r>
      <w:bookmarkEnd w:id="36"/>
      <w:bookmarkEnd w:id="3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8" w:name="_Toc28786"/>
      <w:bookmarkStart w:id="39" w:name="_Toc14238"/>
      <w:r>
        <w:rPr>
          <w:rFonts w:hint="eastAsia" w:ascii="黑体" w:hAnsi="黑体" w:eastAsia="仿宋_GB2312" w:cs="宋体"/>
          <w:bCs/>
          <w:color w:val="auto"/>
          <w:kern w:val="0"/>
          <w:sz w:val="32"/>
          <w:szCs w:val="32"/>
          <w:highlight w:val="none"/>
        </w:rPr>
        <w:t>四、《财政拨款收入支出决算总表》</w:t>
      </w:r>
      <w:bookmarkEnd w:id="38"/>
      <w:bookmarkEnd w:id="3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0" w:name="_Toc10347"/>
      <w:bookmarkStart w:id="41" w:name="_Toc14869"/>
      <w:r>
        <w:rPr>
          <w:rFonts w:hint="eastAsia" w:ascii="黑体" w:hAnsi="黑体" w:eastAsia="仿宋_GB2312" w:cs="宋体"/>
          <w:bCs/>
          <w:color w:val="auto"/>
          <w:kern w:val="0"/>
          <w:sz w:val="32"/>
          <w:szCs w:val="32"/>
          <w:highlight w:val="none"/>
        </w:rPr>
        <w:t>五、《一般公共预算财政拨款支出决算表》</w:t>
      </w:r>
      <w:bookmarkEnd w:id="40"/>
      <w:bookmarkEnd w:id="4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2" w:name="_Toc8884"/>
      <w:bookmarkStart w:id="43" w:name="_Toc5626"/>
      <w:r>
        <w:rPr>
          <w:rFonts w:hint="eastAsia" w:ascii="黑体" w:hAnsi="黑体" w:eastAsia="仿宋_GB2312" w:cs="宋体"/>
          <w:bCs/>
          <w:color w:val="auto"/>
          <w:kern w:val="0"/>
          <w:sz w:val="32"/>
          <w:szCs w:val="32"/>
          <w:highlight w:val="none"/>
        </w:rPr>
        <w:t>六、《一般公共预算财政拨款基本支出决算表》</w:t>
      </w:r>
      <w:bookmarkEnd w:id="42"/>
      <w:bookmarkEnd w:id="4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七、</w:t>
      </w:r>
      <w:bookmarkStart w:id="44" w:name="_Toc29106"/>
      <w:bookmarkStart w:id="45" w:name="_Toc32663"/>
      <w:r>
        <w:rPr>
          <w:rFonts w:hint="eastAsia" w:ascii="黑体" w:hAnsi="黑体" w:eastAsia="仿宋_GB2312" w:cs="宋体"/>
          <w:bCs/>
          <w:color w:val="auto"/>
          <w:kern w:val="0"/>
          <w:sz w:val="32"/>
          <w:szCs w:val="32"/>
          <w:highlight w:val="none"/>
        </w:rPr>
        <w:t>《财政拨款“三公”经费支出决算表》</w:t>
      </w:r>
      <w:bookmarkEnd w:id="44"/>
      <w:bookmarkEnd w:id="4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6" w:name="_Toc7643"/>
      <w:bookmarkStart w:id="47" w:name="_Toc5453"/>
      <w:r>
        <w:rPr>
          <w:rFonts w:hint="eastAsia" w:ascii="黑体" w:hAnsi="黑体" w:eastAsia="仿宋_GB2312" w:cs="宋体"/>
          <w:bCs/>
          <w:color w:val="auto"/>
          <w:kern w:val="0"/>
          <w:sz w:val="32"/>
          <w:szCs w:val="32"/>
          <w:highlight w:val="none"/>
        </w:rPr>
        <w:t>八、《政府性基金预算财政拨款收入支出决算表》</w:t>
      </w:r>
      <w:bookmarkEnd w:id="46"/>
      <w:bookmarkEnd w:id="4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lang w:val="en-US" w:eastAsia="zh-CN"/>
        </w:rPr>
        <w:t>九</w:t>
      </w:r>
      <w:r>
        <w:rPr>
          <w:rFonts w:hint="eastAsia" w:ascii="黑体" w:hAnsi="黑体" w:eastAsia="仿宋_GB2312" w:cs="宋体"/>
          <w:bCs/>
          <w:color w:val="auto"/>
          <w:kern w:val="0"/>
          <w:sz w:val="32"/>
          <w:szCs w:val="32"/>
          <w:highlight w:val="none"/>
        </w:rPr>
        <w:t>、《</w:t>
      </w:r>
      <w:r>
        <w:rPr>
          <w:rFonts w:hint="eastAsia" w:ascii="黑体" w:hAnsi="黑体" w:eastAsia="仿宋_GB2312" w:cs="宋体"/>
          <w:bCs/>
          <w:color w:val="auto"/>
          <w:kern w:val="0"/>
          <w:sz w:val="32"/>
          <w:szCs w:val="32"/>
          <w:highlight w:val="none"/>
          <w:lang w:eastAsia="zh-CN"/>
        </w:rPr>
        <w:t>国有资本经营</w:t>
      </w:r>
      <w:r>
        <w:rPr>
          <w:rFonts w:hint="eastAsia" w:ascii="黑体" w:hAnsi="黑体" w:eastAsia="仿宋_GB2312" w:cs="宋体"/>
          <w:bCs/>
          <w:color w:val="auto"/>
          <w:kern w:val="0"/>
          <w:sz w:val="32"/>
          <w:szCs w:val="32"/>
          <w:highlight w:val="none"/>
        </w:rPr>
        <w:t>预算财政拨款收入支出决算表》</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5"/>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pPr>
                      <w:pStyle w:val="5"/>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VhYjIwYTFkMDUyN2RmOGI2OTNiMWRjYmY5MjBlYTUifQ=="/>
    <w:docVar w:name="KSO_WPS_MARK_KEY" w:val="41ee2a61-2d54-4f93-83be-afdb9a40d732"/>
  </w:docVars>
  <w:rsids>
    <w:rsidRoot w:val="00000000"/>
    <w:rsid w:val="00213C59"/>
    <w:rsid w:val="003210CE"/>
    <w:rsid w:val="00B70D59"/>
    <w:rsid w:val="00F52A8D"/>
    <w:rsid w:val="019404F8"/>
    <w:rsid w:val="026223A4"/>
    <w:rsid w:val="02BD3108"/>
    <w:rsid w:val="02F73D26"/>
    <w:rsid w:val="034D4FEF"/>
    <w:rsid w:val="035D1785"/>
    <w:rsid w:val="039F47CE"/>
    <w:rsid w:val="03E05CE8"/>
    <w:rsid w:val="03F973EE"/>
    <w:rsid w:val="043E5B56"/>
    <w:rsid w:val="04C04386"/>
    <w:rsid w:val="04D96608"/>
    <w:rsid w:val="04FA68C4"/>
    <w:rsid w:val="053F5AE6"/>
    <w:rsid w:val="057C0B0F"/>
    <w:rsid w:val="05A87ED5"/>
    <w:rsid w:val="05EF4B48"/>
    <w:rsid w:val="05F76ECA"/>
    <w:rsid w:val="06792773"/>
    <w:rsid w:val="07093795"/>
    <w:rsid w:val="07804730"/>
    <w:rsid w:val="079052BE"/>
    <w:rsid w:val="07DB1681"/>
    <w:rsid w:val="08145C21"/>
    <w:rsid w:val="08422688"/>
    <w:rsid w:val="085854ED"/>
    <w:rsid w:val="0879188F"/>
    <w:rsid w:val="08A0354D"/>
    <w:rsid w:val="08CD4C49"/>
    <w:rsid w:val="08FA6E50"/>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04CCC"/>
    <w:rsid w:val="0BE97AC1"/>
    <w:rsid w:val="0C1C4780"/>
    <w:rsid w:val="0C3613A3"/>
    <w:rsid w:val="0C5E519C"/>
    <w:rsid w:val="0C7227A7"/>
    <w:rsid w:val="0CA52EE8"/>
    <w:rsid w:val="0CBD6988"/>
    <w:rsid w:val="0CD208AC"/>
    <w:rsid w:val="0D4903E8"/>
    <w:rsid w:val="0D4A5FD2"/>
    <w:rsid w:val="0D6151D0"/>
    <w:rsid w:val="0D7A4A46"/>
    <w:rsid w:val="0E640559"/>
    <w:rsid w:val="0F1113DA"/>
    <w:rsid w:val="0F78534A"/>
    <w:rsid w:val="0F89358A"/>
    <w:rsid w:val="0F8C6D51"/>
    <w:rsid w:val="10536BBB"/>
    <w:rsid w:val="105B0B5E"/>
    <w:rsid w:val="10AB6C5E"/>
    <w:rsid w:val="10DD3063"/>
    <w:rsid w:val="112E58D0"/>
    <w:rsid w:val="11731CAC"/>
    <w:rsid w:val="119500A0"/>
    <w:rsid w:val="11C0733B"/>
    <w:rsid w:val="11D50D17"/>
    <w:rsid w:val="120E0809"/>
    <w:rsid w:val="127F665A"/>
    <w:rsid w:val="12F7068C"/>
    <w:rsid w:val="13E73CB7"/>
    <w:rsid w:val="14207DC0"/>
    <w:rsid w:val="14B932DA"/>
    <w:rsid w:val="14CD411C"/>
    <w:rsid w:val="150A66AF"/>
    <w:rsid w:val="154C1139"/>
    <w:rsid w:val="158C5B77"/>
    <w:rsid w:val="15AF2A04"/>
    <w:rsid w:val="160D1149"/>
    <w:rsid w:val="163563C0"/>
    <w:rsid w:val="164315EF"/>
    <w:rsid w:val="16557DFE"/>
    <w:rsid w:val="167268FB"/>
    <w:rsid w:val="16770D0A"/>
    <w:rsid w:val="16D50C50"/>
    <w:rsid w:val="16D76A77"/>
    <w:rsid w:val="16E120E1"/>
    <w:rsid w:val="17385A05"/>
    <w:rsid w:val="173B3901"/>
    <w:rsid w:val="176747F9"/>
    <w:rsid w:val="17954A6E"/>
    <w:rsid w:val="179F2AC6"/>
    <w:rsid w:val="180059E9"/>
    <w:rsid w:val="181C5347"/>
    <w:rsid w:val="184510FD"/>
    <w:rsid w:val="190648B0"/>
    <w:rsid w:val="19071D6C"/>
    <w:rsid w:val="19D26CD4"/>
    <w:rsid w:val="19E60D19"/>
    <w:rsid w:val="1A3E3450"/>
    <w:rsid w:val="1A534654"/>
    <w:rsid w:val="1AAC0209"/>
    <w:rsid w:val="1AD807E5"/>
    <w:rsid w:val="1B114F34"/>
    <w:rsid w:val="1B39345B"/>
    <w:rsid w:val="1B723200"/>
    <w:rsid w:val="1B7818EA"/>
    <w:rsid w:val="1BFB2A1F"/>
    <w:rsid w:val="1C015D4A"/>
    <w:rsid w:val="1C290ED5"/>
    <w:rsid w:val="1C317E4F"/>
    <w:rsid w:val="1C472464"/>
    <w:rsid w:val="1D22799A"/>
    <w:rsid w:val="1D5C1A72"/>
    <w:rsid w:val="1DAF458D"/>
    <w:rsid w:val="1DC55869"/>
    <w:rsid w:val="1E086ACE"/>
    <w:rsid w:val="1E62130A"/>
    <w:rsid w:val="1E97358B"/>
    <w:rsid w:val="1EAA4A5F"/>
    <w:rsid w:val="1EBF367A"/>
    <w:rsid w:val="1EE869A7"/>
    <w:rsid w:val="1FA15E62"/>
    <w:rsid w:val="1FCA320B"/>
    <w:rsid w:val="1FED69B6"/>
    <w:rsid w:val="2064678E"/>
    <w:rsid w:val="20DC1AB9"/>
    <w:rsid w:val="20DD6197"/>
    <w:rsid w:val="212631E0"/>
    <w:rsid w:val="21A53757"/>
    <w:rsid w:val="221013E1"/>
    <w:rsid w:val="221236C6"/>
    <w:rsid w:val="22D7662C"/>
    <w:rsid w:val="230A346E"/>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3D1999"/>
    <w:rsid w:val="285F51FF"/>
    <w:rsid w:val="28DF2665"/>
    <w:rsid w:val="29072599"/>
    <w:rsid w:val="291029F3"/>
    <w:rsid w:val="29CB58F0"/>
    <w:rsid w:val="2A053397"/>
    <w:rsid w:val="2A145E96"/>
    <w:rsid w:val="2A2131BB"/>
    <w:rsid w:val="2AF5378F"/>
    <w:rsid w:val="2BB94DBF"/>
    <w:rsid w:val="2BF66E14"/>
    <w:rsid w:val="2C6F314E"/>
    <w:rsid w:val="2C8E5B3F"/>
    <w:rsid w:val="2CC206BE"/>
    <w:rsid w:val="2D061684"/>
    <w:rsid w:val="2D1136DF"/>
    <w:rsid w:val="2D20606D"/>
    <w:rsid w:val="2DB87198"/>
    <w:rsid w:val="2DB93C54"/>
    <w:rsid w:val="2E3D144C"/>
    <w:rsid w:val="2E891204"/>
    <w:rsid w:val="2F3F0A28"/>
    <w:rsid w:val="2F62585C"/>
    <w:rsid w:val="2FBF7029"/>
    <w:rsid w:val="2FD0187F"/>
    <w:rsid w:val="2FD27414"/>
    <w:rsid w:val="2FFE4BB0"/>
    <w:rsid w:val="300E7B60"/>
    <w:rsid w:val="300F6E18"/>
    <w:rsid w:val="30862F5F"/>
    <w:rsid w:val="314029C9"/>
    <w:rsid w:val="31C63837"/>
    <w:rsid w:val="31C82E39"/>
    <w:rsid w:val="32601BAD"/>
    <w:rsid w:val="329F6389"/>
    <w:rsid w:val="32E94E55"/>
    <w:rsid w:val="3389023A"/>
    <w:rsid w:val="33CB74FA"/>
    <w:rsid w:val="343642F2"/>
    <w:rsid w:val="343F3010"/>
    <w:rsid w:val="345D0A00"/>
    <w:rsid w:val="34713BFD"/>
    <w:rsid w:val="34C13589"/>
    <w:rsid w:val="353369E3"/>
    <w:rsid w:val="35A56236"/>
    <w:rsid w:val="35E00D72"/>
    <w:rsid w:val="367774C5"/>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280D7E"/>
    <w:rsid w:val="3A893816"/>
    <w:rsid w:val="3A893B6D"/>
    <w:rsid w:val="3AD1763A"/>
    <w:rsid w:val="3B6716E3"/>
    <w:rsid w:val="3B6C6B2D"/>
    <w:rsid w:val="3C242659"/>
    <w:rsid w:val="3C96719C"/>
    <w:rsid w:val="3CA72BE8"/>
    <w:rsid w:val="3CF37F8C"/>
    <w:rsid w:val="3D137554"/>
    <w:rsid w:val="3D5275AC"/>
    <w:rsid w:val="3DCC2473"/>
    <w:rsid w:val="3DEB0883"/>
    <w:rsid w:val="3E2527BF"/>
    <w:rsid w:val="3E6B1633"/>
    <w:rsid w:val="3E731662"/>
    <w:rsid w:val="3E8168DD"/>
    <w:rsid w:val="3EA7725F"/>
    <w:rsid w:val="3EB03713"/>
    <w:rsid w:val="3EBF1A11"/>
    <w:rsid w:val="3EC52607"/>
    <w:rsid w:val="3EEC6CEF"/>
    <w:rsid w:val="3F183429"/>
    <w:rsid w:val="3FB77A1D"/>
    <w:rsid w:val="3FDC3674"/>
    <w:rsid w:val="3FED7F8A"/>
    <w:rsid w:val="3FFA7ABB"/>
    <w:rsid w:val="40094AEF"/>
    <w:rsid w:val="405470BD"/>
    <w:rsid w:val="40794A29"/>
    <w:rsid w:val="40834692"/>
    <w:rsid w:val="412F6CF3"/>
    <w:rsid w:val="41431AD5"/>
    <w:rsid w:val="414B3C0F"/>
    <w:rsid w:val="41606DB9"/>
    <w:rsid w:val="417C1CE7"/>
    <w:rsid w:val="41900018"/>
    <w:rsid w:val="41944406"/>
    <w:rsid w:val="41B3641C"/>
    <w:rsid w:val="41CE128F"/>
    <w:rsid w:val="41DA6F12"/>
    <w:rsid w:val="42171FB1"/>
    <w:rsid w:val="434E6957"/>
    <w:rsid w:val="439D5647"/>
    <w:rsid w:val="43B13A21"/>
    <w:rsid w:val="43BA0E31"/>
    <w:rsid w:val="43C15147"/>
    <w:rsid w:val="43D10D39"/>
    <w:rsid w:val="43E14DD2"/>
    <w:rsid w:val="43F800E9"/>
    <w:rsid w:val="443A7E4B"/>
    <w:rsid w:val="452F5B3A"/>
    <w:rsid w:val="454E7FD2"/>
    <w:rsid w:val="46061BDC"/>
    <w:rsid w:val="46092F53"/>
    <w:rsid w:val="461404F8"/>
    <w:rsid w:val="46413018"/>
    <w:rsid w:val="464B7E04"/>
    <w:rsid w:val="46503168"/>
    <w:rsid w:val="468041AA"/>
    <w:rsid w:val="468123C6"/>
    <w:rsid w:val="46901EEE"/>
    <w:rsid w:val="469C74D2"/>
    <w:rsid w:val="47392CA0"/>
    <w:rsid w:val="47445515"/>
    <w:rsid w:val="474B4782"/>
    <w:rsid w:val="47D90D14"/>
    <w:rsid w:val="47F26DEB"/>
    <w:rsid w:val="48387FB0"/>
    <w:rsid w:val="483A6114"/>
    <w:rsid w:val="488727DB"/>
    <w:rsid w:val="48B82268"/>
    <w:rsid w:val="48C354B3"/>
    <w:rsid w:val="493D58B5"/>
    <w:rsid w:val="494A7A04"/>
    <w:rsid w:val="49655C0A"/>
    <w:rsid w:val="4A0A26D2"/>
    <w:rsid w:val="4A2019A5"/>
    <w:rsid w:val="4A241A0B"/>
    <w:rsid w:val="4A7B2875"/>
    <w:rsid w:val="4A934476"/>
    <w:rsid w:val="4AAA220A"/>
    <w:rsid w:val="4AE12E67"/>
    <w:rsid w:val="4B447D0D"/>
    <w:rsid w:val="4B4C0111"/>
    <w:rsid w:val="4B8553A9"/>
    <w:rsid w:val="4BDB3730"/>
    <w:rsid w:val="4C200F7A"/>
    <w:rsid w:val="4CA44D5C"/>
    <w:rsid w:val="4CC62F43"/>
    <w:rsid w:val="4CEE3180"/>
    <w:rsid w:val="4D0F4AF6"/>
    <w:rsid w:val="4D1B29E0"/>
    <w:rsid w:val="4D2F2FF9"/>
    <w:rsid w:val="4D50687B"/>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0010E"/>
    <w:rsid w:val="52F00B25"/>
    <w:rsid w:val="52F647F7"/>
    <w:rsid w:val="52F92565"/>
    <w:rsid w:val="53591FD4"/>
    <w:rsid w:val="53D03877"/>
    <w:rsid w:val="542F73CA"/>
    <w:rsid w:val="5430786D"/>
    <w:rsid w:val="545A1D2A"/>
    <w:rsid w:val="54C811C0"/>
    <w:rsid w:val="556A442D"/>
    <w:rsid w:val="55CA17F1"/>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9E822F5"/>
    <w:rsid w:val="5A60780B"/>
    <w:rsid w:val="5AB34579"/>
    <w:rsid w:val="5AB94344"/>
    <w:rsid w:val="5AFC6609"/>
    <w:rsid w:val="5B113480"/>
    <w:rsid w:val="5BD456CE"/>
    <w:rsid w:val="5C0D1F49"/>
    <w:rsid w:val="5CBB0CE2"/>
    <w:rsid w:val="5CC17177"/>
    <w:rsid w:val="5CF306BC"/>
    <w:rsid w:val="5D3F3D64"/>
    <w:rsid w:val="5D4963C2"/>
    <w:rsid w:val="5D833043"/>
    <w:rsid w:val="5DD92690"/>
    <w:rsid w:val="5DDB1CFD"/>
    <w:rsid w:val="5E7E6D93"/>
    <w:rsid w:val="5ED44800"/>
    <w:rsid w:val="5F350BDE"/>
    <w:rsid w:val="5F61632C"/>
    <w:rsid w:val="5FA17648"/>
    <w:rsid w:val="5FE705CB"/>
    <w:rsid w:val="603D5080"/>
    <w:rsid w:val="609F40EE"/>
    <w:rsid w:val="60D0261B"/>
    <w:rsid w:val="61446072"/>
    <w:rsid w:val="618E3791"/>
    <w:rsid w:val="61947DCA"/>
    <w:rsid w:val="61A46A97"/>
    <w:rsid w:val="61D1382F"/>
    <w:rsid w:val="61F114A2"/>
    <w:rsid w:val="61F521E1"/>
    <w:rsid w:val="62454C26"/>
    <w:rsid w:val="62512BB4"/>
    <w:rsid w:val="625D7D1A"/>
    <w:rsid w:val="629B4D3E"/>
    <w:rsid w:val="62DD7D21"/>
    <w:rsid w:val="63576530"/>
    <w:rsid w:val="637D586B"/>
    <w:rsid w:val="63A5560B"/>
    <w:rsid w:val="63E9091F"/>
    <w:rsid w:val="64322AF9"/>
    <w:rsid w:val="64A01811"/>
    <w:rsid w:val="64D6010D"/>
    <w:rsid w:val="64D82665"/>
    <w:rsid w:val="64E47C96"/>
    <w:rsid w:val="651E5741"/>
    <w:rsid w:val="6586701A"/>
    <w:rsid w:val="658A4877"/>
    <w:rsid w:val="65A00902"/>
    <w:rsid w:val="65AC6EDD"/>
    <w:rsid w:val="65D97752"/>
    <w:rsid w:val="66085536"/>
    <w:rsid w:val="66105BF7"/>
    <w:rsid w:val="66150023"/>
    <w:rsid w:val="661A0021"/>
    <w:rsid w:val="6628010D"/>
    <w:rsid w:val="669B4528"/>
    <w:rsid w:val="66CC12D7"/>
    <w:rsid w:val="67134CEF"/>
    <w:rsid w:val="671F1ABD"/>
    <w:rsid w:val="67521A59"/>
    <w:rsid w:val="675E7762"/>
    <w:rsid w:val="677556A3"/>
    <w:rsid w:val="67C304AB"/>
    <w:rsid w:val="683F0658"/>
    <w:rsid w:val="689C6793"/>
    <w:rsid w:val="68DB0208"/>
    <w:rsid w:val="68FB170C"/>
    <w:rsid w:val="6917533B"/>
    <w:rsid w:val="691B3D98"/>
    <w:rsid w:val="693748F0"/>
    <w:rsid w:val="69846A0E"/>
    <w:rsid w:val="69AA1366"/>
    <w:rsid w:val="69AD798C"/>
    <w:rsid w:val="69D005C0"/>
    <w:rsid w:val="69D80B96"/>
    <w:rsid w:val="6ACB575A"/>
    <w:rsid w:val="6B5C6BDE"/>
    <w:rsid w:val="6B68175F"/>
    <w:rsid w:val="6BFD799F"/>
    <w:rsid w:val="6C4A2E5A"/>
    <w:rsid w:val="6C8138D0"/>
    <w:rsid w:val="6CEF0725"/>
    <w:rsid w:val="6D4B2604"/>
    <w:rsid w:val="6D8030E4"/>
    <w:rsid w:val="6D8A28F4"/>
    <w:rsid w:val="6E0E35C4"/>
    <w:rsid w:val="6E0F7A08"/>
    <w:rsid w:val="6E3947F5"/>
    <w:rsid w:val="6E9C74ED"/>
    <w:rsid w:val="6EF72976"/>
    <w:rsid w:val="6F795A80"/>
    <w:rsid w:val="6F7C1D2E"/>
    <w:rsid w:val="6F8E0407"/>
    <w:rsid w:val="6FDD069F"/>
    <w:rsid w:val="702B4D16"/>
    <w:rsid w:val="70AA6621"/>
    <w:rsid w:val="70FA6739"/>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2158FA"/>
    <w:rsid w:val="753D048D"/>
    <w:rsid w:val="75722D56"/>
    <w:rsid w:val="75DB5477"/>
    <w:rsid w:val="75F633F6"/>
    <w:rsid w:val="75F714AD"/>
    <w:rsid w:val="75FC6AC3"/>
    <w:rsid w:val="7616619B"/>
    <w:rsid w:val="76660D7C"/>
    <w:rsid w:val="766C5968"/>
    <w:rsid w:val="76BA1A65"/>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4A467F"/>
    <w:rsid w:val="7E5C0A47"/>
    <w:rsid w:val="7E670C75"/>
    <w:rsid w:val="7EE24272"/>
    <w:rsid w:val="7EEA6053"/>
    <w:rsid w:val="7F487C04"/>
    <w:rsid w:val="7FB45F21"/>
    <w:rsid w:val="7FE57088"/>
    <w:rsid w:val="7FF37F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qFormat/>
    <w:uiPriority w:val="0"/>
    <w:pPr>
      <w:keepNext/>
      <w:keepLines/>
      <w:spacing w:before="260" w:after="260" w:line="416" w:lineRule="auto"/>
      <w:outlineLvl w:val="2"/>
    </w:pPr>
    <w:rPr>
      <w:rFonts w:ascii="Times New Roman" w:hAnsi="Times New Roman" w:eastAsia="宋体" w:cs="Times New Roman"/>
      <w:b/>
      <w:bCs/>
      <w:sz w:val="32"/>
      <w:szCs w:val="32"/>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toc 3"/>
    <w:basedOn w:val="1"/>
    <w:next w:val="1"/>
    <w:qFormat/>
    <w:uiPriority w:val="0"/>
    <w:pPr>
      <w:ind w:left="840" w:leftChars="400"/>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toc 1"/>
    <w:basedOn w:val="1"/>
    <w:next w:val="1"/>
    <w:qFormat/>
    <w:uiPriority w:val="0"/>
  </w:style>
  <w:style w:type="paragraph" w:styleId="8">
    <w:name w:val="toc 2"/>
    <w:basedOn w:val="1"/>
    <w:next w:val="1"/>
    <w:qFormat/>
    <w:uiPriority w:val="0"/>
    <w:pPr>
      <w:ind w:left="420" w:leftChars="200"/>
    </w:pPr>
  </w:style>
  <w:style w:type="paragraph" w:styleId="9">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2">
    <w:name w:val="Strong"/>
    <w:basedOn w:val="11"/>
    <w:qFormat/>
    <w:uiPriority w:val="0"/>
    <w:rPr>
      <w:b/>
    </w:rPr>
  </w:style>
  <w:style w:type="paragraph" w:customStyle="1" w:styleId="13">
    <w:name w:val="WPSOffice手动目录 3"/>
    <w:qFormat/>
    <w:uiPriority w:val="0"/>
    <w:pPr>
      <w:ind w:leftChars="400"/>
    </w:pPr>
    <w:rPr>
      <w:rFonts w:ascii="Times New Roman" w:hAnsi="Times New Roman" w:eastAsia="宋体" w:cs="Times New Roman"/>
      <w:sz w:val="20"/>
      <w:szCs w:val="20"/>
    </w:rPr>
  </w:style>
  <w:style w:type="paragraph" w:customStyle="1" w:styleId="14">
    <w:name w:val="WPSOffice手动目录 2"/>
    <w:qFormat/>
    <w:uiPriority w:val="0"/>
    <w:pPr>
      <w:ind w:leftChars="200"/>
    </w:pPr>
    <w:rPr>
      <w:rFonts w:ascii="Times New Roman" w:hAnsi="Times New Roman" w:eastAsia="宋体" w:cs="Times New Roman"/>
      <w:sz w:val="20"/>
      <w:szCs w:val="20"/>
    </w:rPr>
  </w:style>
  <w:style w:type="paragraph" w:customStyle="1" w:styleId="15">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5413</Words>
  <Characters>6095</Characters>
  <Lines>0</Lines>
  <Paragraphs>0</Paragraphs>
  <TotalTime>0</TotalTime>
  <ScaleCrop>false</ScaleCrop>
  <LinksUpToDate>false</LinksUpToDate>
  <CharactersWithSpaces>6105</CharactersWithSpaces>
  <Application>WPS Office_11.8.2.10972_F1E327BC-269C-435d-A152-05C5408002CA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dcterms:modified xsi:type="dcterms:W3CDTF">2025-09-04T09:41:14Z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FFAE1E872D0C4D6CAA8833165B9DE709_13</vt:lpwstr>
  </property>
  <property fmtid="{D5CDD505-2E9C-101B-9397-08002B2CF9AE}" pid="4" name="KSOTemplateDocerSaveRecord">
    <vt:lpwstr>eyJoZGlkIjoiOTBkM2UyYTEzZDM1MTJiZGUwYjAwMjlkMzQ2MDA1YTAiLCJ1c2VySWQiOiIxMTQ4MzU0NjEyIn0=</vt:lpwstr>
  </property>
</Properties>
</file>