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裕民县察汗托海牧场卫生院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一）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（二）协助开展突发公共卫生事件应急调查和处置工作，对所属行政村卫生室实行一体化管理，承担对村卫生室和乡村医生的业务管理和指导。协助做好城乡居民医疗保险工作。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裕民县察汗托海牧场卫生院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裕民县察汗托海牧场卫生院</w:t>
      </w:r>
      <w:r>
        <w:rPr>
          <w:rFonts w:hint="eastAsia" w:ascii="仿宋_GB2312" w:hAnsi="黑体" w:eastAsia="仿宋_GB2312" w:cs="宋体"/>
          <w:bCs/>
          <w:color w:val="auto"/>
          <w:kern w:val="0"/>
          <w:sz w:val="32"/>
          <w:szCs w:val="32"/>
          <w:highlight w:val="none"/>
        </w:rPr>
        <w:t>无下属预算单位，下设</w:t>
      </w:r>
      <w:r>
        <w:rPr>
          <w:rFonts w:hint="eastAsia" w:ascii="仿宋_GB2312" w:eastAsia="仿宋_GB2312"/>
          <w:color w:val="auto"/>
          <w:sz w:val="32"/>
          <w:szCs w:val="32"/>
          <w:highlight w:val="none"/>
          <w:lang w:val="en-US" w:eastAsia="zh-CN"/>
        </w:rPr>
        <w:t>10</w:t>
      </w:r>
      <w:r>
        <w:rPr>
          <w:rFonts w:hint="eastAsia" w:ascii="仿宋_GB2312" w:hAnsi="黑体" w:eastAsia="仿宋_GB2312" w:cs="宋体"/>
          <w:bCs/>
          <w:color w:val="auto"/>
          <w:kern w:val="0"/>
          <w:sz w:val="32"/>
          <w:szCs w:val="32"/>
          <w:highlight w:val="none"/>
        </w:rPr>
        <w:t>个处室，分别是：</w:t>
      </w:r>
      <w:r>
        <w:rPr>
          <w:rFonts w:hint="eastAsia" w:ascii="仿宋_GB2312" w:eastAsia="仿宋_GB2312"/>
          <w:color w:val="auto"/>
          <w:sz w:val="32"/>
          <w:szCs w:val="32"/>
          <w:highlight w:val="none"/>
        </w:rPr>
        <w:t>医生办公室、护士办公室、药房、防疫、妇幼、B超室、化验室、院长办公室、基本公共卫生办公室、财务室。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150.88万元，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147.01万元，使用非财政拨款结余0.00万元，年初结转和结余3.86万元。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150.88万元，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146.53万元，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0.00万元，年末结转和结余4.35万元。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增加9.23万元</w:t>
      </w:r>
      <w:r>
        <w:rPr>
          <w:rFonts w:hint="eastAsia" w:ascii="仿宋_GB2312" w:eastAsia="仿宋_GB2312"/>
          <w:color w:val="auto"/>
          <w:spacing w:val="0"/>
          <w:sz w:val="32"/>
          <w:szCs w:val="32"/>
          <w:highlight w:val="none"/>
          <w:lang w:eastAsia="zh-CN"/>
        </w:rPr>
        <w:t>，增长6.52%，主要原因是：</w:t>
      </w:r>
      <w:r>
        <w:rPr>
          <w:rFonts w:hint="eastAsia" w:ascii="仿宋_GB2312" w:eastAsia="仿宋_GB2312"/>
          <w:color w:val="auto"/>
          <w:spacing w:val="0"/>
          <w:sz w:val="32"/>
          <w:szCs w:val="32"/>
          <w:highlight w:val="none"/>
          <w:lang w:val="en-US" w:eastAsia="zh-CN"/>
        </w:rPr>
        <w:t>绩效工资、养老、医疗、住房公积金等基数增加。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147.01</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146.53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99.67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0.47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0.32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本年支出146.53万元，</w:t>
      </w:r>
      <w:r>
        <w:rPr>
          <w:rFonts w:hint="eastAsia" w:ascii="仿宋_GB2312" w:eastAsia="仿宋_GB2312"/>
          <w:color w:val="auto"/>
          <w:sz w:val="32"/>
          <w:szCs w:val="32"/>
          <w:highlight w:val="none"/>
          <w:lang w:val="zh-CN" w:eastAsia="zh-CN"/>
        </w:rPr>
        <w:t>其中：基本支出146.53万元，占100.00%；项目支出0.00万元，占0.00%；上缴上级支出0.00万元，占0.00%；经营支出0.00万元，占0.00%；对附属单位补助支出0.00万元，占0.00%。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146.53</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146.53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146.53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146.53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增加8.95万元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增长6.51%,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单位职工调增，绩效工资、养老、医疗、住房公积金等基数增加。</w:t>
      </w:r>
      <w:r>
        <w:rPr>
          <w:rFonts w:hint="eastAsia" w:ascii="仿宋_GB2312" w:hAnsi="Times New Roman" w:eastAsia="仿宋_GB2312" w:cs="Times New Roman"/>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138.71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146.53</w:t>
      </w:r>
      <w:r>
        <w:rPr>
          <w:rFonts w:hint="eastAsia" w:ascii="仿宋_GB2312" w:eastAsia="仿宋_GB2312"/>
          <w:color w:val="auto"/>
          <w:spacing w:val="0"/>
          <w:sz w:val="32"/>
          <w:szCs w:val="32"/>
          <w:highlight w:val="none"/>
          <w:lang w:eastAsia="zh-CN"/>
        </w:rPr>
        <w:t>万元，预决算差异率5.64%，主要原因是：</w:t>
      </w:r>
      <w:r>
        <w:rPr>
          <w:rFonts w:hint="eastAsia" w:ascii="仿宋_GB2312" w:eastAsia="仿宋_GB2312"/>
          <w:color w:val="auto"/>
          <w:spacing w:val="0"/>
          <w:sz w:val="32"/>
          <w:szCs w:val="32"/>
          <w:highlight w:val="none"/>
          <w:lang w:val="en-US" w:eastAsia="zh-CN"/>
        </w:rPr>
        <w:t>单位职工调增，绩效工资、养老、医疗、住房公积金等基数增加。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2023年度一般公共预算财政拨款支出146.53万元，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增加8.95万元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增长6.51%,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单位职工调资、医疗、住房公积金等基数增加。</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138.71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146.53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5.64%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单位职工调资，医疗、住房公积金等基数增加。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15.88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10.84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118.92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81.16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11.73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eastAsia="仿宋_GB2312"/>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1.卫生健康支出（类）行政事业单位医疗（款）事业单位医疗（项）:支出决算数为6.40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2.46%，主要原因是</w:t>
      </w:r>
      <w:r>
        <w:rPr>
          <w:rFonts w:hint="eastAsia" w:eastAsia="仿宋_GB2312" w:cs="Times New Roman"/>
          <w:color w:val="auto"/>
          <w:kern w:val="2"/>
          <w:sz w:val="32"/>
          <w:szCs w:val="32"/>
          <w:highlight w:val="none"/>
          <w:lang w:val="en-US" w:eastAsia="zh-CN" w:bidi="ar-SA"/>
        </w:rPr>
        <w:t>：基本</w:t>
      </w:r>
      <w:r>
        <w:rPr>
          <w:rFonts w:hint="eastAsia" w:ascii="仿宋_GB2312" w:eastAsia="仿宋_GB2312"/>
          <w:sz w:val="32"/>
          <w:szCs w:val="32"/>
          <w:highlight w:val="none"/>
        </w:rPr>
        <w:t>医疗</w:t>
      </w:r>
      <w:r>
        <w:rPr>
          <w:rFonts w:hint="eastAsia" w:ascii="仿宋_GB2312" w:eastAsia="仿宋_GB2312"/>
          <w:sz w:val="32"/>
          <w:szCs w:val="32"/>
          <w:highlight w:val="none"/>
          <w:lang w:eastAsia="zh-CN"/>
        </w:rPr>
        <w:t>、大病医疗</w:t>
      </w:r>
      <w:r>
        <w:rPr>
          <w:rFonts w:hint="eastAsia" w:ascii="仿宋_GB2312" w:hAnsi="宋体" w:eastAsia="仿宋_GB2312" w:cs="宋体"/>
          <w:kern w:val="0"/>
          <w:sz w:val="32"/>
          <w:szCs w:val="32"/>
          <w:highlight w:val="none"/>
          <w:lang w:val="en-US" w:eastAsia="zh-CN"/>
        </w:rPr>
        <w:t>基数</w:t>
      </w:r>
      <w:r>
        <w:rPr>
          <w:rFonts w:hint="eastAsia" w:ascii="仿宋_GB2312" w:eastAsia="仿宋_GB2312"/>
          <w:sz w:val="32"/>
          <w:szCs w:val="32"/>
          <w:highlight w:val="none"/>
          <w:lang w:eastAsia="zh-CN"/>
        </w:rPr>
        <w:t>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2.卫生健康支出（类）基层医疗卫生机构（款）乡镇卫生院（项）:支出决算数为112.52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4.21%，主要原因是：</w:t>
      </w:r>
      <w:r>
        <w:rPr>
          <w:rFonts w:hint="eastAsia" w:ascii="仿宋_GB2312" w:eastAsia="仿宋_GB2312"/>
          <w:sz w:val="32"/>
          <w:szCs w:val="32"/>
          <w:highlight w:val="none"/>
        </w:rPr>
        <w:t>职工调资，</w:t>
      </w:r>
      <w:r>
        <w:rPr>
          <w:rFonts w:hint="eastAsia" w:ascii="仿宋_GB2312" w:eastAsia="仿宋_GB2312"/>
          <w:sz w:val="32"/>
          <w:szCs w:val="32"/>
          <w:highlight w:val="none"/>
          <w:lang w:eastAsia="zh-CN"/>
        </w:rPr>
        <w:t>绩效</w:t>
      </w:r>
      <w:r>
        <w:rPr>
          <w:rFonts w:hint="eastAsia" w:ascii="仿宋_GB2312" w:eastAsia="仿宋_GB2312"/>
          <w:sz w:val="32"/>
          <w:szCs w:val="32"/>
          <w:highlight w:val="none"/>
        </w:rPr>
        <w:t>工资、医疗、住房公积金等</w:t>
      </w:r>
      <w:r>
        <w:rPr>
          <w:rFonts w:hint="eastAsia" w:ascii="仿宋_GB2312" w:hAnsi="宋体" w:eastAsia="仿宋_GB2312" w:cs="宋体"/>
          <w:kern w:val="0"/>
          <w:sz w:val="32"/>
          <w:szCs w:val="32"/>
          <w:highlight w:val="none"/>
          <w:lang w:val="en-US" w:eastAsia="zh-CN"/>
        </w:rPr>
        <w:t>基数</w:t>
      </w:r>
      <w:r>
        <w:rPr>
          <w:rFonts w:hint="eastAsia" w:ascii="仿宋_GB2312" w:eastAsia="仿宋_GB2312"/>
          <w:sz w:val="32"/>
          <w:szCs w:val="32"/>
          <w:highlight w:val="none"/>
          <w:lang w:eastAsia="zh-CN"/>
        </w:rPr>
        <w:t>增加。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3.住房保障支出（类）住房改革支出（款）住房公积金（项）:支出决算数为11.73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21.13%，主要原因是：</w:t>
      </w:r>
      <w:r>
        <w:rPr>
          <w:rFonts w:hint="eastAsia" w:eastAsia="仿宋_GB2312" w:cs="Times New Roman"/>
          <w:color w:val="auto"/>
          <w:kern w:val="2"/>
          <w:sz w:val="32"/>
          <w:szCs w:val="32"/>
          <w:highlight w:val="none"/>
          <w:lang w:val="en-US" w:eastAsia="zh-CN" w:bidi="ar-SA"/>
        </w:rPr>
        <w:t>2023年7月职工住房公积金</w:t>
      </w:r>
      <w:r>
        <w:rPr>
          <w:rFonts w:hint="eastAsia" w:ascii="仿宋_GB2312" w:hAnsi="宋体" w:eastAsia="仿宋_GB2312" w:cs="宋体"/>
          <w:kern w:val="0"/>
          <w:sz w:val="32"/>
          <w:szCs w:val="32"/>
          <w:highlight w:val="none"/>
          <w:lang w:val="en-US" w:eastAsia="zh-CN"/>
        </w:rPr>
        <w:t>基数</w:t>
      </w:r>
      <w:r>
        <w:rPr>
          <w:rFonts w:hint="eastAsia" w:ascii="仿宋_GB2312" w:eastAsia="仿宋_GB2312"/>
          <w:sz w:val="32"/>
          <w:szCs w:val="32"/>
          <w:highlight w:val="none"/>
          <w:lang w:eastAsia="zh-CN"/>
        </w:rPr>
        <w:t>增加。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4.社会保障和就业支出（类）行政事业单位养老支出（款）事业单位离退休（项）:支出决算数为1.00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31.82%，主要原因是：</w:t>
      </w:r>
      <w:r>
        <w:rPr>
          <w:rFonts w:hint="eastAsia" w:eastAsia="仿宋_GB2312" w:cs="Times New Roman"/>
          <w:color w:val="auto"/>
          <w:kern w:val="2"/>
          <w:sz w:val="32"/>
          <w:szCs w:val="32"/>
          <w:highlight w:val="none"/>
          <w:lang w:val="en-US" w:eastAsia="zh-CN" w:bidi="ar-SA"/>
        </w:rPr>
        <w:t>2023年年底退休医疗保险退回指标。</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5.社会保障和就业支出（类）行政事业单位养老支出（款）机关事业单位基本养老保险缴费支出（项）:支出决算数为14.88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21.86%，主要原因是：</w:t>
      </w:r>
      <w:r>
        <w:rPr>
          <w:rFonts w:hint="eastAsia" w:eastAsia="仿宋_GB2312" w:cs="Times New Roman"/>
          <w:color w:val="auto"/>
          <w:kern w:val="2"/>
          <w:sz w:val="32"/>
          <w:szCs w:val="32"/>
          <w:highlight w:val="none"/>
          <w:lang w:val="en-US" w:eastAsia="zh-CN" w:bidi="ar-SA"/>
        </w:rPr>
        <w:t>基本养老保险</w:t>
      </w:r>
      <w:r>
        <w:rPr>
          <w:rFonts w:hint="eastAsia" w:ascii="仿宋_GB2312" w:hAnsi="宋体" w:eastAsia="仿宋_GB2312" w:cs="宋体"/>
          <w:kern w:val="0"/>
          <w:sz w:val="32"/>
          <w:szCs w:val="32"/>
          <w:highlight w:val="none"/>
          <w:lang w:val="en-US" w:eastAsia="zh-CN"/>
        </w:rPr>
        <w:t>基数</w:t>
      </w:r>
      <w:r>
        <w:rPr>
          <w:rFonts w:hint="eastAsia" w:ascii="仿宋_GB2312" w:eastAsia="仿宋_GB2312"/>
          <w:sz w:val="32"/>
          <w:szCs w:val="32"/>
          <w:highlight w:val="none"/>
          <w:lang w:eastAsia="zh-CN"/>
        </w:rPr>
        <w:t>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146.53</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144.98</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基本工资、津贴补贴、奖金、绩效工资、机关事业单位基本养老保险缴费、职工基本医疗保险缴费、其他社会保障缴费、住房公积金、退休费、医疗费补助、。</w:t>
      </w:r>
    </w:p>
    <w:p>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1.55</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工会经费</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财政拨款“三公”经费支出决算情况说明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bookmarkStart w:id="18" w:name="_Toc5810"/>
      <w:bookmarkStart w:id="19" w:name="_Toc7927"/>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w:t>
      </w:r>
      <w:r>
        <w:rPr>
          <w:rFonts w:hint="eastAsia" w:ascii="仿宋_GB2312" w:eastAsia="仿宋_GB2312"/>
          <w:color w:val="auto"/>
          <w:sz w:val="32"/>
          <w:szCs w:val="32"/>
          <w:highlight w:val="none"/>
          <w:lang w:val="en-US" w:eastAsia="zh-CN"/>
        </w:rPr>
        <w:t>无此项</w:t>
      </w:r>
      <w:r>
        <w:rPr>
          <w:rFonts w:hint="eastAsia" w:ascii="仿宋_GB2312" w:eastAsia="仿宋_GB2312"/>
          <w:color w:val="auto"/>
          <w:sz w:val="32"/>
          <w:szCs w:val="32"/>
          <w:highlight w:val="none"/>
          <w:lang w:val="zh-CN" w:eastAsia="zh-CN"/>
        </w:rPr>
        <w:t>开支</w:t>
      </w:r>
      <w:r>
        <w:rPr>
          <w:rFonts w:hint="eastAsia" w:ascii="仿宋_GB2312" w:eastAsia="仿宋_GB2312"/>
          <w:color w:val="auto"/>
          <w:sz w:val="32"/>
          <w:szCs w:val="32"/>
          <w:highlight w:val="none"/>
          <w:lang w:val="en-US" w:eastAsia="zh-CN"/>
        </w:rPr>
        <w:t>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1辆，与公务用车保有量差异原因是：</w:t>
      </w:r>
      <w:r>
        <w:rPr>
          <w:rFonts w:hint="eastAsia" w:ascii="仿宋_GB2312" w:eastAsia="仿宋_GB2312"/>
          <w:sz w:val="32"/>
          <w:szCs w:val="32"/>
          <w:lang w:val="zh-CN"/>
        </w:rPr>
        <w:t>本单位没有公务用车</w:t>
      </w:r>
      <w:r>
        <w:rPr>
          <w:rFonts w:hint="eastAsia" w:ascii="仿宋_GB2312" w:eastAsia="仿宋_GB2312"/>
          <w:color w:val="auto"/>
          <w:sz w:val="32"/>
          <w:szCs w:val="32"/>
          <w:highlight w:val="none"/>
          <w:lang w:val="en-US" w:eastAsia="zh-CN"/>
        </w:rPr>
        <w:t>。</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黑体" w:hAnsi="黑体" w:eastAsia="黑体" w:cs="宋体"/>
          <w:bCs/>
          <w:color w:val="auto"/>
          <w:kern w:val="0"/>
          <w:sz w:val="32"/>
          <w:szCs w:val="32"/>
          <w:highlight w:val="none"/>
          <w:lang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八、政府性基金预算财政拨款收入支出决算情况说明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九、国有资本经营预算财政拨款收入支出决算情况说明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bookmarkStart w:id="20" w:name="_Toc1235"/>
      <w:bookmarkStart w:id="21" w:name="_Toc7314"/>
      <w:r>
        <w:rPr>
          <w:rFonts w:hint="eastAsia" w:ascii="黑体" w:hAnsi="黑体" w:eastAsia="黑体" w:cs="宋体"/>
          <w:bCs/>
          <w:color w:val="auto"/>
          <w:kern w:val="0"/>
          <w:sz w:val="32"/>
          <w:szCs w:val="32"/>
          <w:highlight w:val="none"/>
          <w:lang w:val="en-US" w:eastAsia="zh-CN"/>
        </w:rPr>
        <w:t>十、其他重要事项的情况说明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24" w:name="_Toc26704"/>
      <w:bookmarkStart w:id="25" w:name="_Toc2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裕民县察汗托海牧场卫生院（事业单位）公用经费支出1.55万元，</w:t>
      </w:r>
      <w:r>
        <w:rPr>
          <w:rFonts w:hint="eastAsia" w:ascii="仿宋_GB2312" w:eastAsia="仿宋_GB2312"/>
          <w:color w:val="auto"/>
          <w:sz w:val="32"/>
          <w:szCs w:val="32"/>
          <w:highlight w:val="none"/>
          <w:lang w:val="zh-CN" w:eastAsia="zh-CN"/>
        </w:rPr>
        <w:t>比上年增加0.08万元，增长5.57%，主要原因是：</w:t>
      </w:r>
      <w:r>
        <w:rPr>
          <w:rFonts w:hint="eastAsia" w:ascii="仿宋_GB2312" w:eastAsia="仿宋_GB2312"/>
          <w:color w:val="auto"/>
          <w:sz w:val="32"/>
          <w:szCs w:val="32"/>
          <w:highlight w:val="none"/>
          <w:lang w:val="en-US" w:eastAsia="zh-CN"/>
        </w:rPr>
        <w:t>2023年单位职工调资，所以机关运行经费财政拨款决算比上年决算增加。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2023年度政府采购支出总额0.00万元，其中：政府采购货物支出0.00万元、政府采购工程支出0.00万元、政府采购服务支出0.00万元。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授予中小企业合同金额0.00万元，占政府采购支出总额的0.00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，其中：授予小微企业合同金额0.00万元，占政府采购支出总额的0.00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142.51</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屋0.0平方米，价值0.00万元。车辆1辆，价值10.45万元，其中：副部（省）级及以上领导用车0辆、主要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用车0辆、机要通信用车0辆、应急保障用车0辆、执法执勤用车0辆、特种专业技术用车1辆、离退休干部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用车0辆、其他用车0辆，其他用车主要是：救护车；单价100万元（含）以上设备（不含车辆）0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bookmarkStart w:id="28" w:name="_Toc435"/>
      <w:bookmarkStart w:id="29" w:name="_Toc11283"/>
      <w:r>
        <w:rPr>
          <w:rFonts w:hint="eastAsia" w:ascii="黑体" w:hAnsi="黑体" w:eastAsia="黑体" w:cs="宋体"/>
          <w:bCs/>
          <w:color w:val="auto"/>
          <w:kern w:val="0"/>
          <w:sz w:val="32"/>
          <w:szCs w:val="32"/>
          <w:highlight w:val="none"/>
          <w:lang w:val="en-US" w:eastAsia="zh-CN"/>
        </w:rPr>
        <w:t>十一、预算绩效的情况说明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预算总额150.88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实际执行总额146.53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。预算绩效管理取得的成效：我单位无项目绩效自评表。发现的问题及原因：我单位无项目绩效自评表。下一步改进措施：我单位无项目绩效自评表。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十二、其他需说明的事项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本单位授予中小企业合同0金额、授予小微企业合同金额为0万元，原因：本年度无此项支出。</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Gx6hx3gEAAL4DAAAOAAAAAAAA&#10;AAEAIAAAAB4BAABkcnMvZTJvRG9jLnhtbFBLBQYAAAAABgAGAFkBAABu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kZDU5MTg5NzliMjU0Zjg4YjhmYzE5MzYyZDM3YzUifQ=="/>
    <w:docVar w:name="KSO_WPS_MARK_KEY" w:val="41ee2a61-2d54-4f93-83be-afdb9a40d732"/>
  </w:docVars>
  <w:rsids>
    <w:rsidRoot w:val="00000000"/>
    <w:rsid w:val="00213C59"/>
    <w:rsid w:val="003210CE"/>
    <w:rsid w:val="006D51C6"/>
    <w:rsid w:val="00741195"/>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C91F03"/>
    <w:rsid w:val="05EF4B48"/>
    <w:rsid w:val="05F76ECA"/>
    <w:rsid w:val="06792773"/>
    <w:rsid w:val="07093795"/>
    <w:rsid w:val="07796F40"/>
    <w:rsid w:val="07804730"/>
    <w:rsid w:val="0787377A"/>
    <w:rsid w:val="079052BE"/>
    <w:rsid w:val="08145C21"/>
    <w:rsid w:val="08422688"/>
    <w:rsid w:val="085854ED"/>
    <w:rsid w:val="0879188F"/>
    <w:rsid w:val="08A0354D"/>
    <w:rsid w:val="08CD4C49"/>
    <w:rsid w:val="09114954"/>
    <w:rsid w:val="095A5B83"/>
    <w:rsid w:val="096466E3"/>
    <w:rsid w:val="0968304D"/>
    <w:rsid w:val="09834531"/>
    <w:rsid w:val="09AF3D17"/>
    <w:rsid w:val="0A7809B7"/>
    <w:rsid w:val="0A7B4867"/>
    <w:rsid w:val="0A840954"/>
    <w:rsid w:val="0A9928ED"/>
    <w:rsid w:val="0AB62F72"/>
    <w:rsid w:val="0AE539C4"/>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6535F6"/>
    <w:rsid w:val="0F1113DA"/>
    <w:rsid w:val="0F78534A"/>
    <w:rsid w:val="0F89358A"/>
    <w:rsid w:val="0F8C6D51"/>
    <w:rsid w:val="10507C2A"/>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8C41F87"/>
    <w:rsid w:val="190648B0"/>
    <w:rsid w:val="19071D6C"/>
    <w:rsid w:val="19D26CD4"/>
    <w:rsid w:val="19E60D19"/>
    <w:rsid w:val="1A3E3450"/>
    <w:rsid w:val="1AD807E5"/>
    <w:rsid w:val="1B39345B"/>
    <w:rsid w:val="1BFB2A1F"/>
    <w:rsid w:val="1C015D4A"/>
    <w:rsid w:val="1C126A41"/>
    <w:rsid w:val="1C290ED5"/>
    <w:rsid w:val="1C317E4F"/>
    <w:rsid w:val="1C472464"/>
    <w:rsid w:val="1D22799A"/>
    <w:rsid w:val="1D23650D"/>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39263C"/>
    <w:rsid w:val="27CF2642"/>
    <w:rsid w:val="27E777F5"/>
    <w:rsid w:val="27EA1D4C"/>
    <w:rsid w:val="27EA2E41"/>
    <w:rsid w:val="282459E2"/>
    <w:rsid w:val="283A7FE5"/>
    <w:rsid w:val="285F51FF"/>
    <w:rsid w:val="28881F73"/>
    <w:rsid w:val="28DF2665"/>
    <w:rsid w:val="29072599"/>
    <w:rsid w:val="291029F3"/>
    <w:rsid w:val="29CB58F0"/>
    <w:rsid w:val="2A053397"/>
    <w:rsid w:val="2A145E96"/>
    <w:rsid w:val="2A2131BB"/>
    <w:rsid w:val="2AAC6845"/>
    <w:rsid w:val="2AF5378F"/>
    <w:rsid w:val="2BB94DBF"/>
    <w:rsid w:val="2C6F314E"/>
    <w:rsid w:val="2C7D0652"/>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613C8C"/>
    <w:rsid w:val="387D6B9E"/>
    <w:rsid w:val="38B75FF0"/>
    <w:rsid w:val="38D45016"/>
    <w:rsid w:val="38D90432"/>
    <w:rsid w:val="3914510A"/>
    <w:rsid w:val="3926770B"/>
    <w:rsid w:val="398D3668"/>
    <w:rsid w:val="39DA0497"/>
    <w:rsid w:val="3A893816"/>
    <w:rsid w:val="3A893B6D"/>
    <w:rsid w:val="3AD1763A"/>
    <w:rsid w:val="3B372FB0"/>
    <w:rsid w:val="3B6716E3"/>
    <w:rsid w:val="3B6C6B2D"/>
    <w:rsid w:val="3C242659"/>
    <w:rsid w:val="3C96719C"/>
    <w:rsid w:val="3CA72BE8"/>
    <w:rsid w:val="3CF10745"/>
    <w:rsid w:val="3CF37F8C"/>
    <w:rsid w:val="3D137554"/>
    <w:rsid w:val="3D5275AC"/>
    <w:rsid w:val="3DCC2473"/>
    <w:rsid w:val="3DEB0883"/>
    <w:rsid w:val="3E2527BF"/>
    <w:rsid w:val="3E731662"/>
    <w:rsid w:val="3E8168DD"/>
    <w:rsid w:val="3EA7725F"/>
    <w:rsid w:val="3EB03713"/>
    <w:rsid w:val="3EB6206B"/>
    <w:rsid w:val="3EBF1A11"/>
    <w:rsid w:val="3EC52607"/>
    <w:rsid w:val="3EEC6CEF"/>
    <w:rsid w:val="3F183429"/>
    <w:rsid w:val="3FB77A1D"/>
    <w:rsid w:val="3FD0073F"/>
    <w:rsid w:val="3FDC3674"/>
    <w:rsid w:val="3FED7F8A"/>
    <w:rsid w:val="40094AEF"/>
    <w:rsid w:val="405470BD"/>
    <w:rsid w:val="40794A29"/>
    <w:rsid w:val="40834692"/>
    <w:rsid w:val="41431AD5"/>
    <w:rsid w:val="414B3C0F"/>
    <w:rsid w:val="417C1CE7"/>
    <w:rsid w:val="41900018"/>
    <w:rsid w:val="41944406"/>
    <w:rsid w:val="41AF10EF"/>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123847"/>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BF27CFC"/>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485E78"/>
    <w:rsid w:val="53D03877"/>
    <w:rsid w:val="542F73CA"/>
    <w:rsid w:val="5430786D"/>
    <w:rsid w:val="545A1D2A"/>
    <w:rsid w:val="546A5AE3"/>
    <w:rsid w:val="54C811C0"/>
    <w:rsid w:val="55153BF6"/>
    <w:rsid w:val="5555598D"/>
    <w:rsid w:val="556A442D"/>
    <w:rsid w:val="55B2599E"/>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CB3667"/>
    <w:rsid w:val="5A60780B"/>
    <w:rsid w:val="5AB34579"/>
    <w:rsid w:val="5AFC6609"/>
    <w:rsid w:val="5B113480"/>
    <w:rsid w:val="5B7A4F84"/>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203440"/>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ABD363F"/>
    <w:rsid w:val="6B68175F"/>
    <w:rsid w:val="6BFD799F"/>
    <w:rsid w:val="6C4A2E5A"/>
    <w:rsid w:val="6C8138D0"/>
    <w:rsid w:val="6CBC65B8"/>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945A38"/>
    <w:rsid w:val="72D068C7"/>
    <w:rsid w:val="72E42ED8"/>
    <w:rsid w:val="735F4CB9"/>
    <w:rsid w:val="73674C62"/>
    <w:rsid w:val="73845865"/>
    <w:rsid w:val="739B6D9E"/>
    <w:rsid w:val="73BC1D76"/>
    <w:rsid w:val="73FB6630"/>
    <w:rsid w:val="748D790E"/>
    <w:rsid w:val="749820CC"/>
    <w:rsid w:val="74CE04EC"/>
    <w:rsid w:val="74E76DCD"/>
    <w:rsid w:val="751D7C0A"/>
    <w:rsid w:val="754C54B3"/>
    <w:rsid w:val="75722D56"/>
    <w:rsid w:val="75766228"/>
    <w:rsid w:val="75DB5477"/>
    <w:rsid w:val="75FC6AC3"/>
    <w:rsid w:val="7616619B"/>
    <w:rsid w:val="76660D7C"/>
    <w:rsid w:val="766C5968"/>
    <w:rsid w:val="7677444A"/>
    <w:rsid w:val="76BE0C8F"/>
    <w:rsid w:val="76CD53B2"/>
    <w:rsid w:val="770719AC"/>
    <w:rsid w:val="776526CC"/>
    <w:rsid w:val="77A262E1"/>
    <w:rsid w:val="77B13C33"/>
    <w:rsid w:val="77B555C2"/>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2E4411"/>
    <w:rsid w:val="7C7248A0"/>
    <w:rsid w:val="7C976D69"/>
    <w:rsid w:val="7CD752DA"/>
    <w:rsid w:val="7CDE40AB"/>
    <w:rsid w:val="7CF057E2"/>
    <w:rsid w:val="7D1548B5"/>
    <w:rsid w:val="7DF84014"/>
    <w:rsid w:val="7E207949"/>
    <w:rsid w:val="7E2C6C0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4708</Words>
  <Characters>5260</Characters>
  <Lines>0</Lines>
  <Paragraphs>0</Paragraphs>
  <TotalTime>0</TotalTime>
  <ScaleCrop>false</ScaleCrop>
  <LinksUpToDate>false</LinksUpToDate>
  <CharactersWithSpaces>5271</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2025-09-04T09:38:17Z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26B246AB50D044DF839F0843E565E276_13</vt:lpwstr>
  </property>
</Properties>
</file>