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裕民县妇幼保健计划生育服务中心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裕民县妇幼保健计划生育服务中心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陈艳萍</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基本公共卫生项目主要是服务本辖区的妇女、儿童、老年人、慢性病等重点人群，提升我辖区居民生活质量和健康水平。为辖区常</w:t>
      </w:r>
      <w:r>
        <w:rPr>
          <w:rStyle w:val="18"/>
          <w:rFonts w:hint="eastAsia" w:ascii="楷体" w:hAnsi="楷体" w:eastAsia="楷体"/>
          <w:b w:val="0"/>
          <w:bCs w:val="0"/>
          <w:spacing w:val="-4"/>
          <w:sz w:val="32"/>
          <w:szCs w:val="32"/>
          <w:lang w:eastAsia="zh-CN"/>
        </w:rPr>
        <w:t>住</w:t>
      </w:r>
      <w:r>
        <w:rPr>
          <w:rStyle w:val="18"/>
          <w:rFonts w:hint="eastAsia" w:ascii="楷体" w:hAnsi="楷体" w:eastAsia="楷体"/>
          <w:b w:val="0"/>
          <w:bCs w:val="0"/>
          <w:spacing w:val="-4"/>
          <w:sz w:val="32"/>
          <w:szCs w:val="32"/>
        </w:rPr>
        <w:t>人口建立统一、规范的居民健康档案；免费为辖区65岁及以上老年人进行健康管理服务；对高血压、糖尿病等慢性病人群进行指导干预；对严重精神障碍疾病患者加强宣传、鼓励和帮助病人进行生活康复训练；对0-6岁儿童进行健康档案管理；对孕产妇保健慢性病的管理。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一是居民建档情况，为本辖区常</w:t>
      </w:r>
      <w:r>
        <w:rPr>
          <w:rStyle w:val="18"/>
          <w:rFonts w:hint="eastAsia" w:ascii="楷体" w:hAnsi="楷体" w:eastAsia="楷体"/>
          <w:b w:val="0"/>
          <w:bCs w:val="0"/>
          <w:spacing w:val="-4"/>
          <w:sz w:val="32"/>
          <w:szCs w:val="32"/>
          <w:lang w:eastAsia="zh-CN"/>
        </w:rPr>
        <w:t>住</w:t>
      </w:r>
      <w:r>
        <w:rPr>
          <w:rStyle w:val="18"/>
          <w:rFonts w:hint="eastAsia" w:ascii="楷体" w:hAnsi="楷体" w:eastAsia="楷体"/>
          <w:b w:val="0"/>
          <w:bCs w:val="0"/>
          <w:spacing w:val="-4"/>
          <w:sz w:val="32"/>
          <w:szCs w:val="32"/>
        </w:rPr>
        <w:t>居民建档，建档率达85%。0-6岁儿童建档率达90%。孕产妇建档率达95%。慢性病建档率达95%。二是65岁老年人管理情况，免费为65岁以上老年人测血糖、血压，进行健康知识宣传。三是慢性病管理情况，2023年1月1日至2023年12月，新建高血压专档11人、随访44人；新建糖尿病专档3人，随访12人。截止到2023年12月，高血压共建档456人、随访2111人次、随访率99%。糖尿病共建档198人、随访942人次，随访率100%。为有效预防和控制高血压、糖尿病等慢性病，由副主任亲自负责开展了高血压、糖尿病等慢性病的随访管理、康复指导工作。四是0-6岁儿童管理情况，2023年1月1日至2023年12月31日管理0-6儿童1448人，随访1402人；随访率94.8%。为辖区内0－6岁婴幼儿童建立儿童保健手册，开展新生儿访视及儿童保健系统管理。2023年1-12月活产数173人，新生儿访视164人。访视率94.7%。进行体格检查和生长发育监测及评价，开展心理行为发育、母乳喂养、辅食添加、意外伤害预防、常见疾病防治等健康指导。对3岁-6岁儿童进行了氟化泡沫龋齿预防口腔保健。五是孕产妇保健情况，2023年1月1日至2023年12月31日，建立妇女专档167人，产后访视随访171人。电脑随访率98.84%。为辖区内孕产妇建立保健手册，开展了至少5次孕期保健服务和1次产后访视。进行化验、B超等一般体格检查及孕期营养、心理等健康指导，了解产后恢复情况并对产后常见问题进行指导。六是精神障碍管理，为防止和减少精神疾病的发生，结合建立居民健康档案，我院今年对辖区内的重性精神病建立档案，开展了精神病的随访管理、康复指导工作，目前在管重精患者18人，0级18人。掌握了辖区内精神病的现患情况。一是将辖区内诊断明确、在家居住的重性精神疾病患者纳入管理。每月一次问患者的躯体疾病、社会功能情况、服药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通过本项目的实施，提高了居民健康意识和改变了不良的生活方式，树立了居民自我健康管理理念，减少了健康危险因素，为居民建立了健康第一道屏障，提升了本辖区居民健康保健意识。3.项目实施主体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2023年裕民县基本公共卫生服务补助资金的实施主体为裕民县妇幼保健计划生育服务中心。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拨付2023年基本公共卫生服务补助资金的通知》（塔地财社［2022］103号自治区基本公共卫生服务补助资金；塔地财社［2022］91号2023基本公共卫生服务补助资金；塔地财社［2023］17号自治区2023基本公共卫生服务补助资金；塔地财社［2023］25号自治区2023基本公共卫生服务补助资金（第二批）；）文件，基本公共卫生服务项目预算安排资金总额90.26万元，其中财政资金90.26万元、其他资金0万元；2023年实际收到预算资金90.26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截至2023年12月31日，本项目实际支付资金90.26万元，预算执行率100%。项目资金主要用于支付健康档案管理费用19万元、儿童保健费用24万元、孕产妇保健费用21万元、其他费用26.6万元。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居民健康档案以妇女、儿童、老年人、慢性病等人群为重点，在自愿的基础上，为辖区常</w:t>
      </w:r>
      <w:r>
        <w:rPr>
          <w:rStyle w:val="18"/>
          <w:rFonts w:hint="eastAsia" w:ascii="楷体" w:hAnsi="楷体" w:eastAsia="楷体"/>
          <w:b w:val="0"/>
          <w:bCs w:val="0"/>
          <w:spacing w:val="-4"/>
          <w:sz w:val="32"/>
          <w:szCs w:val="32"/>
          <w:lang w:eastAsia="zh-CN"/>
        </w:rPr>
        <w:t>住</w:t>
      </w:r>
      <w:bookmarkStart w:id="0" w:name="_GoBack"/>
      <w:bookmarkEnd w:id="0"/>
      <w:r>
        <w:rPr>
          <w:rStyle w:val="18"/>
          <w:rFonts w:hint="eastAsia" w:ascii="楷体" w:hAnsi="楷体" w:eastAsia="楷体"/>
          <w:b w:val="0"/>
          <w:bCs w:val="0"/>
          <w:spacing w:val="-4"/>
          <w:sz w:val="32"/>
          <w:szCs w:val="32"/>
        </w:rPr>
        <w:t>人口建立统一、规范的居民健康档案；老年人管理，免费为辖区65岁及以上老年人进行健康管理服务；慢性病管理，对高血压、糖尿病等慢性病高危人群进行指导干预。四严重精神病障碍管理，统计本辖区的严重精神障碍疾病患者的底数，加强宣传，鼓励和帮助病人进行生活功能康复训练；中药健康管理、0-6儿童健康管理、孕产妇保健慢性病管理工作得到切实有效落实，促进基本公共卫生服务逐步均等化得到有效实施，使我辖区居民生活质量和健康水平明显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“服务项目数量”指标，预期指标值为“=9项”；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“服务宣传次数”指标，预期指标值为“≥6次”；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“服务慢性病管理次数”指标，预期指标值为“≥12次”。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“基本公共卫生项目管理率”指标，预期指标值为“=100%”；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“项目金额”指标，预期指标值为“≤90.26万元”；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该项目无此指标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“加强慢性病自我管理意识”指标，预期指标值为“有效加强”；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该项目无此指标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基本公共卫生服务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基本公共卫生服务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闫锡荣任评价组组长，绩效评价工作职责为检查项目绩效指标完成情况、审定项目支出绩效评价结果及项目支出绩效评价报告。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加孜娜任评价组副组长，绩效评价工作职责为组织和协调项目工作人员采取实地调查、资料检查等方式，核实项目绩效指标完成情况；组织受益对象对项目工作进行评价等。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王伟任评价组成员，绩效评价工作职责为做好项目支出绩效评价工作的沟通协调工作，对项目实施情况进行实地调查，编写项目支出绩效评价报告。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基本公卫生服务补助资金的实施，解决了全县妇女儿童健康水平，实现了提升孕产保健，保障了母婴安全，加强了儿童保健，提升了卫生服务水平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基本公共卫生服务补助资金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妇幼保健计划生育服务中心单位提出申报，于2023年1月批复设立，2023年我单位根据《（塔地财社［2022］103号自治区基本公共卫生服务补助资金；塔地财社［2022］91号2023基本公共卫生服务补助资金；塔地财社［2023］17号自治区2023基本公共卫生服务补助资金；塔地财社［2023］25号自治区2023基本公共卫生服务补助资金（第二批）；文件》（文件号）文件要求组织实施该项目。项目立项符合国家法律法规、自治区和地区行业发展规划和政策要求，属于本部门履职所需。根据评分标准，该指标2.5分，得2.5分。2.立项程序规范性：根据决策依据编制工作计划和经费预算，经过与财政部门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2.预算执行率：本项目预算编制较为详细，预算资金90.26万元，实际执行90.26万元，预算执行率为100%，项目资金支出总体能够按照预算执行，根据评分标准，该指标2分，得2分。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3.资金使用合规性：项目任务下达后，我单位制定了《项目实施》制度和管理规定对经费使用进行规范管理，财务制度健全、执行严格；根据评分标准，该指标3分，得3分。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4.管理制度健全性：我单位制定了《专项资金管理制度》等相关项目管理办法，同时对财政专项资金进行严格管理，基本做到了专款专用，根据评分标准，该指标4分，得4分。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项目分管领导沟通后，报院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“服务项目数量”指标，预期指标值为“＝9项”，根据年终考核总结报告可知，实际完成9项，与预期目标一致，根据评分标准，该指标3分，得3分。如果未完成，则写法如下：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“宣传服务次数”指标，预期指标值为“≥6次”，年终考核总结报告可知，实际完成6次，与预期目标一致，根据评分标准，该指标3分，得3分。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“慢性病管理次数”指标，预期指标值为“≥12次”，年终考核总结报告可知，实际完成12次，与预期目标一致，根据评分标准，该指标4分，得4分。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“基本公共卫生项目管理率”指标，预期指标值为“=100%”，根据项目年度考核情况，有效利用率达100%，与预期目标一致，根据评分标准，该指标10分，得10分。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“项目完成时间”指标，预期指标值为“2023年12月25日完成”；根据年度考核，该项目2023年12月25日前已完成，与预期目标指标一致，根据评分标准，该指标10分，得10分。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项目金额”指标，预期指标值为“≤90.26万元”，根据项目资金支付凭证显示，本项目2023年共计支付项目资金款90.26万元，经费支出能够控制在年度计划成本范围内，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“加强慢性病自我管理意识”指标，预期指标值为“有效改善”，根据本单位年度考核情况，实际完成值为“达成年度指标”该指标20分，得20分。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（五）满意度指标完成情况分析（10分）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“服务对象满意度”指标，预期指标值为“≥95%”，根据对社区居民满意度问卷调查的结果可知，社区居民满意度达100%，根据评分标准，该指标10分，得10分。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基本公共卫生服务补助资金预算金额90.26万元，实际到位90.26万元，全年项目实际支出90.26万元，预算执行率为100%。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2023年本单位负责实施的基本公共卫生服务补助资金的绩效目标及指标已经全部达成，不存在偏差情况。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持续开展妇幼重大公共卫生和基本公共卫生服务项目。持续宣传好增补叶酸预防神经管缺陷、预防艾滋病、梅毒和乙肝母婴传播、农村妇女宫颈癌、乳腺癌检查、查环查孕、孕前优生检查、学生免费健康体检、新生儿遗传代谢病筛查、新生儿听力筛查、免费婚检、妇幼卫生监测等项目，积极落实党的各项妇幼重大公共卫生和基本公共卫生医疗惠民服务项目，使党的惠民政策深入农牧区每一户农牧民心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高危孕产妇管理。坚持关口前移，做好全周期孕产保健，组织育龄妇女进行孕前健康宣教，倡导科学备孕，做好孕前保健。严格执行孕产妇“五色”管理机制，不断完善高危孕产妇管理规范，加大产检和健康宣教、随访力度，落实危重孕产妇救治绿色通道，加强产科专业人员培训，降低孕产妇死亡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加强计划生育服务管理。扎实推进国免孕优、免费查环查孕技术服务及药具管理工作。持续加大产前筛查工作，重点加强对育龄妇女群体的宣传教育引导，大力提倡优生优育，不断降低人口出生缺陷，提高人口素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加强婚检率。加大婚前保健知识及婚前医学检查的重要性、必要性的宣传力度，使婚前医学检查成为新婚夫妇的自觉行为，争取政府支持，加大与宣传、民政、计生等相关部门密切配合，不断规范操作程序、广泛宣传、提高群众婚检思想认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是始终坚持以人民为中心,切实为人民健康做好服务。始终把人民群众对健康更高层次、更高质量的需求,作为我们工作的目标,不断完善健康服务体系，扩展健康服务内容，提高健康服务质量，努力为群众提供全方位、全周期的健康服务。（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1.基层妇幼健康服务能力水平急需着力提升。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个别乡镇卫生院工作重视程度不够，工作推进力度不大，妇幼健康服务人员配备不足，队伍不稳定，更换、抽调频繁，致使业务整体能力水平不高，存在孕产妇保健卡册填写不规范、有空项、录错、少录，云平台与基本公卫录入不一致，7岁以下儿童健康管理率完成不达标等问题；临床和保健能力薄弱，较群众对妇幼健康服务的新需求、新期待相比仍有一定差距。</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2.母婴安全保障水平仍需进一步提升。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前我县高龄、高危孕产妇数量仍处于高位。全县273名产妇中筛查出存在高龄、疤痕子宫、肥胖、前置胎盘、高血压等高危因素产妇85人。154名孕妇中筛查出筛查出存在高龄、疤痕子宫、肥胖、前置胎盘、高血压等高危因素孕妇71人。助产机构急救能力薄弱、高危妊娠管理不到位、健康宣教不足等问题，必须引起高度警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0224C"/>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1BA465ED"/>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2025-10-17T03:08:38Z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C734C92AAAF24344A0E4232D8EB3359B</vt:lpwstr>
  </property>
  <property fmtid="{D5CDD505-2E9C-101B-9397-08002B2CF9AE}" pid="4" name="_DocHome">
    <vt:i4>-178212855</vt:i4>
  </property>
</Properties>
</file>