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裕民县第一小学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 w:eastAsia="仿宋_GB2312"/>
          <w:color w:val="auto"/>
          <w:sz w:val="32"/>
          <w:szCs w:val="32"/>
        </w:rPr>
      </w:pPr>
      <w:bookmarkStart w:id="4" w:name="_Toc31238"/>
      <w:bookmarkStart w:id="5" w:name="_Toc2151"/>
      <w:r>
        <w:rPr>
          <w:rFonts w:hint="eastAsia" w:ascii="仿宋_GB2312" w:hAnsi="仿宋" w:eastAsia="仿宋_GB2312"/>
          <w:color w:val="auto"/>
          <w:sz w:val="32"/>
          <w:szCs w:val="32"/>
        </w:rPr>
        <w:t>发展教育事业、贯彻落实党的教育方针、加深教育教学政策、全面提高教育教学质量我</w:t>
      </w:r>
      <w:r>
        <w:rPr>
          <w:rFonts w:hint="eastAsia" w:ascii="仿宋_GB2312" w:hAnsi="仿宋" w:eastAsia="仿宋_GB2312"/>
          <w:color w:val="auto"/>
          <w:sz w:val="32"/>
          <w:szCs w:val="32"/>
          <w:lang w:eastAsia="zh-CN"/>
        </w:rPr>
        <w:t>校</w:t>
      </w:r>
      <w:r>
        <w:rPr>
          <w:rFonts w:hint="eastAsia" w:ascii="仿宋_GB2312" w:hAnsi="仿宋" w:eastAsia="仿宋_GB2312"/>
          <w:color w:val="auto"/>
          <w:sz w:val="32"/>
          <w:szCs w:val="32"/>
        </w:rPr>
        <w:t>的财务工作在上级主管部门的指导和帮助下，在</w:t>
      </w:r>
      <w:r>
        <w:rPr>
          <w:rFonts w:hint="eastAsia" w:ascii="仿宋_GB2312" w:hAnsi="仿宋" w:eastAsia="仿宋_GB2312"/>
          <w:color w:val="auto"/>
          <w:sz w:val="32"/>
          <w:szCs w:val="32"/>
          <w:lang w:val="en-US" w:eastAsia="zh-CN"/>
        </w:rPr>
        <w:t>县教体</w:t>
      </w:r>
      <w:r>
        <w:rPr>
          <w:rFonts w:hint="eastAsia" w:ascii="仿宋_GB2312" w:hAnsi="仿宋" w:eastAsia="仿宋_GB2312"/>
          <w:color w:val="auto"/>
          <w:sz w:val="32"/>
          <w:szCs w:val="32"/>
        </w:rPr>
        <w:t>局党</w:t>
      </w:r>
      <w:r>
        <w:rPr>
          <w:rFonts w:hint="eastAsia" w:ascii="仿宋_GB2312" w:hAnsi="仿宋" w:eastAsia="仿宋_GB2312"/>
          <w:color w:val="auto"/>
          <w:sz w:val="32"/>
          <w:szCs w:val="32"/>
          <w:lang w:val="en-US" w:eastAsia="zh-CN"/>
        </w:rPr>
        <w:t>组</w:t>
      </w:r>
      <w:r>
        <w:rPr>
          <w:rFonts w:hint="eastAsia" w:ascii="仿宋_GB2312" w:hAnsi="仿宋" w:eastAsia="仿宋_GB2312"/>
          <w:color w:val="auto"/>
          <w:sz w:val="32"/>
          <w:szCs w:val="32"/>
        </w:rPr>
        <w:t>的正确领导下，围绕</w:t>
      </w:r>
      <w:r>
        <w:rPr>
          <w:rFonts w:hint="eastAsia" w:ascii="仿宋_GB2312" w:hAnsi="仿宋" w:eastAsia="仿宋_GB2312"/>
          <w:color w:val="auto"/>
          <w:sz w:val="32"/>
          <w:szCs w:val="32"/>
          <w:lang w:eastAsia="zh-CN"/>
        </w:rPr>
        <w:t>教育</w:t>
      </w:r>
      <w:r>
        <w:rPr>
          <w:rFonts w:hint="eastAsia" w:ascii="仿宋_GB2312" w:hAnsi="仿宋" w:eastAsia="仿宋_GB2312"/>
          <w:color w:val="auto"/>
          <w:sz w:val="32"/>
          <w:szCs w:val="32"/>
        </w:rPr>
        <w:t>系统的中心工作，认真实施国库集中支付，进一步强化了预算管理，确保了预算收入的顺利完成。严格控制非预算支出，维护了预算的严肃性。在预算执行过程中，我们认真贯彻执行国家的财政方针政策，严格执行财务制度，坚持实事求是，勤俭办事的方针。保障学校正常运转、完成教育教学活动和其他日常工作任务等方面的支出</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严肃财经纪律，保障资金安全，及时</w:t>
      </w:r>
      <w:r>
        <w:rPr>
          <w:rFonts w:hint="eastAsia" w:ascii="仿宋_GB2312" w:hAnsi="仿宋" w:eastAsia="仿宋_GB2312"/>
          <w:color w:val="auto"/>
          <w:sz w:val="32"/>
          <w:szCs w:val="32"/>
          <w:lang w:eastAsia="zh-CN"/>
        </w:rPr>
        <w:t>支付</w:t>
      </w:r>
      <w:r>
        <w:rPr>
          <w:rFonts w:hint="eastAsia" w:ascii="仿宋_GB2312" w:hAnsi="仿宋" w:eastAsia="仿宋_GB2312"/>
          <w:color w:val="auto"/>
          <w:sz w:val="32"/>
          <w:szCs w:val="32"/>
        </w:rPr>
        <w:t>营养改善资金，确保学校正常免费供应营养餐</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规范营养计划管理，确保食品安全</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加强运营监管，进一步改善义务教育学生营养状况，逐步提高学生健康水平</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努力做到了开源节流，实现了以项目优化支出结构。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裕民县第一小学</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231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106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125</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bookmarkStart w:id="6" w:name="_Toc3092"/>
      <w:bookmarkStart w:id="7" w:name="_Toc29374"/>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10</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val="en-US" w:eastAsia="zh-CN"/>
        </w:rPr>
        <w:t>书记室、校长室、工会室、少先大队、总务室、校办室、德育室、教研室、教务室及</w:t>
      </w:r>
      <w:r>
        <w:rPr>
          <w:rFonts w:hint="eastAsia" w:ascii="仿宋_GB2312" w:hAnsi="宋体" w:eastAsia="仿宋_GB2312" w:cs="宋体"/>
          <w:color w:val="auto"/>
          <w:kern w:val="0"/>
          <w:sz w:val="32"/>
          <w:szCs w:val="32"/>
          <w:highlight w:val="none"/>
          <w:lang w:val="en-US" w:eastAsia="zh-CN"/>
        </w:rPr>
        <w:t>财务室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2,549.25万元，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2,537.80万元，使用非财政拨款结余0.00万元，年初结转和结余11.45万元。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2,549.25万元，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2,539.69万元，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0.00万元，年末结转和结余9.56万元。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增加106.25万元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增长4.35%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人员</w:t>
      </w:r>
      <w:r>
        <w:rPr>
          <w:rFonts w:hint="eastAsia" w:ascii="仿宋" w:hAnsi="仿宋" w:eastAsia="仿宋" w:cs="仿宋"/>
          <w:color w:val="000000"/>
          <w:sz w:val="32"/>
          <w:szCs w:val="32"/>
          <w:lang w:val="en-US" w:eastAsia="zh-CN"/>
        </w:rPr>
        <w:t>工资及社保住房公积金增长、生均公用经费标准提高，学生托管服务费、自有资金账号利息等其他收入纳入一般公共预算收入增加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2,537.80</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2,458.36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96.87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79.44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3.13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仿宋_GB2312" w:eastAsia="仿宋_GB2312"/>
          <w:b/>
          <w:bCs/>
          <w:color w:val="auto"/>
          <w:sz w:val="32"/>
          <w:szCs w:val="32"/>
          <w:highlight w:val="none"/>
          <w:lang w:val="zh-CN" w:eastAsia="zh-CN"/>
        </w:rPr>
        <w:t>本年支出2,539.69万元，</w:t>
      </w:r>
      <w:r>
        <w:rPr>
          <w:rFonts w:hint="eastAsia" w:ascii="仿宋_GB2312" w:eastAsia="仿宋_GB2312"/>
          <w:b w:val="0"/>
          <w:bCs w:val="0"/>
          <w:color w:val="auto"/>
          <w:sz w:val="32"/>
          <w:szCs w:val="32"/>
          <w:highlight w:val="none"/>
          <w:lang w:val="zh-CN" w:eastAsia="zh-CN"/>
        </w:rPr>
        <w:t>其中：基本支出2,253.64万元，占88.74%；项目支出286.06万元，占11.26%；</w:t>
      </w:r>
      <w:r>
        <w:rPr>
          <w:rFonts w:hint="eastAsia" w:ascii="仿宋_GB2312" w:eastAsia="仿宋_GB2312"/>
          <w:color w:val="auto"/>
          <w:sz w:val="32"/>
          <w:szCs w:val="32"/>
          <w:highlight w:val="none"/>
          <w:lang w:val="zh-CN" w:eastAsia="zh-CN"/>
        </w:rPr>
        <w:t>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2,458.36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2,458.36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2,458.36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2,458.36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增加62.62万元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增长2.61%，</w:t>
      </w:r>
      <w:r>
        <w:rPr>
          <w:rFonts w:hint="eastAsia" w:ascii="仿宋" w:hAnsi="仿宋" w:eastAsia="仿宋" w:cs="仿宋"/>
          <w:color w:val="000000"/>
          <w:sz w:val="32"/>
          <w:szCs w:val="32"/>
          <w:lang w:val="en-US" w:eastAsia="zh-CN"/>
        </w:rPr>
        <w:t>主要原因是本年度工资及社保住房增长、生均公用经费标准提高经费增长</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2,300.57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2,458.36</w:t>
      </w:r>
      <w:r>
        <w:rPr>
          <w:rFonts w:hint="eastAsia" w:ascii="仿宋_GB2312" w:eastAsia="仿宋_GB2312"/>
          <w:color w:val="auto"/>
          <w:spacing w:val="0"/>
          <w:sz w:val="32"/>
          <w:szCs w:val="32"/>
          <w:highlight w:val="none"/>
          <w:lang w:eastAsia="zh-CN"/>
        </w:rPr>
        <w:t>万元，预决算差异率6.86%，</w:t>
      </w:r>
      <w:r>
        <w:rPr>
          <w:rFonts w:hint="eastAsia" w:ascii="仿宋_GB2312" w:hAnsi="仿宋" w:eastAsia="仿宋_GB2312"/>
          <w:color w:val="000000"/>
          <w:sz w:val="32"/>
          <w:szCs w:val="32"/>
          <w:lang w:val="en-US" w:eastAsia="zh-CN"/>
        </w:rPr>
        <w:t>主要原因是本年人员经费增长资金支出、生均经费提标增长</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2023年度一般公共预算财政拨款支出2,458.36万元，占本年支出合计的</w:t>
      </w:r>
      <w:r>
        <w:rPr>
          <w:rFonts w:hint="eastAsia" w:ascii="仿宋_GB2312" w:eastAsia="仿宋_GB2312"/>
          <w:color w:val="auto"/>
          <w:spacing w:val="0"/>
          <w:sz w:val="32"/>
          <w:szCs w:val="32"/>
          <w:highlight w:val="none"/>
          <w:lang w:val="zh-CN" w:eastAsia="zh-CN"/>
        </w:rPr>
        <w:t>96.80%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增加65.62万元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增长2.74%，</w:t>
      </w:r>
      <w:r>
        <w:rPr>
          <w:rFonts w:hint="eastAsia" w:ascii="仿宋" w:hAnsi="仿宋" w:eastAsia="仿宋" w:cs="仿宋"/>
          <w:color w:val="000000"/>
          <w:sz w:val="32"/>
          <w:szCs w:val="32"/>
          <w:lang w:val="en-US" w:eastAsia="zh-CN"/>
        </w:rPr>
        <w:t>主要是本年度工资及社保住房增长、生均公用经费标准提高经费增长，支出增加。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2,300.57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2,458.36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6.86%</w:t>
      </w:r>
      <w:r>
        <w:rPr>
          <w:rFonts w:hint="eastAsia" w:ascii="仿宋_GB2312" w:eastAsia="仿宋_GB2312"/>
          <w:color w:val="auto"/>
          <w:spacing w:val="0"/>
          <w:sz w:val="32"/>
          <w:szCs w:val="32"/>
          <w:highlight w:val="none"/>
          <w:lang w:eastAsia="zh-CN"/>
        </w:rPr>
        <w:t>，</w:t>
      </w:r>
      <w:r>
        <w:rPr>
          <w:rFonts w:hint="eastAsia" w:ascii="仿宋_GB2312" w:hAnsi="仿宋" w:eastAsia="仿宋_GB2312"/>
          <w:color w:val="000000"/>
          <w:sz w:val="32"/>
          <w:szCs w:val="32"/>
          <w:lang w:val="en-US" w:eastAsia="zh-CN"/>
        </w:rPr>
        <w:t>主要原因是本年人员经费增长资金支出、生均经费提标增长</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1,910.23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77.7</w:t>
      </w: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303.15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12.33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88.13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3.58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3.29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0.13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153.57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6.25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1.教育支出（类）教育费附加安排的支出（款）其他教育费附加安排的支出（项）:支出决算数为9.28万元，比上年决算减少0.41万元，下降4.23%，主要原因是：公用取暖费教育费附加预算减少</w:t>
      </w:r>
      <w:r>
        <w:rPr>
          <w:rFonts w:hint="eastAsia" w:ascii="仿宋_GB2312" w:eastAsia="仿宋_GB2312" w:cs="Times New Roman"/>
          <w:color w:val="auto"/>
          <w:spacing w:val="0"/>
          <w:kern w:val="2"/>
          <w:sz w:val="32"/>
          <w:szCs w:val="32"/>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2.卫生健康支出（类）行政事业单位医疗（款）事业单位医疗（项）:支出决算数为88.13万元，比上年决算增加0.94万元，增长1.08%，主要原因是：绩效工资、年度调资等人员工资基数上调</w:t>
      </w:r>
      <w:r>
        <w:rPr>
          <w:rFonts w:hint="eastAsia" w:ascii="仿宋_GB2312" w:eastAsia="仿宋_GB2312" w:cs="Times New Roman"/>
          <w:color w:val="auto"/>
          <w:spacing w:val="0"/>
          <w:kern w:val="2"/>
          <w:sz w:val="32"/>
          <w:szCs w:val="32"/>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3.住房保障支出（类）住房改革支出（款）住房公积金（项）:支出决算数为153.57万元，比上年决算增加6.73万元，增长4.59%，主要原因是：绩效工资、年度调资等人员工资基数上调</w:t>
      </w:r>
      <w:r>
        <w:rPr>
          <w:rFonts w:hint="eastAsia" w:ascii="仿宋_GB2312" w:eastAsia="仿宋_GB2312" w:cs="Times New Roman"/>
          <w:color w:val="auto"/>
          <w:spacing w:val="0"/>
          <w:kern w:val="2"/>
          <w:sz w:val="32"/>
          <w:szCs w:val="32"/>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4.教育支出（类）普通教育（款）小学教育（项）:支出决算数为1,900.95万元，比上年决算增加55.25万元，增长2.99%，主要原因是：绩效工资、年度调资等人员工资基数上调</w:t>
      </w:r>
      <w:r>
        <w:rPr>
          <w:rFonts w:hint="eastAsia" w:ascii="仿宋_GB2312" w:eastAsia="仿宋_GB2312" w:cs="Times New Roman"/>
          <w:color w:val="auto"/>
          <w:spacing w:val="0"/>
          <w:kern w:val="2"/>
          <w:sz w:val="32"/>
          <w:szCs w:val="32"/>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ascii="仿宋_GB2312" w:eastAsia="仿宋_GB2312"/>
          <w:sz w:val="32"/>
          <w:szCs w:val="32"/>
          <w:lang w:val="zh-CN"/>
        </w:rPr>
      </w:pPr>
      <w:r>
        <w:rPr>
          <w:rFonts w:hint="eastAsia" w:ascii="仿宋_GB2312" w:eastAsia="仿宋_GB2312" w:cs="Times New Roman"/>
          <w:color w:val="auto"/>
          <w:spacing w:val="0"/>
          <w:kern w:val="2"/>
          <w:sz w:val="32"/>
          <w:szCs w:val="32"/>
          <w:lang w:val="en-US" w:eastAsia="zh-CN" w:bidi="ar-SA"/>
        </w:rPr>
        <w:t>5.社会保障和就业支出（类）行政事业单位养老支出（款）事业单位离退休（项）:支出决算数为83.15万元，比上年决算减少22.12万元，下降21.01%，主要原因是：2023年退休人员医疗补助费不再缴纳</w:t>
      </w:r>
      <w:r>
        <w:rPr>
          <w:rFonts w:hint="eastAsia" w:ascii="仿宋_GB2312" w:eastAsia="仿宋_GB2312" w:cs="Times New Roman"/>
          <w:color w:val="auto"/>
          <w:spacing w:val="0"/>
          <w:kern w:val="2"/>
          <w:sz w:val="32"/>
          <w:szCs w:val="32"/>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6.社会保障和就业支出（类）行政事业单位养老支出（款）机关事业单位职业年金缴费支出（项）:支出决算数为22.76万元，比上年决算增加6.14万元，增长36.93%，主要原因是：绩效工资、年度调资等人员工资基数上调</w:t>
      </w:r>
      <w:r>
        <w:rPr>
          <w:rFonts w:hint="eastAsia" w:ascii="仿宋_GB2312" w:eastAsia="仿宋_GB2312" w:cs="Times New Roman"/>
          <w:color w:val="auto"/>
          <w:spacing w:val="0"/>
          <w:kern w:val="2"/>
          <w:sz w:val="32"/>
          <w:szCs w:val="32"/>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7.社会保障和就业支出（类）行政事业单位养老支出（款）机关事业单位基本养老保险缴费支出（项）:支出决算数为197.23万元，比上年决算增加20.80万元，增长11.79%，主要原因是：绩效工资、年度调资等人员工资基数上调</w:t>
      </w:r>
      <w:r>
        <w:rPr>
          <w:rFonts w:hint="eastAsia" w:ascii="仿宋_GB2312" w:eastAsia="仿宋_GB2312" w:cs="Times New Roman"/>
          <w:color w:val="auto"/>
          <w:spacing w:val="0"/>
          <w:kern w:val="2"/>
          <w:sz w:val="32"/>
          <w:szCs w:val="32"/>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en-US" w:eastAsia="zh-CN" w:bidi="ar-SA"/>
        </w:rPr>
      </w:pPr>
      <w:r>
        <w:rPr>
          <w:rFonts w:hint="eastAsia" w:ascii="仿宋_GB2312" w:eastAsia="仿宋_GB2312" w:cs="Times New Roman"/>
          <w:color w:val="auto"/>
          <w:spacing w:val="0"/>
          <w:kern w:val="2"/>
          <w:sz w:val="32"/>
          <w:szCs w:val="32"/>
          <w:lang w:val="en-US" w:eastAsia="zh-CN" w:bidi="ar-SA"/>
        </w:rPr>
        <w:t>8.农林水支出（类）农业农村（款）其他农业农村支出（项）:支出决算数为3.29万元，比上年决算增加3.29万元，增长100%，主要原因是：2022年工作队支出由小学教育主款支出。</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eastAsia="仿宋_GB2312" w:cs="Times New Roman"/>
          <w:color w:val="auto"/>
          <w:spacing w:val="0"/>
          <w:kern w:val="2"/>
          <w:sz w:val="32"/>
          <w:szCs w:val="32"/>
          <w:lang w:val="en-US" w:eastAsia="zh-CN" w:bidi="ar-SA"/>
        </w:rPr>
      </w:pPr>
      <w:r>
        <w:rPr>
          <w:rFonts w:hint="eastAsia" w:ascii="仿宋_GB2312" w:eastAsia="仿宋_GB2312" w:cs="Times New Roman"/>
          <w:color w:val="auto"/>
          <w:spacing w:val="0"/>
          <w:kern w:val="2"/>
          <w:sz w:val="32"/>
          <w:szCs w:val="32"/>
          <w:lang w:val="en-US" w:eastAsia="zh-CN" w:bidi="ar-SA"/>
        </w:rPr>
        <w:t>9.其他支出（类）其他支出（款）其他支出（项）:支出决算数为0.00万元，比上年决算减少5.00万元，下降100%，主要原因是：2023年无彩票公益金支出。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2,172.51</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2,147.64</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抚恤金、生活补助、医疗费补助、奖励金</w:t>
      </w:r>
      <w:bookmarkStart w:id="48" w:name="_GoBack"/>
      <w:bookmarkEnd w:id="48"/>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24.86</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工会经费、福利费。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增加0.00万元，增长0.00%，主要原因是：我</w:t>
      </w:r>
      <w:r>
        <w:rPr>
          <w:rFonts w:hint="eastAsia" w:ascii="仿宋_GB2312" w:eastAsia="仿宋_GB2312"/>
          <w:color w:val="auto"/>
          <w:sz w:val="32"/>
          <w:szCs w:val="32"/>
          <w:highlight w:val="none"/>
          <w:lang w:val="en-US" w:eastAsia="zh-CN"/>
        </w:rPr>
        <w:t>校无“三公”经费支出，无差异</w:t>
      </w:r>
      <w:r>
        <w:rPr>
          <w:rFonts w:hint="eastAsia" w:ascii="仿宋_GB2312" w:eastAsia="仿宋_GB2312"/>
          <w:color w:val="auto"/>
          <w:sz w:val="32"/>
          <w:szCs w:val="32"/>
          <w:highlight w:val="none"/>
          <w:lang w:val="zh-CN" w:eastAsia="zh-CN"/>
        </w:rPr>
        <w:t>。其中：因公出国（境）费支出0.00万元，占0.00%，比上年增加0.00万元，增长0.00%，主要原因是：我</w:t>
      </w:r>
      <w:r>
        <w:rPr>
          <w:rFonts w:hint="eastAsia" w:ascii="仿宋_GB2312" w:eastAsia="仿宋_GB2312"/>
          <w:color w:val="auto"/>
          <w:sz w:val="32"/>
          <w:szCs w:val="32"/>
          <w:highlight w:val="none"/>
          <w:lang w:val="en-US" w:eastAsia="zh-CN"/>
        </w:rPr>
        <w:t>校无</w:t>
      </w:r>
      <w:r>
        <w:rPr>
          <w:rFonts w:hint="eastAsia" w:ascii="仿宋_GB2312" w:eastAsia="仿宋_GB2312"/>
          <w:color w:val="auto"/>
          <w:sz w:val="32"/>
          <w:szCs w:val="32"/>
          <w:highlight w:val="none"/>
          <w:lang w:val="zh-CN" w:eastAsia="zh-CN"/>
        </w:rPr>
        <w:t>因公出国（境）费支出，</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；公务用车购置及运行维护费支出0.00万元，占0.00%，比上年增加0.00万元，增长0.00%，主要原因是：我</w:t>
      </w:r>
      <w:r>
        <w:rPr>
          <w:rFonts w:hint="eastAsia" w:ascii="仿宋_GB2312" w:eastAsia="仿宋_GB2312"/>
          <w:color w:val="auto"/>
          <w:sz w:val="32"/>
          <w:szCs w:val="32"/>
          <w:highlight w:val="none"/>
          <w:lang w:val="en-US" w:eastAsia="zh-CN"/>
        </w:rPr>
        <w:t>校无</w:t>
      </w:r>
      <w:r>
        <w:rPr>
          <w:rFonts w:hint="eastAsia" w:ascii="仿宋_GB2312" w:eastAsia="仿宋_GB2312"/>
          <w:color w:val="auto"/>
          <w:sz w:val="32"/>
          <w:szCs w:val="32"/>
          <w:highlight w:val="none"/>
          <w:lang w:val="zh-CN" w:eastAsia="zh-CN"/>
        </w:rPr>
        <w:t>公务用车购置及运行维护费支出，</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；公务接待费支出0.00万元，占0.00%，比上年增加0.00万元，增长0.00%，主要原因是：我</w:t>
      </w:r>
      <w:r>
        <w:rPr>
          <w:rFonts w:hint="eastAsia" w:ascii="仿宋_GB2312" w:eastAsia="仿宋_GB2312"/>
          <w:color w:val="auto"/>
          <w:sz w:val="32"/>
          <w:szCs w:val="32"/>
          <w:highlight w:val="none"/>
          <w:lang w:val="en-US" w:eastAsia="zh-CN"/>
        </w:rPr>
        <w:t>校无</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w:t>
      </w:r>
      <w:r>
        <w:rPr>
          <w:rFonts w:hint="eastAsia" w:ascii="仿宋_GB2312" w:hAnsi="Times New Roman" w:eastAsia="仿宋_GB2312" w:cs="Times New Roman"/>
          <w:sz w:val="32"/>
          <w:szCs w:val="32"/>
          <w:lang w:val="zh-CN" w:eastAsia="zh-CN"/>
        </w:rPr>
        <w:t>开支内容包括本年度无此项支出。</w:t>
      </w:r>
      <w:r>
        <w:rPr>
          <w:rFonts w:hint="eastAsia" w:ascii="仿宋_GB2312" w:eastAsia="仿宋_GB2312"/>
          <w:color w:val="auto"/>
          <w:sz w:val="32"/>
          <w:szCs w:val="32"/>
          <w:highlight w:val="none"/>
          <w:lang w:val="zh-CN" w:eastAsia="zh-CN"/>
        </w:rPr>
        <w:t>单位全年安排的因公出国（境）团组0个，因公出国（境）0人次。</w:t>
      </w:r>
    </w:p>
    <w:p>
      <w:pPr>
        <w:ind w:firstLine="640" w:firstLineChars="200"/>
        <w:jc w:val="both"/>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公务用车购置及运行维护费0.00万元，其中：公务用车购置费0.00万元，公务用车运行维护费0.00万元。我单位无</w:t>
      </w:r>
      <w:r>
        <w:rPr>
          <w:rFonts w:hint="eastAsia" w:ascii="仿宋_GB2312" w:hAnsi="Times New Roman" w:eastAsia="仿宋_GB2312" w:cs="Times New Roman"/>
          <w:sz w:val="32"/>
          <w:szCs w:val="32"/>
          <w:lang w:val="zh-CN" w:eastAsia="zh-CN"/>
        </w:rPr>
        <w:t>无此项</w:t>
      </w:r>
      <w:r>
        <w:rPr>
          <w:rFonts w:hint="eastAsia" w:ascii="仿宋_GB2312" w:eastAsia="仿宋_GB2312" w:cs="Times New Roman"/>
          <w:sz w:val="32"/>
          <w:szCs w:val="32"/>
          <w:lang w:val="zh-CN" w:eastAsia="zh-CN"/>
        </w:rPr>
        <w:t>开支内容</w:t>
      </w:r>
      <w:r>
        <w:rPr>
          <w:rFonts w:hint="eastAsia" w:ascii="仿宋_GB2312" w:hAnsi="Times New Roman" w:eastAsia="仿宋_GB2312" w:cs="Times New Roman"/>
          <w:sz w:val="32"/>
          <w:szCs w:val="32"/>
          <w:lang w:val="zh-CN" w:eastAsia="zh-CN"/>
        </w:rPr>
        <w:t>。</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hAnsi="Times New Roman" w:eastAsia="仿宋_GB2312" w:cs="Times New Roman"/>
          <w:sz w:val="32"/>
          <w:szCs w:val="32"/>
          <w:lang w:val="zh-CN" w:eastAsia="zh-CN"/>
        </w:rPr>
        <w:t>本年度无此项支出，</w:t>
      </w:r>
      <w:r>
        <w:rPr>
          <w:rFonts w:hint="eastAsia" w:ascii="仿宋_GB2312" w:hAnsi="Times New Roman" w:eastAsia="仿宋_GB2312" w:cs="Times New Roman"/>
          <w:sz w:val="32"/>
          <w:szCs w:val="32"/>
          <w:lang w:val="en-US" w:eastAsia="zh-CN"/>
        </w:rPr>
        <w:t>无差异</w:t>
      </w:r>
      <w:r>
        <w:rPr>
          <w:rFonts w:hint="eastAsia" w:ascii="仿宋_GB2312" w:hAnsi="Times New Roman" w:eastAsia="仿宋_GB2312" w:cs="Times New Roman"/>
          <w:sz w:val="32"/>
          <w:szCs w:val="32"/>
          <w:lang w:val="zh-CN" w:eastAsia="zh-CN"/>
        </w:rPr>
        <w:t>。</w:t>
      </w:r>
    </w:p>
    <w:p>
      <w:pPr>
        <w:ind w:firstLine="640" w:firstLineChars="200"/>
        <w:jc w:val="both"/>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hAnsi="Times New Roman" w:eastAsia="仿宋_GB2312" w:cs="Times New Roman"/>
          <w:sz w:val="32"/>
          <w:szCs w:val="32"/>
          <w:lang w:val="zh-CN" w:eastAsia="zh-CN"/>
        </w:rPr>
        <w:t>本年度无此项支出，</w:t>
      </w:r>
      <w:r>
        <w:rPr>
          <w:rFonts w:hint="eastAsia" w:ascii="仿宋_GB2312" w:hAnsi="Times New Roman" w:eastAsia="仿宋_GB2312" w:cs="Times New Roman"/>
          <w:sz w:val="32"/>
          <w:szCs w:val="32"/>
          <w:lang w:val="en-US" w:eastAsia="zh-CN"/>
        </w:rPr>
        <w:t>无差异</w:t>
      </w:r>
      <w:r>
        <w:rPr>
          <w:rFonts w:hint="eastAsia" w:ascii="仿宋_GB2312" w:hAnsi="Times New Roman" w:eastAsia="仿宋_GB2312" w:cs="Times New Roman"/>
          <w:sz w:val="32"/>
          <w:szCs w:val="32"/>
          <w:lang w:val="zh-CN" w:eastAsia="zh-CN"/>
        </w:rPr>
        <w:t>。</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Times New Roman" w:eastAsia="仿宋_GB2312" w:cs="Times New Roman"/>
          <w:sz w:val="32"/>
          <w:szCs w:val="32"/>
          <w:lang w:val="zh-CN" w:eastAsia="zh-CN"/>
        </w:rPr>
        <w:t>本年度无此项支出，</w:t>
      </w:r>
      <w:r>
        <w:rPr>
          <w:rFonts w:hint="eastAsia" w:ascii="仿宋_GB2312" w:hAnsi="Times New Roman" w:eastAsia="仿宋_GB2312" w:cs="Times New Roman"/>
          <w:sz w:val="32"/>
          <w:szCs w:val="32"/>
          <w:lang w:val="en-US" w:eastAsia="zh-CN"/>
        </w:rPr>
        <w:t>无差异</w:t>
      </w:r>
      <w:r>
        <w:rPr>
          <w:rFonts w:hint="eastAsia" w:ascii="仿宋_GB2312" w:hAnsi="Times New Roman" w:eastAsia="仿宋_GB2312" w:cs="Times New Roman"/>
          <w:sz w:val="32"/>
          <w:szCs w:val="32"/>
          <w:lang w:val="zh-CN" w:eastAsia="zh-CN"/>
        </w:rPr>
        <w:t>；</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hAnsi="Times New Roman" w:eastAsia="仿宋_GB2312" w:cs="Times New Roman"/>
          <w:sz w:val="32"/>
          <w:szCs w:val="32"/>
          <w:lang w:val="zh-CN" w:eastAsia="zh-CN"/>
        </w:rPr>
        <w:t>本年度无此项支出，</w:t>
      </w:r>
      <w:r>
        <w:rPr>
          <w:rFonts w:hint="eastAsia" w:ascii="仿宋_GB2312" w:hAnsi="Times New Roman" w:eastAsia="仿宋_GB2312" w:cs="Times New Roman"/>
          <w:sz w:val="32"/>
          <w:szCs w:val="32"/>
          <w:lang w:val="en-US" w:eastAsia="zh-CN"/>
        </w:rPr>
        <w:t>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Times New Roman" w:eastAsia="仿宋_GB2312" w:cs="Times New Roman"/>
          <w:sz w:val="32"/>
          <w:szCs w:val="32"/>
          <w:lang w:val="zh-CN" w:eastAsia="zh-CN"/>
        </w:rPr>
        <w:t>本年度无此项支出，</w:t>
      </w:r>
      <w:r>
        <w:rPr>
          <w:rFonts w:hint="eastAsia" w:ascii="仿宋_GB2312" w:hAnsi="Times New Roman" w:eastAsia="仿宋_GB2312" w:cs="Times New Roman"/>
          <w:sz w:val="32"/>
          <w:szCs w:val="32"/>
          <w:lang w:val="en-US" w:eastAsia="zh-CN"/>
        </w:rPr>
        <w:t>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Times New Roman" w:eastAsia="仿宋_GB2312" w:cs="Times New Roman"/>
          <w:sz w:val="32"/>
          <w:szCs w:val="32"/>
          <w:lang w:val="zh-CN" w:eastAsia="zh-CN"/>
        </w:rPr>
        <w:t>本年度无此项支出，</w:t>
      </w:r>
      <w:r>
        <w:rPr>
          <w:rFonts w:hint="eastAsia" w:ascii="仿宋_GB2312" w:hAnsi="Times New Roman" w:eastAsia="仿宋_GB2312" w:cs="Times New Roman"/>
          <w:sz w:val="32"/>
          <w:szCs w:val="32"/>
          <w:lang w:val="en-US" w:eastAsia="zh-CN"/>
        </w:rPr>
        <w:t>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Times New Roman" w:eastAsia="仿宋_GB2312" w:cs="Times New Roman"/>
          <w:sz w:val="32"/>
          <w:szCs w:val="32"/>
          <w:lang w:val="zh-CN" w:eastAsia="zh-CN"/>
        </w:rPr>
        <w:t>本年度无此项支出，</w:t>
      </w:r>
      <w:r>
        <w:rPr>
          <w:rFonts w:hint="eastAsia" w:ascii="仿宋_GB2312" w:hAnsi="Times New Roman" w:eastAsia="仿宋_GB2312" w:cs="Times New Roman"/>
          <w:sz w:val="32"/>
          <w:szCs w:val="32"/>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Times New Roman" w:hAnsi="Times New Roman" w:eastAsia="仿宋_GB2312" w:cs="Times New Roman"/>
          <w:color w:val="auto"/>
          <w:sz w:val="32"/>
          <w:szCs w:val="32"/>
          <w:highlight w:val="none"/>
          <w:lang w:val="zh-CN" w:eastAsia="zh-CN"/>
        </w:rPr>
        <w:t>我</w:t>
      </w:r>
      <w:r>
        <w:rPr>
          <w:rFonts w:hint="eastAsia" w:ascii="Times New Roman" w:hAnsi="Times New Roman" w:eastAsia="仿宋_GB2312" w:cs="Times New Roman"/>
          <w:color w:val="auto"/>
          <w:sz w:val="32"/>
          <w:szCs w:val="32"/>
          <w:highlight w:val="none"/>
          <w:lang w:val="en-US" w:eastAsia="zh-CN"/>
        </w:rPr>
        <w:t>单位</w:t>
      </w:r>
      <w:r>
        <w:rPr>
          <w:rFonts w:hint="eastAsia" w:ascii="Times New Roman" w:hAnsi="Times New Roman" w:eastAsia="仿宋_GB2312" w:cs="Times New Roman"/>
          <w:color w:val="auto"/>
          <w:sz w:val="32"/>
          <w:szCs w:val="32"/>
          <w:highlight w:val="none"/>
          <w:lang w:val="zh-CN" w:eastAsia="zh-CN"/>
        </w:rPr>
        <w:t>本年度无国有资本经营预算财政拨款收入、支出</w:t>
      </w:r>
      <w:r>
        <w:rPr>
          <w:rFonts w:hint="eastAsia" w:ascii="Times New Roman" w:hAnsi="Times New Roman" w:eastAsia="仿宋_GB2312" w:cs="Times New Roman"/>
          <w:color w:val="auto"/>
          <w:sz w:val="32"/>
          <w:szCs w:val="32"/>
          <w:highlight w:val="none"/>
          <w:lang w:val="en-US" w:eastAsia="zh-CN"/>
        </w:rPr>
        <w:t>及结转和结余</w:t>
      </w:r>
      <w:r>
        <w:rPr>
          <w:rFonts w:hint="eastAsia" w:ascii="Times New Roman" w:hAnsi="Times New Roman" w:eastAsia="仿宋_GB2312" w:cs="Times New Roman"/>
          <w:color w:val="auto"/>
          <w:sz w:val="32"/>
          <w:szCs w:val="32"/>
          <w:highlight w:val="none"/>
          <w:lang w:val="zh-CN" w:eastAsia="zh-CN"/>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lang w:val="zh-CN" w:eastAsia="zh-CN"/>
        </w:rPr>
      </w:pPr>
      <w:bookmarkStart w:id="24" w:name="_Toc227"/>
      <w:bookmarkStart w:id="25" w:name="_Toc26704"/>
      <w:r>
        <w:rPr>
          <w:rFonts w:hint="eastAsia" w:ascii="仿宋_GB2312" w:hAnsi="Times New Roman" w:eastAsia="仿宋_GB2312" w:cs="Times New Roman"/>
          <w:sz w:val="32"/>
          <w:szCs w:val="32"/>
          <w:lang w:val="zh-CN" w:eastAsia="zh-CN"/>
        </w:rPr>
        <w:t>2023年度</w:t>
      </w:r>
      <w:r>
        <w:rPr>
          <w:rFonts w:hint="eastAsia" w:ascii="仿宋_GB2312" w:hAnsi="Times New Roman" w:eastAsia="仿宋_GB2312" w:cs="Times New Roman"/>
          <w:sz w:val="32"/>
          <w:szCs w:val="32"/>
          <w:lang w:val="en-US" w:eastAsia="zh-CN"/>
        </w:rPr>
        <w:t>裕民县第一小学</w:t>
      </w:r>
      <w:r>
        <w:rPr>
          <w:rFonts w:hint="eastAsia" w:ascii="仿宋_GB2312" w:hAnsi="Times New Roman" w:eastAsia="仿宋_GB2312" w:cs="Times New Roman"/>
          <w:sz w:val="32"/>
          <w:szCs w:val="32"/>
          <w:lang w:val="zh-CN" w:eastAsia="zh-CN"/>
        </w:rPr>
        <w:t>（事业单位）公用经费支出24.86万元，比上年增加0.19万元，增长0.78%，主要原因是：</w:t>
      </w:r>
      <w:r>
        <w:rPr>
          <w:rFonts w:hint="eastAsia" w:ascii="仿宋_GB2312" w:hAnsi="Times New Roman" w:eastAsia="仿宋_GB2312" w:cs="Times New Roman"/>
          <w:sz w:val="32"/>
          <w:szCs w:val="32"/>
          <w:lang w:val="en-US" w:eastAsia="zh-CN"/>
        </w:rPr>
        <w:t>工会经费和福利费预算增长，支出增加</w:t>
      </w:r>
      <w:r>
        <w:rPr>
          <w:rFonts w:hint="eastAsia" w:ascii="仿宋_GB2312" w:hAnsi="Times New Roman" w:eastAsia="仿宋_GB2312" w:cs="Times New Roman"/>
          <w:sz w:val="32"/>
          <w:szCs w:val="32"/>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zh-CN" w:eastAsia="zh-CN"/>
        </w:rPr>
        <w:t>2023年度政府采购支出总额141.75万元，其中：政府采购货物支出128.39万元、政府采购工程支出13.36万元、政府采购服务支出0.00万元。</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zh-CN" w:eastAsia="zh-CN"/>
        </w:rPr>
        <w:t>授予中小企业合同金额141.75万元，占政府采购支出总额的100.00</w:t>
      </w:r>
      <w:r>
        <w:rPr>
          <w:rFonts w:hint="default" w:ascii="仿宋_GB2312" w:hAnsi="Times New Roman" w:eastAsia="仿宋_GB2312" w:cs="Times New Roman"/>
          <w:sz w:val="32"/>
          <w:szCs w:val="32"/>
          <w:lang w:val="zh-CN" w:eastAsia="zh-CN"/>
        </w:rPr>
        <w:t>%</w:t>
      </w:r>
      <w:r>
        <w:rPr>
          <w:rFonts w:hint="eastAsia" w:ascii="仿宋_GB2312" w:hAnsi="Times New Roman" w:eastAsia="仿宋_GB2312" w:cs="Times New Roman"/>
          <w:sz w:val="32"/>
          <w:szCs w:val="32"/>
          <w:lang w:val="zh-CN" w:eastAsia="zh-CN"/>
        </w:rPr>
        <w:t>，其中：授予小微企业合同金额141.75万元，占政府采购支出总额的100.00</w:t>
      </w:r>
      <w:r>
        <w:rPr>
          <w:rFonts w:hint="default" w:ascii="仿宋_GB2312" w:hAnsi="Times New Roman" w:eastAsia="仿宋_GB2312" w:cs="Times New Roman"/>
          <w:sz w:val="32"/>
          <w:szCs w:val="32"/>
          <w:lang w:val="zh-CN" w:eastAsia="zh-CN"/>
        </w:rPr>
        <w:t>%</w:t>
      </w:r>
      <w:r>
        <w:rPr>
          <w:rFonts w:hint="eastAsia" w:ascii="仿宋_GB2312"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截至2023</w:t>
      </w:r>
      <w:r>
        <w:rPr>
          <w:rFonts w:hint="eastAsia" w:ascii="仿宋_GB2312" w:hAnsi="Times New Roman" w:eastAsia="仿宋_GB2312" w:cs="Times New Roman"/>
          <w:sz w:val="32"/>
          <w:szCs w:val="32"/>
          <w:lang w:val="zh-CN" w:eastAsia="zh-CN"/>
        </w:rPr>
        <w:t>年</w:t>
      </w:r>
      <w:r>
        <w:rPr>
          <w:rFonts w:hint="eastAsia" w:ascii="仿宋_GB2312" w:hAnsi="Times New Roman" w:eastAsia="仿宋_GB2312" w:cs="Times New Roman"/>
          <w:sz w:val="32"/>
          <w:szCs w:val="32"/>
          <w:lang w:val="en-US" w:eastAsia="zh-CN"/>
        </w:rPr>
        <w:t>12月31日</w:t>
      </w:r>
      <w:r>
        <w:rPr>
          <w:rFonts w:hint="eastAsia" w:ascii="仿宋_GB2312" w:hAnsi="Times New Roman" w:eastAsia="仿宋_GB2312" w:cs="Times New Roman"/>
          <w:sz w:val="32"/>
          <w:szCs w:val="32"/>
          <w:lang w:val="zh-CN" w:eastAsia="zh-CN"/>
        </w:rPr>
        <w:t>，</w:t>
      </w:r>
      <w:r>
        <w:rPr>
          <w:rFonts w:hint="eastAsia" w:ascii="仿宋_GB2312" w:hAnsi="Times New Roman" w:eastAsia="仿宋_GB2312" w:cs="Times New Roman"/>
          <w:sz w:val="32"/>
          <w:szCs w:val="32"/>
          <w:lang w:val="en-US" w:eastAsia="zh-CN"/>
        </w:rPr>
        <w:t>固定资产原值</w:t>
      </w:r>
      <w:r>
        <w:rPr>
          <w:rFonts w:hint="eastAsia" w:ascii="仿宋_GB2312" w:hAnsi="Times New Roman" w:eastAsia="仿宋_GB2312" w:cs="Times New Roman"/>
          <w:sz w:val="32"/>
          <w:szCs w:val="32"/>
          <w:lang w:val="zh-CN" w:eastAsia="zh-CN"/>
        </w:rPr>
        <w:t>2,296.45</w:t>
      </w:r>
      <w:r>
        <w:rPr>
          <w:rFonts w:hint="eastAsia" w:ascii="仿宋_GB2312" w:hAnsi="Times New Roman" w:eastAsia="仿宋_GB2312" w:cs="Times New Roman"/>
          <w:sz w:val="32"/>
          <w:szCs w:val="32"/>
          <w:lang w:val="en-US" w:eastAsia="zh-CN"/>
        </w:rPr>
        <w:t>万元，房</w:t>
      </w:r>
      <w:r>
        <w:rPr>
          <w:rFonts w:hint="eastAsia" w:ascii="仿宋_GB2312" w:hAnsi="Times New Roman" w:eastAsia="仿宋_GB2312" w:cs="Times New Roman"/>
          <w:sz w:val="32"/>
          <w:szCs w:val="32"/>
          <w:lang w:val="zh-CN" w:eastAsia="zh-CN"/>
        </w:rPr>
        <w:t>屋11492.52平方米，价值1,339.52万元。车辆0辆，价值0.00万元，其中：副部（省）级及以上领导用车0辆、主要</w:t>
      </w:r>
      <w:r>
        <w:rPr>
          <w:rFonts w:hint="eastAsia" w:ascii="仿宋_GB2312" w:hAnsi="Times New Roman" w:eastAsia="仿宋_GB2312" w:cs="Times New Roman"/>
          <w:sz w:val="32"/>
          <w:szCs w:val="32"/>
          <w:lang w:val="en-US" w:eastAsia="zh-CN"/>
        </w:rPr>
        <w:t>负责人</w:t>
      </w:r>
      <w:r>
        <w:rPr>
          <w:rFonts w:hint="eastAsia" w:ascii="仿宋_GB2312" w:hAnsi="Times New Roman" w:eastAsia="仿宋_GB2312" w:cs="Times New Roman"/>
          <w:sz w:val="32"/>
          <w:szCs w:val="32"/>
          <w:lang w:val="zh-CN" w:eastAsia="zh-CN"/>
        </w:rPr>
        <w:t>用车0辆、机要通信用车0辆、应急保障用车0辆、执法执勤用车0辆、特种专业技术用车0辆、离退休干部</w:t>
      </w:r>
      <w:r>
        <w:rPr>
          <w:rFonts w:hint="eastAsia" w:ascii="仿宋_GB2312" w:hAnsi="Times New Roman" w:eastAsia="仿宋_GB2312" w:cs="Times New Roman"/>
          <w:sz w:val="32"/>
          <w:szCs w:val="32"/>
          <w:lang w:val="en-US" w:eastAsia="zh-CN"/>
        </w:rPr>
        <w:t>服务</w:t>
      </w:r>
      <w:r>
        <w:rPr>
          <w:rFonts w:hint="eastAsia" w:ascii="仿宋_GB2312" w:hAnsi="Times New Roman" w:eastAsia="仿宋_GB2312" w:cs="Times New Roman"/>
          <w:sz w:val="32"/>
          <w:szCs w:val="32"/>
          <w:lang w:val="zh-CN" w:eastAsia="zh-CN"/>
        </w:rPr>
        <w:t>用车0辆、其他用车0辆，其他用车主要是：本年度无此项支出，</w:t>
      </w:r>
      <w:r>
        <w:rPr>
          <w:rFonts w:hint="eastAsia" w:ascii="仿宋_GB2312" w:hAnsi="Times New Roman" w:eastAsia="仿宋_GB2312" w:cs="Times New Roman"/>
          <w:sz w:val="32"/>
          <w:szCs w:val="32"/>
          <w:lang w:val="en-US" w:eastAsia="zh-CN"/>
        </w:rPr>
        <w:t>无差异</w:t>
      </w:r>
      <w:r>
        <w:rPr>
          <w:rFonts w:hint="eastAsia" w:ascii="仿宋_GB2312" w:hAnsi="Times New Roman" w:eastAsia="仿宋_GB2312" w:cs="Times New Roman"/>
          <w:sz w:val="32"/>
          <w:szCs w:val="32"/>
          <w:lang w:val="zh-CN" w:eastAsia="zh-CN"/>
        </w:rPr>
        <w:t>；单价100万元（含）以上设备（不含车辆）0</w:t>
      </w:r>
      <w:r>
        <w:rPr>
          <w:rFonts w:hint="eastAsia" w:ascii="仿宋_GB2312" w:hAnsi="Times New Roman" w:eastAsia="仿宋_GB2312" w:cs="Times New Roman"/>
          <w:sz w:val="32"/>
          <w:szCs w:val="32"/>
          <w:lang w:val="en-US" w:eastAsia="zh-CN"/>
        </w:rPr>
        <w:t>台（</w:t>
      </w:r>
      <w:r>
        <w:rPr>
          <w:rFonts w:hint="eastAsia" w:ascii="仿宋_GB2312" w:hAnsi="Times New Roman" w:eastAsia="仿宋_GB2312" w:cs="Times New Roman"/>
          <w:sz w:val="32"/>
          <w:szCs w:val="32"/>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lang w:val="zh-CN" w:eastAsia="zh-CN"/>
        </w:rPr>
      </w:pPr>
      <w:r>
        <w:rPr>
          <w:rFonts w:hint="eastAsia" w:ascii="仿宋_GB2312" w:hAnsi="Times New Roman" w:eastAsia="仿宋_GB2312" w:cs="Times New Roman"/>
          <w:sz w:val="32"/>
          <w:szCs w:val="32"/>
          <w:lang w:val="en-US" w:eastAsia="zh-CN"/>
        </w:rPr>
        <w:t>根据预算绩效管理要求，我单位2023年度预算绩效管理整体支出绩效自评表1个，全年预算总额2591.18万元，实际执行总额2539.69万元；预算绩效评价项目8个，全年预算数286.14万元，全年执行数286.08万元。</w:t>
      </w:r>
      <w:r>
        <w:rPr>
          <w:rFonts w:hint="eastAsia" w:ascii="仿宋_GB2312" w:hAnsi="Times New Roman" w:eastAsia="仿宋_GB2312" w:cs="Times New Roman"/>
          <w:sz w:val="32"/>
          <w:szCs w:val="32"/>
          <w:lang w:val="zh-CN" w:eastAsia="zh-CN"/>
        </w:rPr>
        <w:t>预算绩效管理取得的成效：</w:t>
      </w:r>
      <w:r>
        <w:rPr>
          <w:rFonts w:hint="eastAsia" w:ascii="仿宋_GB2312" w:hAnsi="Times New Roman" w:eastAsia="仿宋_GB2312" w:cs="Times New Roman"/>
          <w:sz w:val="32"/>
          <w:szCs w:val="32"/>
          <w:lang w:val="en-US" w:eastAsia="zh-CN"/>
        </w:rPr>
        <w:t>一是绩效管理使单位工作效率明显提高，提高工作人员积极性和创造性。二是有利于资金合理使用，确保按时落实各项工作的正常运行，最大限度保证阶段正常运转，完成义务教育的各项工作，做到专款专用</w:t>
      </w:r>
      <w:r>
        <w:rPr>
          <w:rFonts w:hint="eastAsia" w:ascii="仿宋_GB2312" w:hAnsi="Times New Roman" w:eastAsia="仿宋_GB2312" w:cs="Times New Roman"/>
          <w:sz w:val="32"/>
          <w:szCs w:val="32"/>
          <w:lang w:val="zh-CN" w:eastAsia="zh-CN"/>
        </w:rPr>
        <w:t>。发现的问题及原因：</w:t>
      </w:r>
      <w:r>
        <w:rPr>
          <w:rFonts w:hint="eastAsia" w:ascii="仿宋_GB2312" w:hAnsi="Times New Roman" w:eastAsia="仿宋_GB2312" w:cs="Times New Roman"/>
          <w:sz w:val="32"/>
          <w:szCs w:val="32"/>
          <w:lang w:val="en-US" w:eastAsia="zh-CN"/>
        </w:rPr>
        <w:t>一是个别项目绩效资料不完善，工作措施不到位。二是财务人员对具体项目不清楚不了解</w:t>
      </w:r>
      <w:r>
        <w:rPr>
          <w:rFonts w:hint="eastAsia" w:ascii="仿宋_GB2312" w:hAnsi="Times New Roman" w:eastAsia="仿宋_GB2312" w:cs="Times New Roman"/>
          <w:sz w:val="32"/>
          <w:szCs w:val="32"/>
          <w:lang w:val="zh-CN" w:eastAsia="zh-CN"/>
        </w:rPr>
        <w:t>。下一步改进措施：</w:t>
      </w:r>
      <w:r>
        <w:rPr>
          <w:rFonts w:hint="eastAsia" w:ascii="仿宋_GB2312" w:hAnsi="Times New Roman" w:eastAsia="仿宋_GB2312" w:cs="Times New Roman"/>
          <w:sz w:val="32"/>
          <w:szCs w:val="32"/>
          <w:lang w:val="en-US" w:eastAsia="zh-CN"/>
        </w:rPr>
        <w:t>一是切实加强领导，根据政府的相关要求，及时出台实施方案，完善管理制度，加强责任部门责任，积极化解工作中存在的问题。二是做好督促检查工作，坚持每季度开展一次督查和报告制度，及时了解和掌握工作进展情况，对出现的重大问题，及时报告，并提出意见和建议，确保工作顺利开展</w:t>
      </w:r>
      <w:r>
        <w:rPr>
          <w:rFonts w:hint="eastAsia" w:ascii="仿宋_GB2312" w:hAnsi="Times New Roman" w:eastAsia="仿宋_GB2312" w:cs="Times New Roman"/>
          <w:sz w:val="32"/>
          <w:szCs w:val="32"/>
          <w:lang w:val="zh-CN" w:eastAsia="zh-CN"/>
        </w:rPr>
        <w:t>。具体项目自评情况附项目支出绩效自评表。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zk2YTAyMjlhNjY3MDZiNDM1MTBlZjI1MjUzZDAifQ=="/>
    <w:docVar w:name="KSO_WPS_MARK_KEY" w:val="41ee2a61-2d54-4f93-83be-afdb9a40d732"/>
  </w:docVars>
  <w:rsids>
    <w:rsidRoot w:val="00000000"/>
    <w:rsid w:val="00213C59"/>
    <w:rsid w:val="003210CE"/>
    <w:rsid w:val="00586FEC"/>
    <w:rsid w:val="00B70D59"/>
    <w:rsid w:val="00F52A8D"/>
    <w:rsid w:val="019404F8"/>
    <w:rsid w:val="02BD3108"/>
    <w:rsid w:val="02F73D26"/>
    <w:rsid w:val="034D4FEF"/>
    <w:rsid w:val="035D1785"/>
    <w:rsid w:val="038349A8"/>
    <w:rsid w:val="039F47CE"/>
    <w:rsid w:val="03E05CE8"/>
    <w:rsid w:val="03F973EE"/>
    <w:rsid w:val="043E5B56"/>
    <w:rsid w:val="04C04386"/>
    <w:rsid w:val="04FA68C4"/>
    <w:rsid w:val="053F5AE6"/>
    <w:rsid w:val="057C0B0F"/>
    <w:rsid w:val="05CB39AC"/>
    <w:rsid w:val="05EF4B48"/>
    <w:rsid w:val="05F76ECA"/>
    <w:rsid w:val="06792773"/>
    <w:rsid w:val="07093795"/>
    <w:rsid w:val="070B4DB8"/>
    <w:rsid w:val="07804730"/>
    <w:rsid w:val="079052BE"/>
    <w:rsid w:val="08145C21"/>
    <w:rsid w:val="08422688"/>
    <w:rsid w:val="085854ED"/>
    <w:rsid w:val="08735944"/>
    <w:rsid w:val="0879188F"/>
    <w:rsid w:val="08A0354D"/>
    <w:rsid w:val="08CD4C49"/>
    <w:rsid w:val="08F24482"/>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3E11BC"/>
    <w:rsid w:val="0C5E519C"/>
    <w:rsid w:val="0C7227A7"/>
    <w:rsid w:val="0CA52EE8"/>
    <w:rsid w:val="0CBD6988"/>
    <w:rsid w:val="0CD208AC"/>
    <w:rsid w:val="0D4903E8"/>
    <w:rsid w:val="0D7A4A46"/>
    <w:rsid w:val="0E640559"/>
    <w:rsid w:val="0F1113DA"/>
    <w:rsid w:val="0F78534A"/>
    <w:rsid w:val="0F89358A"/>
    <w:rsid w:val="0F8C6D51"/>
    <w:rsid w:val="10300C33"/>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63FD9"/>
    <w:rsid w:val="1DAF458D"/>
    <w:rsid w:val="1E086ACE"/>
    <w:rsid w:val="1E62130A"/>
    <w:rsid w:val="1E97358B"/>
    <w:rsid w:val="1EAA4A5F"/>
    <w:rsid w:val="1EE869A7"/>
    <w:rsid w:val="1F79022B"/>
    <w:rsid w:val="1FA15E62"/>
    <w:rsid w:val="1FED69B6"/>
    <w:rsid w:val="2064678E"/>
    <w:rsid w:val="20DC1AB9"/>
    <w:rsid w:val="20DD6197"/>
    <w:rsid w:val="212631E0"/>
    <w:rsid w:val="21A53757"/>
    <w:rsid w:val="221236C6"/>
    <w:rsid w:val="22A07C8F"/>
    <w:rsid w:val="22D7662C"/>
    <w:rsid w:val="22F5697D"/>
    <w:rsid w:val="23326B7F"/>
    <w:rsid w:val="2338180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E157E"/>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D695D"/>
    <w:rsid w:val="329F6389"/>
    <w:rsid w:val="3389023A"/>
    <w:rsid w:val="33CB74FA"/>
    <w:rsid w:val="341D0C83"/>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1670E2"/>
    <w:rsid w:val="3A893816"/>
    <w:rsid w:val="3A893B6D"/>
    <w:rsid w:val="3AD1763A"/>
    <w:rsid w:val="3AE37BEE"/>
    <w:rsid w:val="3B6716E3"/>
    <w:rsid w:val="3B6C6B2D"/>
    <w:rsid w:val="3C1F1650"/>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D32834"/>
    <w:rsid w:val="41431AD5"/>
    <w:rsid w:val="414B3C0F"/>
    <w:rsid w:val="417C1CE7"/>
    <w:rsid w:val="41900018"/>
    <w:rsid w:val="41944406"/>
    <w:rsid w:val="41CE128F"/>
    <w:rsid w:val="41DA6F12"/>
    <w:rsid w:val="42171FB1"/>
    <w:rsid w:val="434E6957"/>
    <w:rsid w:val="43BA0E31"/>
    <w:rsid w:val="43C15147"/>
    <w:rsid w:val="43E14DD2"/>
    <w:rsid w:val="43F800E9"/>
    <w:rsid w:val="443A7E4B"/>
    <w:rsid w:val="447A30A5"/>
    <w:rsid w:val="452F5B3A"/>
    <w:rsid w:val="454E7FD2"/>
    <w:rsid w:val="45D857C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7407DF"/>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395512"/>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685995"/>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A00AA6"/>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2A1689"/>
    <w:rsid w:val="683F0658"/>
    <w:rsid w:val="689C6793"/>
    <w:rsid w:val="68DB0208"/>
    <w:rsid w:val="68FB170C"/>
    <w:rsid w:val="691B3D98"/>
    <w:rsid w:val="693748F0"/>
    <w:rsid w:val="69846A0E"/>
    <w:rsid w:val="69AD798C"/>
    <w:rsid w:val="69D005C0"/>
    <w:rsid w:val="69D80B96"/>
    <w:rsid w:val="6AB26186"/>
    <w:rsid w:val="6B343CFC"/>
    <w:rsid w:val="6B68175F"/>
    <w:rsid w:val="6BC91229"/>
    <w:rsid w:val="6BFD799F"/>
    <w:rsid w:val="6C2C0273"/>
    <w:rsid w:val="6C4A2E5A"/>
    <w:rsid w:val="6C8138D0"/>
    <w:rsid w:val="6C843392"/>
    <w:rsid w:val="6CEF0725"/>
    <w:rsid w:val="6D4B2604"/>
    <w:rsid w:val="6D8030E4"/>
    <w:rsid w:val="6D831E76"/>
    <w:rsid w:val="6E0E35C4"/>
    <w:rsid w:val="6E0F7A08"/>
    <w:rsid w:val="6E3947F5"/>
    <w:rsid w:val="6E9C74ED"/>
    <w:rsid w:val="6EF72976"/>
    <w:rsid w:val="6F795A80"/>
    <w:rsid w:val="6F7C1D2E"/>
    <w:rsid w:val="6F8E0407"/>
    <w:rsid w:val="6FDD069F"/>
    <w:rsid w:val="702B4D16"/>
    <w:rsid w:val="70AA6621"/>
    <w:rsid w:val="71110C7A"/>
    <w:rsid w:val="7111480F"/>
    <w:rsid w:val="71261F49"/>
    <w:rsid w:val="712E6956"/>
    <w:rsid w:val="71344362"/>
    <w:rsid w:val="71473612"/>
    <w:rsid w:val="71504F32"/>
    <w:rsid w:val="7152309F"/>
    <w:rsid w:val="716F707C"/>
    <w:rsid w:val="718F7F65"/>
    <w:rsid w:val="727B234E"/>
    <w:rsid w:val="72D068C7"/>
    <w:rsid w:val="72E42ED8"/>
    <w:rsid w:val="735F4CB9"/>
    <w:rsid w:val="73674C62"/>
    <w:rsid w:val="73845865"/>
    <w:rsid w:val="739B6D9E"/>
    <w:rsid w:val="73BC1D76"/>
    <w:rsid w:val="73FB6630"/>
    <w:rsid w:val="743F4787"/>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footnote text"/>
    <w:basedOn w:val="1"/>
    <w:qFormat/>
    <w:uiPriority w:val="0"/>
    <w:pPr>
      <w:snapToGrid w:val="0"/>
      <w:jc w:val="left"/>
    </w:pPr>
    <w:rPr>
      <w:sz w:val="18"/>
    </w:rPr>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5474</Words>
  <Characters>6176</Characters>
  <Lines>0</Lines>
  <Paragraphs>0</Paragraphs>
  <TotalTime>0</TotalTime>
  <ScaleCrop>false</ScaleCrop>
  <LinksUpToDate>false</LinksUpToDate>
  <CharactersWithSpaces>6187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2025-09-03T05:28:33Z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476EF9DB29F24DCFB5AF1061B6361E9A_13</vt:lpwstr>
  </property>
</Properties>
</file>