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裕民县青少年校外活动中心2024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裕民县青少年校外活动中心属于全额事业拨款单位，隶属裕民县教科局统一负责管理，在教科局的领导下，教书育人，全面贯彻落实科学发展观，促进教育事业的蓬勃发展。实施校外培训教育，促进教育发展。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裕民县青少年校外活动中心2024年度，实有人数7人，其中：在职人员6人，增加2人；离休人员0人，增加0人；退休人员1人,增加0人。</w:t>
      </w:r>
    </w:p>
    <w:p>
      <w:pPr>
        <w:spacing w:line="580" w:lineRule="exact"/>
        <w:ind w:firstLine="640"/>
        <w:jc w:val="both"/>
      </w:pPr>
      <w:r>
        <w:rPr>
          <w:rFonts w:ascii="仿宋_GB2312" w:hAnsi="仿宋_GB2312" w:eastAsia="仿宋_GB2312"/>
          <w:sz w:val="32"/>
        </w:rPr>
        <w:t>裕民县青少年校外活动中心无下属预算单位，下设4个科室，分别是：办公室、财务室、舞蹈室、乐器室。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2024年度收入总计223.85万元，</w:t>
      </w:r>
      <w:r>
        <w:rPr>
          <w:rFonts w:ascii="仿宋_GB2312" w:hAnsi="仿宋_GB2312" w:eastAsia="仿宋_GB2312"/>
          <w:b w:val="0"/>
          <w:sz w:val="32"/>
        </w:rPr>
        <w:t>其中：本年收入合计223.85万元，使用非财政拨款结余（含专用结余）0.00万元，年初结转和结余0.00万元。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2024年度支出总计223.85万元，</w:t>
      </w:r>
      <w:r>
        <w:rPr>
          <w:rFonts w:ascii="仿宋_GB2312" w:hAnsi="仿宋_GB2312" w:eastAsia="仿宋_GB2312"/>
          <w:b w:val="0"/>
          <w:sz w:val="32"/>
        </w:rPr>
        <w:t>其中：本年支出合计223.85万元，结余分配0.00万元，年末结转和结余0.00万元。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增加20.11万元，增长9.87%，主要原因是：2024年8月新考入2人，在职人员工资调增、社保、公积金基数调增，人员经费增加。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本年收入223.85万元，</w:t>
      </w:r>
      <w:r>
        <w:rPr>
          <w:rFonts w:ascii="仿宋_GB2312" w:hAnsi="仿宋_GB2312" w:eastAsia="仿宋_GB2312"/>
          <w:b w:val="0"/>
          <w:sz w:val="32"/>
        </w:rPr>
        <w:t>其中：财政拨款收入71.00万元，占31.72%；上级补助收入0.00万元，占0.00%；事业收入0.00万元，占0.00%；经营收入0.00万元，占0.00%；附属单位上缴收入0.00万元，占0.00%；其他收入152.85万元，占68.28%。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本年支出223.85万元，</w:t>
      </w:r>
      <w:r>
        <w:rPr>
          <w:rFonts w:ascii="仿宋_GB2312" w:hAnsi="仿宋_GB2312" w:eastAsia="仿宋_GB2312"/>
          <w:b w:val="0"/>
          <w:sz w:val="32"/>
        </w:rPr>
        <w:t>其中：基本支出223.85万元，占100.00%；项目支出0.00万元，占0.00%；上缴上级支出0.00万元，占0.00%；经营支出0.00万元，占0.00%；对附属单位补助支出0.00万元，占0.00%。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2024年度财政拨款收入总计71.00万元，</w:t>
      </w:r>
      <w:r>
        <w:rPr>
          <w:rFonts w:ascii="仿宋_GB2312" w:hAnsi="仿宋_GB2312" w:eastAsia="仿宋_GB2312"/>
          <w:b w:val="0"/>
          <w:sz w:val="32"/>
        </w:rPr>
        <w:t>其中：年初财政拨款结转和结余0.00万元，本年财政拨款收入71.00万元。</w:t>
      </w:r>
      <w:r>
        <w:rPr>
          <w:rFonts w:ascii="仿宋_GB2312" w:hAnsi="仿宋_GB2312" w:eastAsia="仿宋_GB2312"/>
          <w:b/>
          <w:sz w:val="32"/>
        </w:rPr>
        <w:t>财政拨款支出总计71.00万元，</w:t>
      </w:r>
      <w:r>
        <w:rPr>
          <w:rFonts w:ascii="仿宋_GB2312" w:hAnsi="仿宋_GB2312" w:eastAsia="仿宋_GB2312"/>
          <w:b w:val="0"/>
          <w:sz w:val="32"/>
        </w:rPr>
        <w:t>其中：年末财政拨款结转和结余0.00万元，本年财政拨款支出71.00万元。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增加20.28万元，增长39.98%，主要原因是：2024年8月新考入2人，在职人员工资调增、社保、公积金基数调增，人员经费增加。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年初预算数68.52万元，决算数71.00万元，预决算差异率3.62%，主要原因是：本年2024年8月新考入2人，年中追加人员经费及人员工资、社保、公积金基数调增部分资金，导致预决算存在差异。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2024年度一般公共预算财政拨款支出71.00万元，</w:t>
      </w:r>
      <w:r>
        <w:rPr>
          <w:rFonts w:ascii="仿宋_GB2312" w:hAnsi="仿宋_GB2312" w:eastAsia="仿宋_GB2312"/>
          <w:b w:val="0"/>
          <w:sz w:val="32"/>
        </w:rPr>
        <w:t>占本年支出合计的31.72%。</w:t>
      </w:r>
      <w:r>
        <w:rPr>
          <w:rFonts w:ascii="仿宋_GB2312" w:hAnsi="仿宋_GB2312" w:eastAsia="仿宋_GB2312"/>
          <w:b/>
          <w:sz w:val="32"/>
        </w:rPr>
        <w:t>与上年相比，</w:t>
      </w:r>
      <w:r>
        <w:rPr>
          <w:rFonts w:ascii="仿宋_GB2312" w:hAnsi="仿宋_GB2312" w:eastAsia="仿宋_GB2312"/>
          <w:b w:val="0"/>
          <w:sz w:val="32"/>
        </w:rPr>
        <w:t>增加20.28万元，增长39.98%，主要原因是：2024年8月新考入2人，在职人员工资调增、社保、公积金基数调增，人员经费增加。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年初预算数68.52万元，决算数71.00万元，预决算差异率3.62%，主要原因是：本年2024年8月新考入2人，年中追加人员经费及人员工资、社保、公积金基数调增部分资金，导致预决算存在差异。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1.教育支出(类)52.25万元,占73.59%。</w:t>
      </w:r>
    </w:p>
    <w:p>
      <w:pPr>
        <w:spacing w:line="580" w:lineRule="exact"/>
        <w:ind w:firstLine="640"/>
        <w:jc w:val="both"/>
      </w:pPr>
      <w:r>
        <w:rPr>
          <w:rFonts w:ascii="仿宋_GB2312" w:hAnsi="仿宋_GB2312" w:eastAsia="仿宋_GB2312"/>
          <w:b w:val="0"/>
          <w:sz w:val="32"/>
        </w:rPr>
        <w:t>2.社会保障和就业支出(类)9.00万元,占12.68%。</w:t>
      </w:r>
    </w:p>
    <w:p>
      <w:pPr>
        <w:spacing w:line="580" w:lineRule="exact"/>
        <w:ind w:firstLine="640"/>
        <w:jc w:val="both"/>
      </w:pPr>
      <w:r>
        <w:rPr>
          <w:rFonts w:ascii="仿宋_GB2312" w:hAnsi="仿宋_GB2312" w:eastAsia="仿宋_GB2312"/>
          <w:b w:val="0"/>
          <w:sz w:val="32"/>
        </w:rPr>
        <w:t>3.卫生健康支出(类)3.47万元,占4.89%。</w:t>
      </w:r>
    </w:p>
    <w:p>
      <w:pPr>
        <w:spacing w:line="580" w:lineRule="exact"/>
        <w:ind w:firstLine="640"/>
        <w:jc w:val="both"/>
      </w:pPr>
      <w:r>
        <w:rPr>
          <w:rFonts w:ascii="仿宋_GB2312" w:hAnsi="仿宋_GB2312" w:eastAsia="仿宋_GB2312"/>
          <w:b w:val="0"/>
          <w:sz w:val="32"/>
        </w:rPr>
        <w:t>4.住房保障支出(类)6.27万元,占8.83%。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1.教育支出(类)普通教育(款)其他普通教育支出(项):支出决算数为52.25万元，比上年决算增加13.75万元，增长35.71%,主要原因是：2024年8月新考入2人，在职人员工资调增，人员经费增加。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2.社会保障和就业支出(类)行政事业单位养老支出(款)事业单位离退休(项):支出决算数为0.81万元，比上年决算增加0.19万元，增长30.65%,主要原因是：本年增加退休人员基础绩效奖，退休费支出增加。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8.19万元，比上年决算增加2.99万元，增长57.50%,主要原因是：2024年8月新考入2人，养老保险缴费较上年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4.卫生健康支出(类)行政事业单位医疗(款)事业单位医疗(项):支出决算数为3.47万元，比上年决算增加1.15万元，增长49.57%,主要原因是：2024年8月新考入2人，事业单位医疗支出较上年增加。</w:t>
      </w:r>
    </w:p>
    <w:p>
      <w:pPr>
        <w:spacing w:line="580" w:lineRule="exact"/>
        <w:ind w:firstLine="640"/>
        <w:jc w:val="both"/>
      </w:pPr>
      <w:r>
        <w:rPr>
          <w:rFonts w:ascii="仿宋_GB2312" w:hAnsi="仿宋_GB2312" w:eastAsia="仿宋_GB2312"/>
          <w:b w:val="0"/>
          <w:sz w:val="32"/>
        </w:rPr>
        <w:t>5.住房保障支出(类)住房改革支出(款)住房公积金(项):支出决算数为6.27万元，比上年决算增加2.19万元，增长53.68%,主要原因是：2024年8月新考入2人，住房公积金支出较上年增加。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2024年度一般公共预算财政拨款基本支出71.00万元，其中：</w:t>
      </w:r>
      <w:r>
        <w:rPr>
          <w:rFonts w:ascii="仿宋_GB2312" w:hAnsi="仿宋_GB2312" w:eastAsia="仿宋_GB2312"/>
          <w:b/>
          <w:sz w:val="32"/>
        </w:rPr>
        <w:t>人员经费70.27万元，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包括：基本工资、津贴补贴、奖金、绩效工资、机关事业单位基本养老保险缴费、职工基本医疗保险缴费、其他社会保障缴费、住房公积金、退休费、奖励金。</w:t>
      </w:r>
    </w:p>
    <w:p>
      <w:pPr>
        <w:spacing w:line="580" w:lineRule="exact"/>
        <w:ind w:firstLine="640"/>
        <w:jc w:val="both"/>
      </w:pPr>
      <w:r>
        <w:rPr>
          <w:rFonts w:ascii="仿宋_GB2312" w:hAnsi="仿宋_GB2312" w:eastAsia="仿宋_GB2312"/>
          <w:b/>
          <w:sz w:val="32"/>
        </w:rPr>
        <w:t>公用经费0.73万元，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2024年度裕民县青少年校外活动中心（事业单位）公用经费支出0.73万元，比上年增加0.21万元，增长40.38%，主要原因是：本年单位工会经费增加，导致公用经费增加。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2024年度政府采购支出总额28.41万元，其中：政府采购货物支出16.93万元、政府采购工程支出2.40万元、政府采购服务支出9.09万元。</w:t>
      </w:r>
    </w:p>
    <w:p>
      <w:pPr>
        <w:spacing w:line="580" w:lineRule="exact"/>
        <w:ind w:firstLine="640"/>
        <w:jc w:val="both"/>
      </w:pPr>
      <w:r>
        <w:rPr>
          <w:rFonts w:ascii="仿宋_GB2312" w:hAnsi="仿宋_GB2312" w:eastAsia="仿宋_GB2312"/>
          <w:b w:val="0"/>
          <w:sz w:val="32"/>
        </w:rPr>
        <w:t>授予中小企业合同金额28.41万元，占政府采购支出总额的100.00%，其中：授予小微企业合同金额28.41万元，占政府采购支出总额的100.00%。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3,426.00平方米，价值673.40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223.85万元，实际执行总额223.85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裕民县青少年校外活动中心</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323.46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223.85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223.85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71.27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71.27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254.95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152.58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152.58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负责做好全县青少年学生校外活动和社会实践活动的总体规划、组织落实和管理工作。通过举办各类培训班，培养青少年的文化艺术体育特长、劳动技能和科技创新能力。负责参与或具体承办县教育局组织的中小学生文化、体育、艺术竞赛及大型文体活动和科技活动。协助抓好共青团和少先队组织的教育培训工作。对全区各少先队组织进行业务指导，策划、开展少先队主题活动。面向全县青少年学生组织开展夏、冬令营活动。与全国各地同行单位和相关机构建立信息交流网络，为青少年及时提供各类培训学习、文化交流、比赛展览等方面的信息。及承办县教育局交办的其他事项。</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青少年校外活动中心全年履职尽责，根据确定的工作目标，本单位做好在职、退休、遗属人员工资、社保、住房公积金、遗属补助的发放和缴纳工作。紧紧围绕学习宣传贯彻党的二十大精神，积极完整准确贯彻新时代党的治疆方略，负责做好全县青少年学生校外活动和社会实践活动的总体规划、组织落实和管理工作。通过举办各类培训班，培养青少年的文化艺术体育特长、劳动技能和科技创新能力。负责参与或具体承办县教育局组织的中小学生文化、体育、艺术竞赛及大型文体活动和科技活动。协助抓好共青团和少先队组织的教育培训工作。对全区各少先队组织进行业务指导，策划、开展少先队主题活动。面向全县青少年学生组织开展夏、冬令营活动。与全国各地同行单位和相关机构建立信息交流网络，为青少年及时提供各类培训学习、文化交流、比赛展览等方面的信息。及承办县教育局交办的其他事项。</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在职职工人数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编办文件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退休人数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编办文件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开展主题活动场次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开展夏、冬令营活动次数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提供各类培训学习、文化交流次数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开展主题活动达标率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开展夏、冬令营活动覆盖率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