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w15="http://schemas.microsoft.com/office/word/2012/wordml" mc:Ignorable="w14 wp14 w15">
  <w:body>
    <w:p>
      <w:pPr/>
      <w:r/>
    </w:p>
    <w:p>
      <w:pPr>
        <w:spacing w:line="540" w:lineRule="exact"/>
        <w:jc w:val="left"/>
        <w:rPr>
          <w:rFonts w:ascii="仿宋" w:eastAsia="仿宋" w:hAnsi="仿宋" w:cs="宋体" w:hint="eastAsia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附件2：</w:t>
      </w:r>
    </w:p>
    <w:p>
      <w:pPr>
        <w:spacing w:line="540" w:lineRule="exact"/>
        <w:jc w:val="center"/>
        <w:rPr>
          <w:rFonts w:ascii="华文中宋" w:eastAsia="华文中宋" w:hAnsi="华文中宋" w:cs="宋体" w:hint="eastAsia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 w:hint="eastAsia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 w:hint="eastAsia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 w:hint="eastAsia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 w:hint="eastAsia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 w:hint="eastAsia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 xml:space="preserve">项目支出绩效自评报告</w:t>
      </w:r>
    </w:p>
    <w:p>
      <w:pPr>
        <w:spacing w:line="540" w:lineRule="exact"/>
        <w:jc w:val="center"/>
        <w:rPr>
          <w:rFonts w:ascii="华文中宋" w:eastAsia="华文中宋" w:hAnsi="华文中宋" w:cs="宋体" w:hint="eastAsia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eastAsia="仿宋_GB2312" w:hAnsi="宋体" w:cs="宋体" w:hint="eastAsia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年度）</w:t>
      </w:r>
    </w:p>
    <w:p>
      <w:pPr>
        <w:spacing w:line="540" w:lineRule="exact"/>
        <w:jc w:val="center"/>
        <w:rPr>
          <w:rFonts w:eastAsia="仿宋_GB2312" w:hAnsi="宋体" w:cs="宋体" w:hint="eastAsia"/>
          <w:kern w:val="0"/>
          <w:sz w:val="30"/>
          <w:szCs w:val="30"/>
        </w:rPr>
      </w:pPr>
    </w:p>
    <w:p>
      <w:pPr>
        <w:spacing w:line="540" w:lineRule="exact"/>
        <w:rPr>
          <w:rFonts w:eastAsia="仿宋_GB2312" w:hAnsi="宋体" w:cs="宋体" w:hint="eastAsia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eastAsia="仿宋_GB2312" w:hAnsi="宋体" w:cs="宋体" w:hint="eastAsia"/>
          <w:kern w:val="0"/>
          <w:sz w:val="36"/>
          <w:szCs w:val="36"/>
        </w:rPr>
      </w:pPr>
    </w:p>
    <w:p>
      <w:pPr>
        <w:spacing w:line="700" w:lineRule="exact"/>
        <w:ind w:firstLine="900" w:firstLineChars="250"/>
        <w:jc w:val="left"/>
        <w:rPr>
          <w:rFonts w:eastAsia="仿宋_GB2312" w:hAnsi="宋体" w:cs="宋体" w:hint="eastAsia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项目名称：2024年城乡义务教育补助经费(公用经费)</w:t>
      </w:r>
    </w:p>
    <w:p>
      <w:pPr>
        <w:spacing w:line="540" w:lineRule="exact"/>
        <w:ind w:firstLine="567"/>
        <w:rPr>
          <w:rFonts w:eastAsia="仿宋_GB2312" w:hAnsi="宋体" w:cs="宋体" w:hint="eastAsia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实施单位（公章）：裕民县阿勒腾也木勒乡中学</w:t>
      </w:r>
    </w:p>
    <w:p>
      <w:pPr>
        <w:spacing w:line="540" w:lineRule="exact"/>
        <w:ind w:firstLine="900" w:firstLineChars="250"/>
        <w:rPr>
          <w:rFonts w:eastAsia="仿宋_GB2312" w:hAnsi="宋体" w:cs="宋体" w:hint="eastAsia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主管部门（公章）：裕民县阿勒腾也木勒乡中学</w:t>
      </w:r>
    </w:p>
    <w:p>
      <w:pPr>
        <w:spacing w:line="540" w:lineRule="exact"/>
        <w:ind w:firstLine="900" w:firstLineChars="250"/>
        <w:rPr>
          <w:rFonts w:eastAsia="仿宋_GB2312" w:hAnsi="宋体" w:cs="宋体" w:hint="eastAsia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项目负责人（签章）：周晓杰</w:t>
      </w:r>
    </w:p>
    <w:p>
      <w:pPr>
        <w:spacing w:line="540" w:lineRule="exact"/>
        <w:ind w:left="273" w:firstLine="567"/>
        <w:rPr>
          <w:rFonts w:eastAsia="仿宋_GB2312" w:hAnsi="宋体" w:cs="宋体" w:hint="eastAsia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填报时间：2025年04月22日</w:t>
      </w:r>
    </w:p>
    <w:p>
      <w:pPr>
        <w:spacing w:line="540" w:lineRule="exact"/>
        <w:ind w:firstLine="640"/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（一）项目概况</w:t>
      </w:r>
    </w:p>
    <w:p>
      <w:pPr>
        <w:spacing w:after="0" w:line="540" w:lineRule="exact"/>
        <w:ind w:left="420" w:left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1.项目背景</w:t>
      </w:r>
    </w:p>
    <w:p>
      <w:pPr>
        <w:spacing w:after="0" w:line="540" w:lineRule="exact"/>
        <w:ind w:firstLine="640" w:firstLineChars="200"/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2024年城乡义务教育补助经费（公用经费），我校共有539名中小学学生享受此项政策，城乡义务保障机制公用经费、取暖费最大限度保证学校正常运转、完成教育教学活动和其他日常工作任务等方面的支出</w:t>
      </w:r>
    </w:p>
    <w:p>
      <w:pPr>
        <w:spacing w:after="0"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2.项目主要内容：</w:t>
      </w:r>
    </w:p>
    <w:p>
      <w:pPr>
        <w:spacing w:after="0" w:line="540" w:lineRule="exact"/>
        <w:ind w:firstLine="640" w:firstLineChars="200"/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项目主要内容：2024年城乡义务教育补助经费（公用经费）主要用于保障学校的基本运转。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项目实施情况：通过此项目的实施，旨在增强学生的生活条件，提高学生学习的积极性，同时达到一个良好的学习生活环境。</w:t>
      </w:r>
    </w:p>
    <w:p>
      <w:pPr>
        <w:spacing w:after="0"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3.资金投入和使用情况</w:t>
      </w:r>
    </w:p>
    <w:p>
      <w:pPr>
        <w:spacing w:after="0"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（1）资金投入情况</w:t>
      </w:r>
    </w:p>
    <w:p>
      <w:pPr>
        <w:spacing w:after="0" w:line="540" w:lineRule="exact"/>
        <w:ind w:firstLine="640" w:firstLineChars="200"/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该项目年初预算数64.4万元，全年预算数64.4万元，该项目资金已全部落实到位，资金来源为财政拨款。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（2）资金使用情况</w:t>
      </w:r>
    </w:p>
    <w:p>
      <w:pPr>
        <w:spacing w:after="0"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该项目年初预算数64.4万元，全年预算数64.4万元，全年执行数64.4万元，预算执行率为100%，主要用于：保障学校的基本运转。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（二）项目绩效目标</w:t>
      </w:r>
    </w:p>
    <w:p>
      <w:pPr>
        <w:spacing w:line="540" w:lineRule="exact"/>
        <w:ind w:firstLine="567"/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1.总体目标</w:t>
      </w:r>
    </w:p>
    <w:p>
      <w:pPr>
        <w:spacing w:line="540" w:lineRule="exact"/>
        <w:ind w:firstLine="567"/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2024年城乡义务教育保障机制经费，项目包含公用经费和取暖费。城乡义务教育保障机制经费项目资金优化教育结构、完成教育教学活动和其他日常工作任务等方面的支出。保障学校冬季正常取暖，为师生提供温暖的工作和学习环境。</w:t>
      </w:r>
    </w:p>
    <w:p>
      <w:pPr>
        <w:spacing w:line="540" w:lineRule="exact"/>
        <w:ind w:firstLine="567"/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2.阶段性目标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根据《中华人民共和国预算法》《中共中央国务院关于全面实施预算绩效管理的意见》（中发〔2018〕34号）、《关于印发&lt;项目支出绩效评价管理办法&gt;的通知》（财预〔2020〕10号）、《塔城地区财政支出绩效评价管理暂行办法》（塔地财预〔2018〕114号）等文件要求，结合本项目实际，对绩效目标进行逐层分解、细化后的具体产出指标完成情况如下：</w:t>
      </w:r>
    </w:p>
    <w:p>
      <w:pPr>
        <w:pStyle w:val="ListParagraph"/>
        <w:numPr>
          <w:ilvl w:val="0"/>
          <w:numId w:val="3"/>
        </w:numPr>
        <w:spacing w:line="540" w:lineRule="exact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项目产出指标</w:t>
      </w:r>
    </w:p>
    <w:p>
      <w:pPr>
        <w:pStyle w:val="ListParagraph"/>
        <w:numPr>
          <w:ilvl w:val="0"/>
          <w:numId w:val="5"/>
        </w:numPr>
        <w:spacing w:line="540" w:lineRule="exact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数量指标</w:t>
      </w:r>
    </w:p>
    <w:p>
      <w:pPr>
        <w:spacing w:line="540" w:lineRule="exact"/>
        <w:ind w:firstLine="640" w:firstLineChars="200"/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“九年义务教育在校生”指标，预期指标值为“=539人”；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②质量指标</w:t>
      </w:r>
    </w:p>
    <w:p>
      <w:pPr>
        <w:spacing w:line="540" w:lineRule="exact"/>
        <w:ind w:firstLine="640" w:firstLineChars="200"/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“义务教育学生覆盖率”指标，预期指标值为“=100%”；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③时效指标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“资金支付截止日期”指标，预期指标值为“2024/12/25”；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“资助资金到位及时率”指标，预期指标值为“=100%”。</w:t>
      </w:r>
    </w:p>
    <w:p>
      <w:pPr>
        <w:pStyle w:val="ListParagraph"/>
        <w:numPr>
          <w:ilvl w:val="0"/>
          <w:numId w:val="3"/>
        </w:numPr>
        <w:spacing w:line="540" w:lineRule="exact"/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项目成本指标</w:t>
      </w:r>
    </w:p>
    <w:p>
      <w:pPr>
        <w:spacing w:line="540" w:lineRule="exact"/>
        <w:ind w:left="567" w:firstLine="320" w:firstLineChars="100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经济成本指标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“取暖费”指标，预期指标值为“&lt;=10.90万元”；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“办公费”指标，预期指标值为“&lt;=53.50万元”；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（3）项目效益指标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①经济效益指标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无此项指标。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②社会效益指标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“保障教育教学正常开展”指标，预期指标值为“有效保障”；</w:t>
      </w:r>
    </w:p>
    <w:p>
      <w:pPr>
        <w:spacing w:line="540" w:lineRule="exact"/>
        <w:ind w:left="567" w:firstLine="320" w:firstLineChars="100"/>
        <w:rPr>
          <w:rStyle w:val="Strong"/>
          <w:rFonts w:ascii="仿宋_GB2312" w:eastAsia="仿宋_GB2312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③生态效益指标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无此项指标。</w:t>
      </w:r>
    </w:p>
    <w:p>
      <w:pPr>
        <w:spacing w:line="540" w:lineRule="exact"/>
        <w:ind w:left="567" w:firstLine="320" w:firstLineChars="100"/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（4）相关满意度目标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“学生满意度”指标，预期指标值为“&gt;=95%”；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“家长满意度”指标，预期指标值为“&gt;=95%”；</w:t>
      </w:r>
    </w:p>
    <w:p>
      <w:pPr>
        <w:spacing w:line="540" w:lineRule="exact"/>
        <w:ind w:firstLine="640"/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</w:t>
      </w:r>
    </w:p>
    <w:p>
      <w:pPr>
        <w:spacing w:line="540" w:lineRule="exact"/>
        <w:ind w:firstLine="567"/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1.绩效评价完整性</w:t>
      </w:r>
    </w:p>
    <w:p>
      <w:pPr>
        <w:spacing w:line="540" w:lineRule="exact"/>
        <w:ind w:firstLine="567"/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本项目预算绩效评价报告在编制过程中，严格遵循相关法规与标准，确保评价内容的全面性与准确性。报告涵盖了项目从预算编制、执行到完成的全过程，对项目的各项绩效指标进行了细致的梳理与评估。在评价指标体系的构建上，充分考虑了项目的性质、目标以及预期成果，选取了具有代表性和可衡量性的关键指标，涵盖了社会效益以及可持续性等多个维度，力求全方位反映项目的绩效状况。同时，对于每个指标的评价标准和数据来源均进行了明确说明，确保评价结果的客观性和可追溯性。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</w:p>
    <w:p>
      <w:pPr>
        <w:spacing w:line="540" w:lineRule="exact"/>
        <w:ind w:firstLine="567"/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2.绩效评价的目的</w:t>
      </w:r>
    </w:p>
    <w:p>
      <w:pPr>
        <w:spacing w:line="540" w:lineRule="exact"/>
        <w:ind w:firstLine="567"/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（1）评估项目实施效果</w:t>
      </w:r>
    </w:p>
    <w:p>
      <w:pPr>
        <w:spacing w:line="540" w:lineRule="exact"/>
        <w:ind w:firstLine="567"/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通过对项目预算执行情况及各项绩效目标达成程度的系统性分析，全面、客观地评估项目在预定周期内的实施效果，包括社会效益以及可持续性等多维度指标，为项目后续的改进与优化提供科学依据。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（2）提升资源利用效率</w:t>
      </w:r>
      <w:r>
        <w:cr/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    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（3）强化项目管理责任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    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（4）为决策提供支持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    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（5）促进项目持续改进</w:t>
      </w:r>
      <w:r>
        <w:cr/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    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</w:t>
      </w:r>
      <w:bookmarkStart w:id="0" w:name="_Hlk206695964"/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。</w:t>
      </w:r>
      <w:bookmarkEnd w:id="0"/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3.绩效评价的对象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    本项目预算绩效评价报告的评价对象是2024年城乡义务教育补助经费（公用经费）及其预算执行情况。该项目由办公室负责实施，旨在保障学校基本运转。项目预算涵盖从2025年1月1日至2025年12月25日的全部资金投入与支出，涉及资金总额为64.4万元。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4.绩效评价的范围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    本项目预算绩效评价报告的评价范围广泛而全面，涵盖了从项目立项至评价时点期间的所有关键预算活动和财务流程。具体而言，评价范围包括但不限于以下几个方面：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（1）项目预算编制与执行：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全面审视项目预算的编制依据、合理性、科学性以及实际执行情况，包括预算调整的原因和效果。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（2）资金管理：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深入分析项目资金的分配、使用和监管情况，确保资金使用的合规性、高效性和透明度。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（3）项目实施进度与产出：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评估项目是否按照既定计划顺利推进，各项任务是否按时完成，以及项目产出的数量、质量和时效性是否符合期。</w:t>
      </w:r>
      <w:r>
        <w:cr/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    （4）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社会、生态等影响：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考察项目对社会、生态等方面的合影响。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（二）绩效评价原则、评价指标体系、评价方法、评价标准</w:t>
      </w:r>
    </w:p>
    <w:p>
      <w:pPr>
        <w:spacing w:line="540" w:lineRule="exact"/>
        <w:ind w:left="210" w:firstLine="320" w:leftChars="100" w:firstLineChars="1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1.绩效评价原则</w:t>
      </w:r>
    </w:p>
    <w:p>
      <w:pPr>
        <w:spacing w:line="540" w:lineRule="exact"/>
        <w:ind w:left="210" w:firstLine="320" w:leftChars="100" w:firstLineChars="1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本次项目绩效评价遵循以下基本原则：</w:t>
      </w:r>
    </w:p>
    <w:p>
      <w:pPr>
        <w:spacing w:line="540" w:lineRule="exact"/>
        <w:ind w:left="210" w:firstLine="320" w:leftChars="100" w:firstLineChars="100"/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（1）科学公正。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绩效评价应当运用科学合理的方法，按照规范的程序，对项目绩效进行客观、公正的反映。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（2）统筹兼顾。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单位自评、部门评价和财政评价应职责明确，各有侧重，相互衔接。单位自评应由项目单位自主实施，即“谁支出、谁自评”。部门评价和财政评价应在单位自评的基础上开展。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（3）激励约束。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绩效评价结果应与预算安排、政策调整、改进管理实质性挂钩，体现奖优罚劣和激励相容导向，有效要安排、低效要压减、无效要问责。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（4）公开透明。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绩效评价结果应依法依规公开，并自觉接受社会监督。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2.评价指标体系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绩效评价框架是开展绩效评价的核心。绩效评价框架包括评价准则、关键评价问题、评价指标、数据来源、数据收集方法等。指标体系建立过程如下：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（1）确定评价指标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（2）确定权重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确定各个指标相对于项目总体绩效的权重分值。在绩效评价指标体系中，项目决策权重为20分，项目过程权重为20分，项目产出权重为40分，项目效益权重为20分。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（3）确定指标标准值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指标标准值是绩效评价指标的尺度，既要反映同类项目的先进水平，又要符合项目的实际绩效水平。具体采用计划标准等确定此次绩效评价指标标准值。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绩效评价总分值100分，根据综合评分结果，90（含）-100分为优、80（含）-90分为良、60（含）-80分为中、60分以下为差。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具体评价指标体系详情见附件1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3.绩效评价方法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绩效评价从项目决策、项目过程、项目产出、项目效益四个维度进行评价。评价对象为项目目标实施情况，评价核心为资金的支出完成情况和项目的产出效益。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本次评价指标中，既有定性指标又有定量指标，各类指标因考核内容不同和客观标准不同存在较大差异，因此核定具体指标时采用了不同方法，具体评价方法如下：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比较法：通过整理本项目相关资料和数据，评价数量指标的完成情况；通过分析项目的实施情况与绩效目标实现情况，评价项目实施的效果；通过分析项目资金使用情况及产生的效果，评价预算资金分配的合理性。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公众评判法：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评价组采用实地访谈、远程访谈相结合方式，对本项目的实施情况进行充分调研，了解掌握资金分配、资金管理、资金使用、制度建设、制度执行情况。采用问卷调查方式，对受益对象开展满意度调查，进行综合评价。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4.评价标准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绩效评价标准通常包括计划标准、行业标准、历史标准等，用于对绩效指标完成情况进行比较、分析、评价。本次评价主要采用了计划标准。</w:t>
      </w:r>
      <w:r>
        <w:cr/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   （1）计划标准。指以预先制定的目标、计划、预算、定额作为评价标准。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（三）绩效评价工作过程</w:t>
      </w:r>
    </w:p>
    <w:p>
      <w:pPr>
        <w:spacing w:line="540" w:lineRule="exact"/>
        <w:ind w:left="210" w:firstLine="320" w:leftChars="100" w:firstLineChars="1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（1）前期准备与规划</w:t>
      </w:r>
    </w:p>
    <w:p>
      <w:pPr>
        <w:spacing w:line="540" w:lineRule="exact"/>
        <w:ind w:left="210" w:firstLine="640" w:leftChars="10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在项目绩效评价工作启动之初，成立了专门的评价工作小组，小组成员由党支部书记王刚、会计战霞项目管理组成，确保从多角度、全方位对项目绩效进行评价。同时，明确了评价工作的目标、范围、重点及时间安排，制定了详细的工作计划，为评价工作的顺利开展奠定了坚实基础。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  </w:t>
      </w:r>
    </w:p>
    <w:p>
      <w:pPr>
        <w:spacing w:line="540" w:lineRule="exact"/>
        <w:ind w:firstLine="640" w:firstLineChars="200"/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（2）指标体系构建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（3）数据收集与整理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广泛收集与项目相关的各类数据，包括财务报表、项目文档、业务数据、学生反馈等。在数据收集过程中，注重数据的质量与完整性，对缺失或异常的数据进行了合理的处理和补充。随后，对收集到的数据进行了系统的整理与分类，为后续的数据分析提供了有力支持。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（4）数据分析与评估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（5）报告撰写与反馈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（6）后续跟踪与改进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>
      <w:pPr>
        <w:spacing w:line="540" w:lineRule="exact"/>
        <w:ind w:firstLine="640"/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（一）评价情况</w:t>
      </w:r>
    </w:p>
    <w:p>
      <w:pPr>
        <w:spacing w:line="540" w:lineRule="exact"/>
        <w:ind w:firstLine="640" w:firstLineChars="200"/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本项目的综合评价基于对项目各方面绩效的深入分析与评估。从项目目标的达成情况来看，2024年城乡义务教育补助经费（公用经费）在保障学校基本运转、提升学校办学条件等方面表现出色，达到了预期的标准与要求。同时，项目也在社会效益等方面取得了显著的成效，如学校承办了各种各样的活动，提升了学校了的社会地位等。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    在项目管理方面，裕民县阿勒腾也木勒乡中心校通过有效的规划、组织与协调，项目得以顺利实施，并在预算与时间上保持了良好的控制。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从项目效益的角度来看，本项目不仅实现了预期的社会效益、生态效益、经济效益等方面产生了积极的影响。具体而言，学生的生活条件、学生学习的积极性等方面的提升，为项目的利益相关者带来了实实在在的利益。</w:t>
      </w:r>
      <w:r>
        <w:cr/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    综上所述，2024年城乡义务教育补助经费（公用经费）在绩效 评价中表现出色，达到了项目的预期目标，并在多个方面取得了显著的成效。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（二）评价结论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运用绩效评价组制定的评价指标体系以及财政部《项目支出绩效评价管理办法》（财预〔2020〕10号）文件的评分标准，通过数据采集、问卷调查及访谈等方式，对本项目进行客观评价，最终评分结果：总得分为100分，属于“优”。其中，项目决策类指标权重为20分，得分为 20分，得分率为 100%。项目过程类指标权重为20分，得分为20分，得分率为 100%。项目产出类指标权重为40分，得分为40分，得分率为 100%。项目效益类指标权重为20分，得分为20分，得分率为100%。具体打分情况详见：</w:t>
      </w:r>
    </w:p>
    <w:p>
      <w:pPr>
        <w:spacing w:line="540" w:lineRule="exact"/>
        <w:ind w:firstLine="3840" w:firstLineChars="1200"/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附件1综合评分表。</w:t>
      </w:r>
    </w:p>
    <w:tbl>
      <w:tblPr>
        <w:tblStyle w:val="NormalTable"/>
        <w:tblW w:w="875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2787"/>
        <w:gridCol w:w="1926"/>
        <w:gridCol w:w="2023"/>
        <w:gridCol w:w="2023"/>
      </w:tblGrid>
      <w:tr>
        <w:tblPrEx>
          <w:tblW w:w="8759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/>
          <w:tblHeader/>
          <w:jc w:val="center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</w:tcPr>
          <w:p>
            <w:pPr>
              <w:jc w:val="center"/>
              <w:rPr>
                <w:rFonts w:eastAsia="仿宋_GB2312"/>
                <w:b/>
                <w:bCs/>
                <w:color w:val="000000"/>
                <w:szCs w:val="21"/>
              </w:rPr>
            </w:pPr>
            <w:r>
              <w:rPr>
                <w:rFonts w:eastAsia="仿宋_GB2312"/>
                <w:b/>
                <w:bCs/>
                <w:color w:val="000000"/>
                <w:szCs w:val="21"/>
              </w:rPr>
              <w:t xml:space="preserve">一级指标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</w:tcPr>
          <w:p>
            <w:pPr>
              <w:jc w:val="center"/>
              <w:rPr>
                <w:rFonts w:eastAsia="仿宋_GB2312"/>
                <w:b/>
                <w:bCs/>
                <w:color w:val="000000"/>
                <w:szCs w:val="21"/>
              </w:rPr>
            </w:pPr>
            <w:r>
              <w:rPr>
                <w:rFonts w:eastAsia="仿宋_GB2312"/>
                <w:b/>
                <w:bCs/>
                <w:color w:val="000000"/>
                <w:szCs w:val="21"/>
              </w:rPr>
              <w:t xml:space="preserve">权重分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</w:tcPr>
          <w:p>
            <w:pPr>
              <w:jc w:val="center"/>
              <w:rPr>
                <w:rFonts w:eastAsia="仿宋_GB2312"/>
                <w:b/>
                <w:bCs/>
                <w:color w:val="000000"/>
                <w:szCs w:val="21"/>
              </w:rPr>
            </w:pPr>
            <w:r>
              <w:rPr>
                <w:rFonts w:eastAsia="仿宋_GB2312"/>
                <w:b/>
                <w:bCs/>
                <w:color w:val="000000"/>
                <w:szCs w:val="21"/>
              </w:rPr>
              <w:t xml:space="preserve">得分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</w:tcPr>
          <w:p>
            <w:pPr>
              <w:jc w:val="center"/>
              <w:rPr>
                <w:rFonts w:eastAsia="仿宋_GB2312"/>
                <w:b/>
                <w:bCs/>
                <w:color w:val="000000"/>
                <w:szCs w:val="21"/>
              </w:rPr>
            </w:pPr>
            <w:r>
              <w:rPr>
                <w:rFonts w:eastAsia="仿宋_GB2312" w:hint="eastAsia"/>
                <w:b/>
                <w:bCs/>
                <w:color w:val="000000"/>
                <w:szCs w:val="21"/>
              </w:rPr>
              <w:t xml:space="preserve">得分率</w:t>
            </w:r>
          </w:p>
        </w:tc>
      </w:tr>
      <w:tr>
        <w:tblPrEx>
          <w:tblW w:w="8759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  <w:jc w:val="center"/>
        </w:trPr>
        <w:tc>
          <w:tcPr>
            <w:tcW w:w="2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 xml:space="preserve">项目决策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 xml:space="preserve">20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 xml:space="preserve">20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 xml:space="preserve">100%</w:t>
            </w:r>
          </w:p>
        </w:tc>
      </w:tr>
      <w:tr>
        <w:tblPrEx>
          <w:tblW w:w="8759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  <w:jc w:val="center"/>
        </w:trPr>
        <w:tc>
          <w:tcPr>
            <w:tcW w:w="2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 xml:space="preserve">项目过程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 xml:space="preserve">20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 xml:space="preserve">20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 xml:space="preserve">100%</w:t>
            </w:r>
          </w:p>
        </w:tc>
      </w:tr>
      <w:tr>
        <w:tblPrEx>
          <w:tblW w:w="8759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  <w:jc w:val="center"/>
        </w:trPr>
        <w:tc>
          <w:tcPr>
            <w:tcW w:w="2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 xml:space="preserve">项目产出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 xml:space="preserve">40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 xml:space="preserve">40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 xml:space="preserve">100%</w:t>
            </w:r>
          </w:p>
        </w:tc>
      </w:tr>
      <w:tr>
        <w:tblPrEx>
          <w:tblW w:w="8759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  <w:jc w:val="center"/>
        </w:trPr>
        <w:tc>
          <w:tcPr>
            <w:tcW w:w="2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 xml:space="preserve">项目效益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 xml:space="preserve">20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 xml:space="preserve">20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 xml:space="preserve">100%</w:t>
            </w:r>
          </w:p>
        </w:tc>
      </w:tr>
      <w:tr>
        <w:tblPrEx>
          <w:tblW w:w="8759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  <w:jc w:val="center"/>
        </w:trPr>
        <w:tc>
          <w:tcPr>
            <w:tcW w:w="2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bCs/>
                <w:color w:val="000000"/>
                <w:szCs w:val="21"/>
              </w:rPr>
            </w:pPr>
            <w:r>
              <w:rPr>
                <w:rFonts w:eastAsia="仿宋_GB2312"/>
                <w:b/>
                <w:bCs/>
                <w:color w:val="000000"/>
                <w:szCs w:val="21"/>
              </w:rPr>
              <w:t xml:space="preserve">合计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bCs/>
                <w:color w:val="000000"/>
                <w:szCs w:val="21"/>
              </w:rPr>
            </w:pPr>
            <w:r>
              <w:rPr>
                <w:rFonts w:eastAsia="仿宋_GB2312"/>
                <w:b/>
                <w:bCs/>
                <w:color w:val="000000"/>
                <w:szCs w:val="21"/>
              </w:rPr>
              <w:t xml:space="preserve">100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bCs/>
                <w:color w:val="000000"/>
                <w:szCs w:val="21"/>
              </w:rPr>
            </w:pPr>
            <w:r>
              <w:rPr>
                <w:rFonts w:eastAsia="仿宋_GB2312" w:hint="eastAsia"/>
                <w:b/>
                <w:bCs/>
                <w:color w:val="000000"/>
                <w:szCs w:val="21"/>
              </w:rPr>
              <w:t xml:space="preserve">100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bCs/>
                <w:color w:val="000000"/>
                <w:szCs w:val="21"/>
              </w:rPr>
            </w:pPr>
            <w:r>
              <w:rPr>
                <w:rFonts w:eastAsia="仿宋_GB2312" w:hint="eastAsia"/>
                <w:b/>
                <w:bCs/>
                <w:color w:val="000000"/>
                <w:szCs w:val="21"/>
              </w:rPr>
              <w:t xml:space="preserve">100%</w:t>
            </w:r>
          </w:p>
        </w:tc>
      </w:tr>
    </w:tbl>
    <w:p>
      <w:pPr>
        <w:spacing w:line="540" w:lineRule="exact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 w:firstLineChars="200"/>
        <w:rPr>
          <w:rStyle w:val="Strong"/>
          <w:rFonts w:ascii="黑体" w:eastAsia="黑体" w:hAnsi="黑体" w:hint="eastAsia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四、绩效评价指标分析</w:t>
      </w:r>
      <w:r>
        <w:rPr>
          <w:rStyle w:val="Strong"/>
          <w:rFonts w:ascii="黑体" w:eastAsia="黑体" w:hAnsi="黑体" w:hint="eastAsia"/>
        </w:rPr>
        <w:t xml:space="preserve"> </w:t>
      </w:r>
    </w:p>
    <w:p>
      <w:pPr>
        <w:spacing w:line="540" w:lineRule="exact"/>
        <w:ind w:firstLine="640" w:firstLineChars="200"/>
        <w:rPr>
          <w:rFonts w:ascii="楷体" w:eastAsia="楷体" w:hAnsi="楷体" w:hint="eastAsia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（一）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项目决策情况</w:t>
      </w:r>
    </w:p>
    <w:p>
      <w:pPr>
        <w:tabs>
          <w:tab w:val="center" w:pos="4295"/>
        </w:tabs>
        <w:spacing w:line="540" w:lineRule="exact"/>
        <w:ind w:left="210" w:firstLine="320" w:leftChars="100" w:firstLineChars="1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（一）项目决策情况</w:t>
      </w:r>
    </w:p>
    <w:p>
      <w:pPr>
        <w:tabs>
          <w:tab w:val="center" w:pos="4295"/>
        </w:tabs>
        <w:spacing w:line="540" w:lineRule="exact"/>
        <w:ind w:left="210" w:firstLine="640" w:leftChars="100" w:firstLineChars="200"/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项目决策类指标包括项目立项、绩效目标和资金投入三方面的内容，由6个三级指标构成，权重分值为20分，实际得分20分，得分率为100%。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1.项目立项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（1）立项依据充分性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（2）立项程序规范性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风险评估、绩效评估、集体决策，保障了程序的规范性。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2.绩效目标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（1）绩效目标合理性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（2）绩效指标明确性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项目设置了明确的预期产出效益和效果，将绩效目标细化分解为具体的绩效指标，绩效目标与项目目标任务数相对应，绩效目标设定的绩效指标清晰、细化、可衡量。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3.资金投入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（1）预算编制科学性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    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（2）资金分配合理性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    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（二）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项目过程情况</w:t>
      </w:r>
    </w:p>
    <w:p>
      <w:pPr>
        <w:spacing w:line="540" w:lineRule="exact"/>
        <w:ind w:firstLine="567"/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项目过程类指标包括资金管理和组织实施两方面的内容，由5个三级指标构成，权重分值为20分，实际得分20分，得分率为100%。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1.资金管理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（1）资金到位率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本项目总投资64.4万元，财政资金及时足额到位，到位率100%，预算资金按计划进度执行。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（2）预算执行率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预算编制较为详细，项目资金支出总体能够按照预算执行，预算资金支出64.4万元，预算执行率为100%。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（3）资金使用合规性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项目任务下达后，我单位制定了《营养餐》制度和管理规定对经费使用进行规范管理，财务制度健全、执行严格，确保了资金的合规性与安全性。在资金使用过程中，我们建立了完善的财务管理体系，对资金的流动进行了全程监控与记录。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    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    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2.组织实施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（1）管理制度健全性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我单位制定了《营养餐》等相关项目管理办法，同时对财政专项资金进行严格管理，基本做到了专款专用。在制度设计上，我们注重了制度的科学性与可操作性，确保制度能够切实指导项目的执行与管理。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    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    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（2）制度执行有效性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    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    综上所述，本项目的管理制度在执行过程中表现出了高度的有效性，既确保了项目的顺利进行，又实现了项目目标的有效达成。</w:t>
      </w:r>
    </w:p>
    <w:p>
      <w:pPr>
        <w:spacing w:line="540" w:lineRule="exact"/>
        <w:ind w:firstLine="579" w:firstLineChars="181"/>
        <w:rPr>
          <w:rFonts w:ascii="楷体" w:eastAsia="楷体" w:hAnsi="楷体" w:hint="eastAsia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（三）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项目产出情况</w:t>
      </w:r>
    </w:p>
    <w:p>
      <w:pPr>
        <w:spacing w:line="540" w:lineRule="exact"/>
        <w:ind w:firstLine="567"/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项目产出类指标包括产出数量、产出质量、产出时效、产出成本四方面的内容，由6个三级指标构成，权重分为40分，实际得分40分，得分率为100%。具体产出指标完成情况如下：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①数量指标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“九年义务教育在校生”指标，指标值为“=539人”；实际完成值：539人，指标完成率100 %，与预期目标一致。②质量指标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    “义务教育学生覆盖率”指标，指标值为“=100%”；实际完成值：100%，指标完成率100 %，与预期目标一致。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③时效指标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指标1：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“经费保障时长”，指标值：=2学期，实际完成值：2学期，指标完成率100%。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指标2：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“资助资金到位及时率”指标，指标值为“=100%”；实际完成值：100%，指标完成率100 %，与预期目标一致。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（2）项目成本指标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经济成本指标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指标1：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“每平方米取暖费”，指标值：=60元/生/学期，实际完成值：=60元/生/学期，指标完成率100%。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指标2：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“小学公用经费补助标准”，指标值：=360元/生/学期，实际完成值：=360元/生/学期，指标完成率100%。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指标3：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“中学公用经费补助标准”，指标值：=375元/生/学期，实际完成值：=375元/生/学期，指标完成率100%。</w:t>
      </w:r>
    </w:p>
    <w:p>
      <w:pPr>
        <w:spacing w:line="540" w:lineRule="exact"/>
        <w:ind w:firstLine="579" w:firstLineChars="181"/>
        <w:rPr>
          <w:rFonts w:ascii="楷体" w:eastAsia="楷体" w:hAnsi="楷体" w:hint="eastAsia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（四）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项目效益情况</w:t>
      </w:r>
    </w:p>
    <w:p>
      <w:pPr>
        <w:spacing w:line="540" w:lineRule="exact"/>
        <w:ind w:firstLine="567"/>
        <w:rPr>
          <w:rStyle w:val="Strong"/>
          <w:rFonts w:ascii="仿宋_GB2312" w:eastAsia="仿宋_GB2312" w:hAnsi="楷体" w:cs="Arial" w:cstheme="minorBidi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项目效益类指标包括项目实施效益和满意度两方面的内容，由3个三级指标构成，权重分为30分，实际得分30分，得分率为100%。具体效益指标及满意度指标完成情况如下：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1.实施效益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社会效益指标：指标值：保障教育教学正常开展，实际完成值：有效保障。</w:t>
      </w:r>
    </w:p>
    <w:p>
      <w:pPr>
        <w:numPr>
          <w:ilvl w:val="0"/>
          <w:numId w:val="4"/>
        </w:numPr>
        <w:spacing w:line="540" w:lineRule="exact"/>
        <w:ind w:left="608" w:firstLine="0" w:leftChars="0" w:firstLineChars="0"/>
        <w:rPr>
          <w:rStyle w:val="Strong"/>
          <w:rFonts w:ascii="楷体" w:eastAsia="楷体" w:hAnsi="楷体" w:cs="Arial" w:cstheme="minorBidi" w:hint="eastAsia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Strong"/>
          <w:rFonts w:ascii="楷体" w:eastAsia="楷体" w:hAnsi="楷体" w:cs="Arial" w:cstheme="minorBidi" w:hint="eastAsia"/>
          <w:b w:val="0"/>
          <w:bCs w:val="0"/>
          <w:spacing w:val="-4"/>
          <w:sz w:val="32"/>
          <w:szCs w:val="32"/>
          <w:lang w:val="en-US" w:eastAsia="zh-CN"/>
        </w:rPr>
        <w:t xml:space="preserve">满意度</w:t>
      </w:r>
    </w:p>
    <w:p>
      <w:pPr>
        <w:numPr>
          <w:numId w:val="0"/>
        </w:numPr>
        <w:spacing w:line="540" w:lineRule="exact"/>
        <w:ind w:firstLine="608"/>
        <w:rPr>
          <w:rStyle w:val="Strong"/>
          <w:rFonts w:ascii="仿宋_GB2312" w:eastAsia="仿宋_GB2312" w:hAnsi="楷体" w:cs="Arial" w:cstheme="minorBidi" w:hint="eastAsia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Strong"/>
          <w:rFonts w:ascii="仿宋_GB2312" w:eastAsia="仿宋_GB2312" w:hAnsi="楷体" w:cs="Arial" w:cstheme="minorBidi" w:hint="eastAsia"/>
          <w:b w:val="0"/>
          <w:bCs w:val="0"/>
          <w:spacing w:val="-4"/>
          <w:sz w:val="32"/>
          <w:szCs w:val="32"/>
        </w:rPr>
        <w:t xml:space="preserve">①</w:t>
      </w:r>
      <w:r>
        <w:rPr>
          <w:rStyle w:val="Strong"/>
          <w:rFonts w:ascii="仿宋_GB2312" w:eastAsia="仿宋_GB2312" w:hAnsi="楷体" w:cs="Arial" w:cstheme="minorBidi" w:hint="eastAsia"/>
          <w:b w:val="0"/>
          <w:bCs w:val="0"/>
          <w:spacing w:val="-4"/>
          <w:sz w:val="32"/>
          <w:szCs w:val="32"/>
          <w:lang w:val="en-US" w:eastAsia="zh-CN"/>
        </w:rPr>
        <w:t xml:space="preserve">教师满意度</w:t>
      </w:r>
    </w:p>
    <w:p>
      <w:pPr>
        <w:numPr>
          <w:numId w:val="0"/>
        </w:numPr>
        <w:spacing w:line="540" w:lineRule="exact"/>
        <w:ind w:firstLine="608"/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指标值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  <w:lang w:eastAsia="zh-CN"/>
        </w:rPr>
        <w:t xml:space="preserve">：</w:t>
      </w:r>
      <w:r>
        <w:rPr>
          <w:rStyle w:val="Strong"/>
          <w:rFonts w:ascii="宋体" w:eastAsia="宋体" w:hAnsi="宋体" w:cs="宋体" w:hint="eastAsia"/>
          <w:b w:val="0"/>
          <w:bCs w:val="0"/>
          <w:spacing w:val="-4"/>
          <w:sz w:val="32"/>
          <w:szCs w:val="32"/>
        </w:rPr>
        <w:t xml:space="preserve">≧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95</w:t>
      </w:r>
      <w:r>
        <w:rPr>
          <w:rStyle w:val="Strong"/>
          <w:rFonts w:ascii="宋体" w:eastAsia="宋体" w:hAnsi="宋体" w:cs="宋体" w:hint="eastAsia"/>
          <w:b w:val="0"/>
          <w:bCs w:val="0"/>
          <w:spacing w:val="-4"/>
          <w:sz w:val="32"/>
          <w:szCs w:val="32"/>
          <w:lang w:val="en-US" w:eastAsia="zh-CN"/>
        </w:rPr>
        <w:t xml:space="preserve">％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；实际完成值：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95</w:t>
      </w:r>
      <w:r>
        <w:rPr>
          <w:rStyle w:val="Strong"/>
          <w:rFonts w:ascii="宋体" w:eastAsia="宋体" w:hAnsi="宋体" w:cs="宋体" w:hint="eastAsia"/>
          <w:b w:val="0"/>
          <w:bCs w:val="0"/>
          <w:spacing w:val="-4"/>
          <w:sz w:val="32"/>
          <w:szCs w:val="32"/>
          <w:lang w:val="en-US" w:eastAsia="zh-CN"/>
        </w:rPr>
        <w:t xml:space="preserve">％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，指标完成率100%。</w:t>
      </w:r>
    </w:p>
    <w:p>
      <w:pPr>
        <w:numPr>
          <w:numId w:val="0"/>
        </w:numPr>
        <w:spacing w:line="540" w:lineRule="exact"/>
        <w:ind w:firstLine="608"/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②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家长满意度</w:t>
      </w:r>
    </w:p>
    <w:p>
      <w:pPr>
        <w:numPr>
          <w:ilvl w:val="0"/>
          <w:numId w:val="0"/>
        </w:numPr>
        <w:spacing w:line="540" w:lineRule="exact"/>
        <w:ind w:firstLine="608"/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指标值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  <w:lang w:eastAsia="zh-CN"/>
        </w:rPr>
        <w:t xml:space="preserve">：</w:t>
      </w:r>
      <w:r>
        <w:rPr>
          <w:rStyle w:val="Strong"/>
          <w:rFonts w:ascii="宋体" w:eastAsia="宋体" w:hAnsi="宋体" w:cs="宋体" w:hint="eastAsia"/>
          <w:b w:val="0"/>
          <w:bCs w:val="0"/>
          <w:spacing w:val="-4"/>
          <w:sz w:val="32"/>
          <w:szCs w:val="32"/>
        </w:rPr>
        <w:t xml:space="preserve">≧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95</w:t>
      </w:r>
      <w:r>
        <w:rPr>
          <w:rStyle w:val="Strong"/>
          <w:rFonts w:ascii="宋体" w:eastAsia="宋体" w:hAnsi="宋体" w:cs="宋体" w:hint="eastAsia"/>
          <w:b w:val="0"/>
          <w:bCs w:val="0"/>
          <w:spacing w:val="-4"/>
          <w:sz w:val="32"/>
          <w:szCs w:val="32"/>
          <w:lang w:val="en-US" w:eastAsia="zh-CN"/>
        </w:rPr>
        <w:t xml:space="preserve">％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；实际完成值：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95</w:t>
      </w:r>
      <w:r>
        <w:rPr>
          <w:rStyle w:val="Strong"/>
          <w:rFonts w:ascii="宋体" w:eastAsia="宋体" w:hAnsi="宋体" w:cs="宋体" w:hint="eastAsia"/>
          <w:b w:val="0"/>
          <w:bCs w:val="0"/>
          <w:spacing w:val="-4"/>
          <w:sz w:val="32"/>
          <w:szCs w:val="32"/>
          <w:lang w:val="en-US" w:eastAsia="zh-CN"/>
        </w:rPr>
        <w:t xml:space="preserve">％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，指标完成率100%。</w:t>
      </w:r>
      <w:bookmarkStart w:id="1" w:name="_GoBack"/>
      <w:bookmarkEnd w:id="1"/>
    </w:p>
    <w:p>
      <w:pPr>
        <w:spacing w:line="540" w:lineRule="exact"/>
        <w:ind w:firstLine="640"/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2024年城乡义务教育补助经费（公用经费）项目年初预算64.4万元，全年预算64.4万元，实际支出64.4万元，预算执行率为100%，项目绩效指标总体完成率为100%，总体偏差率为0%。</w:t>
      </w:r>
    </w:p>
    <w:p>
      <w:pPr>
        <w:spacing w:line="540" w:lineRule="exact"/>
        <w:ind w:firstLine="640"/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</w:p>
    <w:p>
      <w:pPr>
        <w:spacing w:line="540" w:lineRule="exact"/>
        <w:ind w:firstLine="640" w:firstLineChars="200"/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严格坚持先做事、后验收、再拨付的原则，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</w:p>
    <w:p>
      <w:pPr>
        <w:spacing w:line="540" w:lineRule="exact"/>
        <w:ind w:left="210" w:firstLine="320" w:leftChars="100" w:firstLineChars="1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（二）存在的问题及原因分析</w:t>
      </w:r>
    </w:p>
    <w:p>
      <w:pPr>
        <w:spacing w:line="540" w:lineRule="exact"/>
        <w:ind w:left="210" w:firstLine="640" w:leftChars="10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1.绩效预算认识不够充分，绩效理念有待进一步强化部门绩效管理理念尚未牢固树立，绩效管理专业人员匮乏。</w:t>
      </w:r>
    </w:p>
    <w:p>
      <w:pPr>
        <w:spacing w:line="540" w:lineRule="exact"/>
        <w:ind w:left="210" w:firstLine="640" w:leftChars="100" w:firstLineChars="200"/>
        <w:rPr>
          <w:rStyle w:val="Strong"/>
          <w:rFonts w:ascii="仿宋_GB2312" w:eastAsia="仿宋_GB2312"/>
        </w:rPr>
      </w:pP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单位对全面实施绩效管理认识不够，绩效水平不高，单位内部绩效管理工作力量薄弱，多数以财务人员牵头开展绩效管理，工作推动机制不全，业务人员业务能力和素质还有待进一步提升。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2.绩效档案归档工作有待提高</w:t>
      </w:r>
      <w:r>
        <w:cr/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    一是对档案工作重视程度不高，意识淡薄。单位人员对绩效档案管理工作重视程度不够，不注重关键时间节点材料的鉴定归档，造成绩效管理工作档案缺失。二是单位人员对档案管理工作缺少针对性和目的性，对绩效档案工作重要性的认识不足，缺乏熟练的业务知识，使绩效档案管理与实际业务存在一定偏差，未发挥其综合价值。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3.项目支出绩效评价存在局限，客观性有待加强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项目支出绩效评价工作还存在自我审定的局限性，项目支出绩效工作有较大弹性，评价报告多局限于描述项目实施情况，对问题避重就轻，对项目的打分松紧不一，会影响评价质量，在客观性和公正性上说服力不强。</w:t>
      </w:r>
    </w:p>
    <w:p>
      <w:pPr>
        <w:spacing w:line="540" w:lineRule="exact"/>
        <w:ind w:firstLine="640"/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七、有关建议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1.加强培训，提高相关人员工作水平</w:t>
      </w:r>
      <w:r>
        <w:rPr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   采取多种培训形式对单位财务人员、业务科室人员进行集中培训，进一步树牢绩效观念，提高本单位工作人员的绩效管理能力和工作水平，为预算绩效管理相关工作的顺利开展提供保障。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2.扎实推进档案规范化建设，提升档案管理水平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一是进一步完善项目评价资料。项目启动时同步做好档案的归纳与整理，及时整理、收集、汇总，健全档案资料。二是严格落实喀什地区关于绩效管理工作档案资料归档的相关要求，强化收集力度，确保归档资料的完整齐全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3.高度重视，加强领导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</w:t>
      </w:r>
      <w:r>
        <w:rPr>
          <w:rStyle w:val="Strong"/>
          <w:rFonts w:ascii="仿宋_GB2312" w:eastAsia="仿宋_GB2312" w:hAnsi="楷体" w:hint="eastAsia"/>
          <w:b w:val="0"/>
          <w:bCs w:val="0"/>
          <w:spacing w:val="-4"/>
          <w:sz w:val="32"/>
          <w:szCs w:val="32"/>
        </w:rPr>
        <w:t xml:space="preserve"> 高度重视，加强领导，精心组织。项目绩效领导小组对绩效评价工作进行指导、监督、检查，确保项目绩效评价反映项目完成真实情况。严格执行项目绩效评价工作要求，切实提高项目绩效报告的客观性和公正性。</w:t>
      </w:r>
    </w:p>
    <w:p>
      <w:pPr>
        <w:spacing w:line="540" w:lineRule="exact"/>
        <w:ind w:firstLine="640"/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八、其他需要说明的问题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本项目无其他需说明的问题。</w:t>
      </w:r>
    </w:p>
    <w:p>
      <w:pPr/>
    </w:p>
    <w:sectPr>
      <w:footerReference w:type="default" r:id="rId2"/>
      <w:pgSz w:w="11906" w:h="16838" w:orient="portrait"/>
      <w:pgMar w:top="1440" w:right="1080" w:bottom="1440" w:left="1080" w:header="851" w:footer="992" w:gutter="0"/>
      <w:pgBorders/>
      <w:cols w:num="1" w:space="425">
        <w:col w:w="9746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pStyle w:val="Footer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 xml:space="preserve">1</w:t>
    </w:r>
    <w:r>
      <w:fldChar w:fldCharType="end"/>
    </w:r>
  </w:p>
  <w:p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multilevel"/>
    <w:lvl w:ilvl="0">
      <w:start w:val="1"/>
      <w:numFmt w:val="decimal"/>
      <w:suff w:val="tab"/>
      <w:lvlText w:val="（%1）"/>
      <w:lvlJc w:val="left"/>
      <w:pPr>
        <w:ind w:left="1647" w:hanging="1080"/>
      </w:pPr>
      <w:rPr>
        <w:rFonts w:hint="default"/>
      </w:rPr>
    </w:lvl>
    <w:lvl w:ilvl="1">
      <w:start w:val="1"/>
      <w:numFmt w:val="lowerLetter"/>
      <w:suff w:val="tab"/>
      <w:lvlText w:val="%2)"/>
      <w:lvlJc w:val="left"/>
      <w:pPr>
        <w:ind w:left="1447" w:hanging="440"/>
      </w:pPr>
      <w:rPr/>
    </w:lvl>
    <w:lvl w:ilvl="2">
      <w:start w:val="1"/>
      <w:numFmt w:val="lowerRoman"/>
      <w:suff w:val="tab"/>
      <w:lvlText w:val="%3."/>
      <w:lvlJc w:val="right"/>
      <w:pPr>
        <w:ind w:left="1887" w:hanging="440"/>
      </w:pPr>
      <w:rPr/>
    </w:lvl>
    <w:lvl w:ilvl="3">
      <w:start w:val="1"/>
      <w:numFmt w:val="decimal"/>
      <w:suff w:val="tab"/>
      <w:lvlText w:val="%4."/>
      <w:lvlJc w:val="left"/>
      <w:pPr>
        <w:ind w:left="2327" w:hanging="440"/>
      </w:pPr>
      <w:rPr/>
    </w:lvl>
    <w:lvl w:ilvl="4">
      <w:start w:val="1"/>
      <w:numFmt w:val="lowerLetter"/>
      <w:suff w:val="tab"/>
      <w:lvlText w:val="%5)"/>
      <w:lvlJc w:val="left"/>
      <w:pPr>
        <w:ind w:left="2767" w:hanging="440"/>
      </w:pPr>
      <w:rPr/>
    </w:lvl>
    <w:lvl w:ilvl="5">
      <w:start w:val="1"/>
      <w:numFmt w:val="lowerRoman"/>
      <w:suff w:val="tab"/>
      <w:lvlText w:val="%6."/>
      <w:lvlJc w:val="right"/>
      <w:pPr>
        <w:ind w:left="3207" w:hanging="440"/>
      </w:pPr>
      <w:rPr/>
    </w:lvl>
    <w:lvl w:ilvl="6">
      <w:start w:val="1"/>
      <w:numFmt w:val="decimal"/>
      <w:suff w:val="tab"/>
      <w:lvlText w:val="%7."/>
      <w:lvlJc w:val="left"/>
      <w:pPr>
        <w:ind w:left="3647" w:hanging="440"/>
      </w:pPr>
      <w:rPr/>
    </w:lvl>
    <w:lvl w:ilvl="7">
      <w:start w:val="1"/>
      <w:numFmt w:val="lowerLetter"/>
      <w:suff w:val="tab"/>
      <w:lvlText w:val="%8)"/>
      <w:lvlJc w:val="left"/>
      <w:pPr>
        <w:ind w:left="4087" w:hanging="440"/>
      </w:pPr>
      <w:rPr/>
    </w:lvl>
    <w:lvl w:ilvl="8">
      <w:start w:val="1"/>
      <w:numFmt w:val="lowerRoman"/>
      <w:suff w:val="tab"/>
      <w:lvlText w:val="%9."/>
      <w:lvlJc w:val="right"/>
      <w:pPr>
        <w:ind w:left="4527" w:hanging="440"/>
      </w:pPr>
      <w:rPr/>
    </w:lvl>
  </w:abstractNum>
  <w:abstractNum w:abstractNumId="3">
    <w:multiLevelType w:val="singleLevel"/>
    <w:lvl w:ilvl="0">
      <w:start w:val="2"/>
      <w:numFmt w:val="decimal"/>
      <w:suff w:val="tab"/>
      <w:lvlText w:val="%1."/>
      <w:lvlJc w:val="left"/>
      <w:pPr>
        <w:tabs>
          <w:tab w:val="left" w:pos="312"/>
        </w:tabs>
        <w:ind w:left="608" w:firstLine="0" w:leftChars="0" w:firstLineChars="0"/>
      </w:pPr>
      <w:rPr/>
    </w:lvl>
  </w:abstractNum>
  <w:abstractNum w:abstractNumId="4">
    <w:multiLevelType w:val="multilevel"/>
    <w:lvl w:ilvl="0">
      <w:start w:val="1"/>
      <w:numFmt w:val="decimalEnclosedCircle"/>
      <w:suff w:val="tab"/>
      <w:lvlText w:val="%1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suff w:val="tab"/>
      <w:lvlText w:val="%2)"/>
      <w:lvlJc w:val="left"/>
      <w:pPr>
        <w:ind w:left="1447" w:hanging="440"/>
      </w:pPr>
      <w:rPr/>
    </w:lvl>
    <w:lvl w:ilvl="2">
      <w:start w:val="1"/>
      <w:numFmt w:val="lowerRoman"/>
      <w:suff w:val="tab"/>
      <w:lvlText w:val="%3."/>
      <w:lvlJc w:val="right"/>
      <w:pPr>
        <w:ind w:left="1887" w:hanging="440"/>
      </w:pPr>
      <w:rPr/>
    </w:lvl>
    <w:lvl w:ilvl="3">
      <w:start w:val="1"/>
      <w:numFmt w:val="decimal"/>
      <w:suff w:val="tab"/>
      <w:lvlText w:val="%4."/>
      <w:lvlJc w:val="left"/>
      <w:pPr>
        <w:ind w:left="2327" w:hanging="440"/>
      </w:pPr>
      <w:rPr/>
    </w:lvl>
    <w:lvl w:ilvl="4">
      <w:start w:val="1"/>
      <w:numFmt w:val="lowerLetter"/>
      <w:suff w:val="tab"/>
      <w:lvlText w:val="%5)"/>
      <w:lvlJc w:val="left"/>
      <w:pPr>
        <w:ind w:left="2767" w:hanging="440"/>
      </w:pPr>
      <w:rPr/>
    </w:lvl>
    <w:lvl w:ilvl="5">
      <w:start w:val="1"/>
      <w:numFmt w:val="lowerRoman"/>
      <w:suff w:val="tab"/>
      <w:lvlText w:val="%6."/>
      <w:lvlJc w:val="right"/>
      <w:pPr>
        <w:ind w:left="3207" w:hanging="440"/>
      </w:pPr>
      <w:rPr/>
    </w:lvl>
    <w:lvl w:ilvl="6">
      <w:start w:val="1"/>
      <w:numFmt w:val="decimal"/>
      <w:suff w:val="tab"/>
      <w:lvlText w:val="%7."/>
      <w:lvlJc w:val="left"/>
      <w:pPr>
        <w:ind w:left="3647" w:hanging="440"/>
      </w:pPr>
      <w:rPr/>
    </w:lvl>
    <w:lvl w:ilvl="7">
      <w:start w:val="1"/>
      <w:numFmt w:val="lowerLetter"/>
      <w:suff w:val="tab"/>
      <w:lvlText w:val="%8)"/>
      <w:lvlJc w:val="left"/>
      <w:pPr>
        <w:ind w:left="4087" w:hanging="440"/>
      </w:pPr>
      <w:rPr/>
    </w:lvl>
    <w:lvl w:ilvl="8">
      <w:start w:val="1"/>
      <w:numFmt w:val="lowerRoman"/>
      <w:suff w:val="tab"/>
      <w:lvlText w:val="%9."/>
      <w:lvlJc w:val="right"/>
      <w:pPr>
        <w:ind w:left="4527" w:hanging="440"/>
      </w:pPr>
      <w:rPr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xmlns:w15="http://schemas.microsoft.com/office/word/2012/wordml" mc:Ignorable="w14 w15">
  <w:zoom w:percent="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等线" w:eastAsia="等线" w:hAnsi="等线" w:asciiTheme="minorHAnsi" w:eastAsiaTheme="minorEastAsia" w:hAnsiTheme="minorHAnsi" w:cs="Arial" w:cstheme="minorBidi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3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keepLines/>
      <w:spacing w:before="480" w:after="80"/>
      <w:outlineLvl w:val="0"/>
    </w:pPr>
    <w:rPr>
      <w:rFonts w:ascii="等线 Light" w:eastAsia="等线 Light" w:hAnsi="等线 Light" w:asciiTheme="majorHAnsi" w:eastAsiaTheme="majorEastAsia" w:hAnsiTheme="majorHAnsi" w:cs="Times New Roman" w:cstheme="majorBidi"/>
      <w:color w:val="0F4761" w:themeColor="accent1" w:themeShade="BF"/>
      <w:sz w:val="48"/>
      <w:szCs w:val="48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keepLines/>
      <w:spacing w:before="160" w:after="80"/>
      <w:outlineLvl w:val="1"/>
    </w:pPr>
    <w:rPr>
      <w:rFonts w:ascii="等线 Light" w:eastAsia="等线 Light" w:hAnsi="等线 Light" w:asciiTheme="majorHAnsi" w:eastAsiaTheme="majorEastAsia" w:hAnsiTheme="majorHAnsi" w:cs="Times New Roman" w:cstheme="majorBidi"/>
      <w:color w:val="0F4761" w:themeColor="accent1" w:themeShade="BF"/>
      <w:sz w:val="40"/>
      <w:szCs w:val="40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keepLines/>
      <w:spacing w:before="160" w:after="80"/>
      <w:outlineLvl w:val="2"/>
    </w:pPr>
    <w:rPr>
      <w:rFonts w:ascii="等线 Light" w:eastAsia="等线 Light" w:hAnsi="等线 Light" w:asciiTheme="majorHAnsi" w:eastAsiaTheme="majorEastAsia" w:hAnsiTheme="majorHAnsi" w:cs="Times New Roman" w:cstheme="majorBidi"/>
      <w:color w:val="0F476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标题4字符"/>
    <w:uiPriority w:val="9"/>
    <w:semiHidden/>
    <w:unhideWhenUsed/>
    <w:qFormat/>
    <w:pPr>
      <w:keepNext/>
      <w:keepLines/>
      <w:spacing w:before="80" w:after="40"/>
      <w:outlineLvl w:val="3"/>
    </w:pPr>
    <w:rPr>
      <w:rFonts w:cs="Times New Roman" w:cstheme="majorBidi"/>
      <w:color w:val="0F476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keepNext/>
      <w:keepLines/>
      <w:spacing w:before="80" w:after="40"/>
      <w:outlineLvl w:val="4"/>
    </w:pPr>
    <w:rPr>
      <w:rFonts w:cs="Times New Roman" w:cstheme="majorBidi"/>
      <w:color w:val="0F4761" w:themeColor="accent1" w:themeShade="BF"/>
      <w:sz w:val="24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keepNext/>
      <w:keepLines/>
      <w:spacing w:before="40"/>
      <w:outlineLvl w:val="5"/>
    </w:pPr>
    <w:rPr>
      <w:rFonts w:cs="Times New Roman" w:cstheme="majorBidi"/>
      <w:b/>
      <w:bCs/>
      <w:color w:val="0F4761" w:themeColor="accent1" w:themeShade="BF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keepNext/>
      <w:keepLines/>
      <w:spacing w:before="40"/>
      <w:outlineLvl w:val="6"/>
    </w:pPr>
    <w:rPr>
      <w:rFonts w:cs="Times New Roman"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keepNext/>
      <w:keepLines/>
      <w:outlineLvl w:val="7"/>
    </w:pPr>
    <w:rPr>
      <w:rFonts w:cs="Times New Roman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keepNext/>
      <w:keepLines/>
      <w:outlineLvl w:val="8"/>
    </w:pPr>
    <w:rPr>
      <w:rFonts w:eastAsia="等线 Light" w:eastAsiaTheme="majorEastAsia" w:cs="Times New Roman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jc w:val="center"/>
    </w:pPr>
    <w:rPr>
      <w:rFonts w:ascii="等线 Light" w:eastAsia="等线 Light" w:hAnsi="等线 Light" w:asciiTheme="majorHAnsi" w:eastAsiaTheme="majorEastAsia" w:hAnsiTheme="majorHAnsi" w:cs="Times New Roman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Title">
    <w:name w:val="Title"/>
    <w:basedOn w:val="Normal"/>
    <w:next w:val="Normal"/>
    <w:link w:val="标题字符"/>
    <w:uiPriority w:val="10"/>
    <w:qFormat/>
    <w:pPr>
      <w:spacing w:after="80"/>
      <w:contextualSpacing/>
      <w:jc w:val="center"/>
    </w:pPr>
    <w:rPr>
      <w:rFonts w:ascii="等线 Light" w:eastAsia="等线 Light" w:hAnsi="等线 Light" w:asciiTheme="majorHAnsi" w:eastAsiaTheme="majorEastAsia" w:hAnsiTheme="majorHAnsi" w:cs="Times New Roman" w:cstheme="majorBidi"/>
      <w:spacing w:val="-10"/>
      <w:kern w:val="28"/>
      <w:sz w:val="56"/>
      <w:szCs w:val="56"/>
    </w:rPr>
  </w:style>
  <w:style w:type="character" w:styleId="Strong">
    <w:name w:val="Strong"/>
    <w:basedOn w:val="DefaultParagraphFont"/>
    <w:qFormat/>
    <w:rPr>
      <w:b/>
      <w:bCs/>
    </w:rPr>
  </w:style>
  <w:style w:type="character" w:customStyle="1" w:styleId="标题1字符">
    <w:name w:val="标题 1 字符"/>
    <w:basedOn w:val="DefaultParagraphFont"/>
    <w:link w:val="Heading1"/>
    <w:uiPriority w:val="9"/>
    <w:rPr>
      <w:rFonts w:ascii="等线 Light" w:eastAsia="等线 Light" w:hAnsi="等线 Light" w:asciiTheme="majorHAnsi" w:eastAsiaTheme="majorEastAsia" w:hAnsiTheme="majorHAnsi" w:cs="Times New Roman" w:cstheme="majorBidi"/>
      <w:color w:val="0F4761" w:themeColor="accent1" w:themeShade="BF"/>
      <w:sz w:val="48"/>
      <w:szCs w:val="48"/>
    </w:rPr>
  </w:style>
  <w:style w:type="character" w:customStyle="1" w:styleId="标题2字符">
    <w:name w:val="标题 2 字符"/>
    <w:basedOn w:val="DefaultParagraphFont"/>
    <w:link w:val="Heading2"/>
    <w:uiPriority w:val="9"/>
    <w:semiHidden/>
    <w:rPr>
      <w:rFonts w:ascii="等线 Light" w:eastAsia="等线 Light" w:hAnsi="等线 Light" w:asciiTheme="majorHAnsi" w:eastAsiaTheme="majorEastAsia" w:hAnsiTheme="majorHAnsi" w:cs="Times New Roman" w:cstheme="majorBidi"/>
      <w:color w:val="0F4761" w:themeColor="accent1" w:themeShade="BF"/>
      <w:sz w:val="40"/>
      <w:szCs w:val="40"/>
    </w:rPr>
  </w:style>
  <w:style w:type="character" w:customStyle="1" w:styleId="标题3字符">
    <w:name w:val="标题 3 字符"/>
    <w:basedOn w:val="DefaultParagraphFont"/>
    <w:link w:val="Heading3"/>
    <w:uiPriority w:val="9"/>
    <w:semiHidden/>
    <w:rPr>
      <w:rFonts w:ascii="等线 Light" w:eastAsia="等线 Light" w:hAnsi="等线 Light" w:asciiTheme="majorHAnsi" w:eastAsiaTheme="majorEastAsia" w:hAnsiTheme="majorHAnsi" w:cs="Times New Roman" w:cstheme="majorBidi"/>
      <w:color w:val="0F4761" w:themeColor="accent1" w:themeShade="BF"/>
      <w:sz w:val="32"/>
      <w:szCs w:val="32"/>
    </w:rPr>
  </w:style>
  <w:style w:type="character" w:customStyle="1" w:styleId="标题4字符">
    <w:name w:val="标题 4 字符"/>
    <w:basedOn w:val="DefaultParagraphFont"/>
    <w:link w:val="Heading4"/>
    <w:uiPriority w:val="9"/>
    <w:semiHidden/>
    <w:rPr>
      <w:rFonts w:cs="Times New Roman" w:cstheme="majorBidi"/>
      <w:color w:val="0F4761" w:themeColor="accent1" w:themeShade="BF"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rPr>
      <w:rFonts w:cs="Times New Roman" w:cstheme="majorBidi"/>
      <w:color w:val="0F4761" w:themeColor="accent1" w:themeShade="BF"/>
      <w:sz w:val="24"/>
      <w:szCs w:val="24"/>
    </w:rPr>
  </w:style>
  <w:style w:type="character" w:customStyle="1" w:styleId="标题6字符">
    <w:name w:val="标题 6 字符"/>
    <w:basedOn w:val="DefaultParagraphFont"/>
    <w:link w:val="Heading6"/>
    <w:uiPriority w:val="9"/>
    <w:semiHidden/>
    <w:rPr>
      <w:rFonts w:cs="Times New Roman" w:cstheme="majorBidi"/>
      <w:b/>
      <w:bCs/>
      <w:color w:val="0F4761" w:themeColor="accent1" w:themeShade="BF"/>
    </w:rPr>
  </w:style>
  <w:style w:type="character" w:customStyle="1" w:styleId="标题7字符">
    <w:name w:val="标题 7 字符"/>
    <w:basedOn w:val="DefaultParagraphFont"/>
    <w:link w:val="Heading7"/>
    <w:uiPriority w:val="9"/>
    <w:semiHidden/>
    <w:rPr>
      <w:rFonts w:cs="Times New Roman"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标题8字符">
    <w:name w:val="标题 8 字符"/>
    <w:basedOn w:val="DefaultParagraphFont"/>
    <w:link w:val="Heading8"/>
    <w:uiPriority w:val="9"/>
    <w:semiHidden/>
    <w:rPr>
      <w:rFonts w:cs="Times New Roman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标题9字符">
    <w:name w:val="标题 9 字符"/>
    <w:basedOn w:val="DefaultParagraphFont"/>
    <w:link w:val="Heading9"/>
    <w:uiPriority w:val="9"/>
    <w:semiHidden/>
    <w:rPr>
      <w:rFonts w:eastAsia="等线 Light" w:eastAsiaTheme="majorEastAsia" w:cs="Times New Roman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标题字符">
    <w:name w:val="标题 字符"/>
    <w:basedOn w:val="DefaultParagraphFont"/>
    <w:link w:val="Title"/>
    <w:uiPriority w:val="10"/>
    <w:rPr>
      <w:rFonts w:ascii="等线 Light" w:eastAsia="等线 Light" w:hAnsi="等线 Light" w:asciiTheme="majorHAnsi" w:eastAsiaTheme="majorEastAsia" w:hAnsiTheme="majorHAnsi" w:cs="Times New Roman" w:cstheme="majorBidi"/>
      <w:spacing w:val="-10"/>
      <w:kern w:val="28"/>
      <w:sz w:val="56"/>
      <w:szCs w:val="56"/>
    </w:rPr>
  </w:style>
  <w:style w:type="character" w:customStyle="1" w:styleId="副标题字符">
    <w:name w:val="副标题 字符"/>
    <w:basedOn w:val="DefaultParagraphFont"/>
    <w:link w:val="Subtitle"/>
    <w:uiPriority w:val="11"/>
    <w:rPr>
      <w:rFonts w:ascii="等线 Light" w:eastAsia="等线 Light" w:hAnsi="等线 Light" w:asciiTheme="majorHAnsi" w:eastAsiaTheme="majorEastAsia" w:hAnsiTheme="majorHAnsi" w:cs="Times New Roman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Quote">
    <w:name w:val="Quote"/>
    <w:basedOn w:val="Normal"/>
    <w:next w:val="Normal"/>
    <w:link w:val="引用字符"/>
    <w:uiPriority w:val="29"/>
    <w:qFormat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引用字符">
    <w:name w:val="引用 字符"/>
    <w:basedOn w:val="DefaultParagraphFont"/>
    <w:link w:val="Quote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/>
  </w:style>
  <w:style w:type="character" w:customStyle="1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明显引用字符">
    <w:name w:val="明显引用 字符"/>
    <w:basedOn w:val="DefaultParagraphFont"/>
    <w:link w:val="IntenseQuote"/>
    <w:uiPriority w:val="30"/>
    <w:rPr>
      <w:i/>
      <w:iCs/>
      <w:color w:val="0F4761" w:themeColor="accent1" w:themeShade="BF"/>
    </w:rPr>
  </w:style>
  <w:style w:type="character" w:customStyle="1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页眉字符">
    <w:name w:val="页眉 字符"/>
    <w:basedOn w:val="DefaultParagraphFont"/>
    <w:link w:val="Header"/>
    <w:uiPriority w:val="99"/>
    <w:rPr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qFormat/>
    <w:rPr>
      <w:sz w:val="18"/>
      <w:szCs w:val="18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footer" Target="footer1.xml"/><Relationship Id="rId3" Type="http://schemas.openxmlformats.org/officeDocument/2006/relationships/theme" Target="theme/theme1.xml"/><Relationship Id="rId4" Type="http://schemas.openxmlformats.org/officeDocument/2006/relationships/styles" Target="styles.xml"/><Relationship Id="rId5" Type="http://schemas.openxmlformats.org/officeDocument/2006/relationships/webSettings" Target="webSettings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eyJoZGlkIjoiNjEwYWU0YTNhNjM0NDUzZWRkOGYxNjFkODcwNjIzNzcifQ==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379F45517CF34EEC9D7095161F7B9D69_13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16</TotalTime>
  <Pages>20</Pages>
  <Words>4923</Words>
  <Characters>5060</Characters>
  <Application>WPS Office_12.1.0.21915_F1E327BC-269C-435d-A152-05C5408002CA</Application>
  <DocSecurity>0</DocSecurity>
  <Lines>256</Lines>
  <Paragraphs>102</Paragraphs>
  <CharactersWithSpaces>5239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元英 李</dc:creator>
  <cp:lastModifiedBy>Administrator</cp:lastModifiedBy>
  <cp:revision>8</cp:revision>
  <dcterms:created xsi:type="dcterms:W3CDTF">2025-08-21T11:05:00Z</dcterms:created>
  <dcterms:modified xsi:type="dcterms:W3CDTF">2025-08-22T09:07:16Z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TemplateDocerSaveRecord">
    <vt:lpwstr>eyJoZGlkIjoiNjEwYWU0YTNhNjM0NDUzZWRkOGYxNjFkODcwNjIzNzcifQ_x003D__x003D_</vt:lpwstr>
  </property>
  <property fmtid="{D5CDD505-2E9C-101B-9397-08002B2CF9AE}" pid="3" name="KSOProductBuildVer">
    <vt:lpwstr>2052-12.1.0.21915</vt:lpwstr>
  </property>
  <property fmtid="{D5CDD505-2E9C-101B-9397-08002B2CF9AE}" pid="4" name="ICV">
    <vt:lpwstr>379F45517CF34EEC9D7095161F7B9D69_13</vt:lpwstr>
  </property>
</Properties>
</file>